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交银施罗德悦信精选混合型证券投资基金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324920538"/>
      <w:bookmarkStart w:id="2" w:name="_Toc231305771"/>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悦信精选混合型证券投资基金（以下简称“本基金”）经2023年6月2日中国证券监督管理委员会（以下简称“中国证监会”）证监许可【2023】1214号文准予募集注册。本基金基金合同于2023年9月6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港股通标的股票的特定风险；投资科创板股票的特定风险；投资存托凭证的特定风险；连续50个工作日出现基金份额持有人数量不满200人或基金资产净值低于5000万元情形时基金合同终止的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但不限于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"_Toc231305771"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_Toc231305771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"_Toc231305772"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_Toc231305772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"_Toc231305773"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_Toc231305773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"_Toc231305774"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_Toc231305774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"_Toc231305775"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_Toc231305775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"_Toc231305776"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_Toc231305776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"_Toc231305777"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_Toc231305777 \h </w:instrText>
      </w:r>
      <w:r>
        <w:rPr>
          <w:rFonts w:ascii="宋体" w:hAnsi="宋体"/>
          <w:sz w:val="24"/>
        </w:rPr>
        <w:fldChar w:fldCharType="separate"/>
      </w:r>
      <w:r>
        <w:rPr>
          <w:rFonts w:ascii="宋体" w:hAnsi="宋体"/>
          <w:sz w:val="24"/>
        </w:rPr>
        <w:t>46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"_Toc231305778"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_Toc231305778 \h </w:instrText>
      </w:r>
      <w:r>
        <w:rPr>
          <w:rFonts w:ascii="宋体" w:hAnsi="宋体"/>
          <w:sz w:val="24"/>
        </w:rPr>
        <w:fldChar w:fldCharType="separate"/>
      </w:r>
      <w:r>
        <w:rPr>
          <w:rFonts w:ascii="宋体" w:hAnsi="宋体"/>
          <w:sz w:val="24"/>
        </w:rPr>
        <w:t>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"_Toc231305779"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_Toc231305779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"_Toc231305780"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_Toc231305780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"_Toc231305781"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_Toc231305781 \h </w:instrText>
      </w:r>
      <w:r>
        <w:rPr>
          <w:rFonts w:ascii="宋体" w:hAnsi="宋体"/>
          <w:sz w:val="24"/>
        </w:rPr>
        <w:fldChar w:fldCharType="separate"/>
      </w:r>
      <w:r>
        <w:rPr>
          <w:rFonts w:ascii="宋体" w:hAnsi="宋体"/>
          <w:sz w:val="24"/>
        </w:rPr>
        <w:t>69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"_Toc231305782"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_Toc231305782 \h </w:instrText>
      </w:r>
      <w:r>
        <w:rPr>
          <w:rFonts w:ascii="宋体" w:hAnsi="宋体"/>
          <w:sz w:val="24"/>
        </w:rPr>
        <w:fldChar w:fldCharType="separate"/>
      </w:r>
      <w:r>
        <w:rPr>
          <w:rFonts w:ascii="宋体" w:hAnsi="宋体"/>
          <w:sz w:val="24"/>
        </w:rPr>
        <w:t>81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"_Toc231305783"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_Toc231305783 \h </w:instrText>
      </w:r>
      <w:r>
        <w:rPr>
          <w:rFonts w:ascii="宋体" w:hAnsi="宋体"/>
          <w:sz w:val="24"/>
        </w:rPr>
        <w:fldChar w:fldCharType="separate"/>
      </w:r>
      <w:r>
        <w:rPr>
          <w:rFonts w:ascii="宋体" w:hAnsi="宋体"/>
          <w:sz w:val="24"/>
        </w:rPr>
        <w:t>83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"_Toc231305784"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_Toc231305784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"_Toc231305785"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_Toc231305785 \h </w:instrText>
      </w:r>
      <w:r>
        <w:rPr>
          <w:rFonts w:ascii="宋体" w:hAnsi="宋体"/>
          <w:sz w:val="24"/>
        </w:rPr>
        <w:fldChar w:fldCharType="separate"/>
      </w:r>
      <w:r>
        <w:rPr>
          <w:rFonts w:ascii="宋体" w:hAnsi="宋体"/>
          <w:sz w:val="24"/>
        </w:rPr>
        <w:t>91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"_Toc231305786"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_Toc231305786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"_Toc231305787"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_Toc231305787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"_Toc231305788"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_Toc231305788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"_Toc231305789"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_Toc231305789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"_Toc231305790"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_Toc231305790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"_Toc231305791"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_Toc231305791 \h </w:instrText>
      </w:r>
      <w:r>
        <w:rPr>
          <w:rFonts w:ascii="宋体" w:hAnsi="宋体"/>
          <w:sz w:val="24"/>
        </w:rPr>
        <w:fldChar w:fldCharType="separate"/>
      </w:r>
      <w:r>
        <w:rPr>
          <w:rFonts w:ascii="宋体" w:hAnsi="宋体"/>
          <w:sz w:val="24"/>
        </w:rPr>
        <w:t>117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"_Toc231305792"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_Toc231305792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"_Toc231305793"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_Toc231305793 \h </w:instrText>
      </w:r>
      <w:r>
        <w:rPr>
          <w:rFonts w:ascii="宋体" w:hAnsi="宋体"/>
          <w:sz w:val="24"/>
        </w:rPr>
        <w:fldChar w:fldCharType="separate"/>
      </w:r>
      <w:r>
        <w:rPr>
          <w:rFonts w:ascii="宋体" w:hAnsi="宋体"/>
          <w:sz w:val="24"/>
        </w:rPr>
        <w:t>136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"_Toc231305794"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_Toc231305794 \h </w:instrText>
      </w:r>
      <w:r>
        <w:rPr>
          <w:rFonts w:ascii="宋体" w:hAnsi="宋体"/>
          <w:sz w:val="24"/>
        </w:rPr>
        <w:fldChar w:fldCharType="separate"/>
      </w:r>
      <w:r>
        <w:rPr>
          <w:rFonts w:ascii="宋体" w:hAnsi="宋体"/>
          <w:sz w:val="24"/>
        </w:rPr>
        <w:t>156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"_Toc231305795"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_Toc231305795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"_Toc231305796"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_Toc231305796 \h </w:instrText>
      </w:r>
      <w:r>
        <w:rPr>
          <w:rFonts w:ascii="宋体" w:hAnsi="宋体"/>
          <w:sz w:val="24"/>
        </w:rPr>
        <w:fldChar w:fldCharType="separate"/>
      </w:r>
      <w:r>
        <w:rPr>
          <w:rFonts w:ascii="宋体" w:hAnsi="宋体"/>
          <w:sz w:val="24"/>
        </w:rPr>
        <w:t>160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"_Toc231305797"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_Toc231305797 \h </w:instrText>
      </w:r>
      <w:r>
        <w:rPr>
          <w:rFonts w:ascii="宋体" w:hAnsi="宋体"/>
          <w:sz w:val="24"/>
        </w:rPr>
        <w:fldChar w:fldCharType="separate"/>
      </w:r>
      <w:r>
        <w:rPr>
          <w:rFonts w:ascii="宋体" w:hAnsi="宋体"/>
          <w:sz w:val="24"/>
        </w:rPr>
        <w:t>161</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305772"/>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悦信精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悦信精选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305773"/>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1、基金或本基金：指交银施罗德悦信精选混合型证券投资基金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4、基金合同：指《交银施罗德悦信精选混合型证券投资基金基金合同》及对基金合同的任何有效修订和补充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5、托管协议：指基金管理人与基金托管人就本基金签订之《交银施罗德悦信精选混合型证券投资基金托管协议》及对该托管协议的任何有效修订和补充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6、招募说明书或本招募说明书：指《交银施罗德悦信精选混合型证券投资基金招募说明书》及其更新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7、基金产品资料概要：指《交银施罗德悦信精选混合型证券投资基金基金产品资料概要》及其更新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8、基金份额发售公告：指《交银施罗德悦信精选混合型证券投资基金基金份额发售公告》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305774"/>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楼慧源女士:</w:t>
      </w:r>
      <w:bookmarkStart w:id="29" w:name="_GoBack"/>
      <w:bookmarkEnd w:id="29"/>
      <w:r>
        <w:rPr>
          <w:rFonts w:ascii="宋体" w:hAnsi="宋体"/>
          <w:sz w:val="24"/>
        </w:rPr>
        <w:t>基金经理。复旦大学金融学硕士、浙江大学应用生物科学学士。12年证券投资行业从业经验。2014年至2015年任中国国际金融有限公司研究员。2015年加入交银施罗德基金管理有限公司，曾任行业分析师，现任权益部基金经理。现任交银施罗德医药创新股票型证券投资基金(2018年09月12日至今)、交银施罗德启汇混合型证券投资基金(2020年07月07日至今)、交银施罗德悦信精选混合型证券投资基金(2023年09月06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305775"/>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名称：中信银行股份有限公司（简称“中信银行”）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法定代表人：方合英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联系人：中信银行资产托管部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联系电话：4006800000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网址：www.citicbank.com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305776"/>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305777"/>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本基金由基金管理人依照《基金法》、《运作办法》、《销售办法》、基金合同及其他有关规定，并经中国证监会2023年6月2日证监许可【2023】1214号文准予募集注册。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本基金2023年8月17日至2023年9月1日进行发售，本基金设立募集期共募集618,626,407.28份基金份额，有效认购户数为14,442户。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305778"/>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根据有关规定，本基金满足基金合同生效条件，基金合同已于2023年9月6日正式生效。自基金合同生效之日起，本基金管理人正式开始管理本基金。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305779"/>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本基金已于2023年12月5日起开放申购、赎回业务。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净申购金额=100,000/（1+1.5%）=98,522.17元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申购费用=100,000-98,522.17=1,477.83元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申购份额=（100,000-1,477.83）/1.0400=94,732.86份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净申购金额=1,000,000/（1+0.6%）=994,035.79元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申购费用=1,000,000-994,035.79=5,964.21元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申购份额=（1,000,000-5,964.21）/1.0400=955,803.64份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即：该养老金客户投资1,000,000元通过基金管理人的直销柜台申购本基金A类基金份额，假设申购当日A类基金份额净值为1.0400元，则其可得到955,803.64份A类基金份额。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如果投资者赎回A类基金份额，则赎回金额的计算方法如下：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例七：某投资者赎回持有的10,000份A类基金份额，持有期限为30日，对应的赎回费率为0.5%，假设赎回当日A类基金份额净值是1.0160元，则其可得到的赎回金额为：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例八：某投资者赎回持有的10,000份C类基金份额，持有时间为20日，对应的赎回费率为0.5%，假设赎回当日C类基金份额净值是1.0160元，则其可得到的赎回金额为：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本基金2023年11月30日刊登公告自2023年12月5日起开通定期定额投资计划业务，具体开通销售机构名单和业务规则参见相关公告。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305780"/>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本基金2023年11月30日刊登公告自2023年12月5日起开放日常转换业务。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305781"/>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在合理控制风险的前提下，充分发挥专业的研究与管理能力，力争实现基金资产的长期稳健增值。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沪深300指数收益率×70%+恒生指数收益率×5%+中证综合债券指数收益率×25%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58,703,971.57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58,703,971.57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13,450,022.06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2,774.28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72,156,767.91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注：本基金本报告期末通过港股通机制投资香港股票的公允价值为23,166,071.27元，占基金资产净值比例为32.52%。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1,187,736.00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23,198,287.59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2,174,669.71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8,350,530.00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626,677.00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35,537,900.30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49.89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13,347,709.66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2,770,555.83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2,359,129.38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2,307,678.12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1,184,141.90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852,876.72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343,979.66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23,166,071.27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32.52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6,759,090.00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4,137,510.00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06618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京东健康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74,250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3,085,208.30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2,998,498.20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01209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华润万象生活</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2,359,129.38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2,307,678.12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3.24</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80,933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2,174,669.71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1,958,460.00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02162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康诺亚-B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1,929,422.34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1,919,000.00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2,774.28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305782"/>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（1）交银悦信精选混合A：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2023年度（自基金合同生效日起至2023年12月31日）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（2）交银悦信精选混合C：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2023年度（自基金合同生效日起至2023年12月31日）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交银施罗德悦信精选混合型证券投资基金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（1）交银悦信精选混合A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（2）交银悦信精选混合C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305783"/>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305784"/>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305785"/>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305786"/>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H＝E×1.2%÷当年天数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财产中一次性支付给基金管理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财产中一次性支付给基金托管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305787"/>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305788"/>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w:t>
      </w:r>
      <w:r>
        <w:rPr>
          <w:rFonts w:hint="eastAsia" w:ascii="宋体" w:hAnsi="宋体"/>
          <w:kern w:val="0"/>
          <w:sz w:val="24"/>
        </w:rPr>
        <w:t>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w:t>
      </w:r>
      <w:r>
        <w:rPr>
          <w:rFonts w:hint="eastAsia" w:ascii="宋体" w:hAnsi="宋体"/>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305789"/>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305790"/>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305791"/>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305792"/>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（4）根据相关市场规则，为基金开设资金账户、证券账户、期货结算账户等投资所需账户，为基金办理证券、期货交易资金清算；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监管机构、司法机关等有权机关要求，或审计、法律等外部专业顾问提供服务需要的情况外，在基金信息公开披露前予以保密，不得向他人泄露。如向审计、法律等外部专业顾问提供上述信息，基金托管人保证审计、法律等外部专业顾问遵守与基金托管人同等的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305793"/>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相应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有关法律法规规定。流通受限证券包括由《上市公司证券发行管理办法》规范的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相应责任，但基金托管人未经提前告知基金管理人于合理时间内提供说明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如基金管理人和基金托管人无法达成一致，应及时上报中国证监会请求解决。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基金托管人发现基金管理人的投资指令违反有关法律法规规定或者违反基金合同约定的，应当拒绝执行，立即通知基金管理人。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本基金、基金管理人因此所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（1）基金财产应独立于基金管理人、基金托管人和证券经纪机构的固有财产。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（3）基金托管人按照规定开设基金财产的资金账户和证券账户等投资所需账户。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3、基金的银行账户的开立和管理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（3）基金银行账户的开立和管理应符合有关法律法规以及银行业监督管理机构的有关规定。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基金托管人以基金托管人和本基金联名的方式在中国证券登记结算有限责任公司（以下简称“中登公司”）上海分公司/深圳分公司开设证券账户。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证券经纪机构进行的交易由证券经纪机构作为结算参与人代理本基金进行结算。基金管理人承诺证券交易资金账户为主资金账户，不开立任何辅助资金账户；不为证券交易资金账户另行开立银行托管账户以外的其他银行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基金证券账户与证券交易资金账户相关证明文件的保管由基金托管人或证券经纪机构负责，账户资产的管理和运用由基金管理人负责。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和银行间市场清算所股份有限公司开设银行间债券市场债券托管账户，并由基金托管人负责本基金的债券的后台匹配及资金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（1）基金资产净值的计算、复核的时间和程序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各类基金份额的基金份额净值是指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估值日对各类基金份额的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当日的各类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基金管理人或基金托管人按估值方法的第8）项进行估值的，所造成的误差不作为基金资产估值错误处理。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5、基金定期报告、招募说明书、基金产品资料概要的编制和复核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季度结束之日起15个工作日内完成季度报告编制并公告；在上半年结束之日起两个月内完成中期报告编制并公告；在每年结束之日起三个月内完成年度报告编制并公告。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305794"/>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和C类基金份额的申购、赎回、转换、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305795"/>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305796"/>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1305797"/>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（一）中国证监会准予交银施罗德悦信精选混合型证券投资基金募集注册的文件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（二）《交银施罗德悦信精选混合型证券投资基金基金合同》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（三）《交银施罗德悦信精选混合型证券投资基金托管协议》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（六）关于申请募集注册交银施罗德悦信精选混合型证券投资基金的法律意见书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161</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交银施罗德悦信精选混合型证券投资基金招募说明书更新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交银施罗德悦信精选混合型证券投资基金招募说明书更新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交银施罗德悦信精选混合型证券投资基金招募说明书更新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A44"/>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6202"/>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2E29"/>
    <w:rsid w:val="00F13C42"/>
    <w:rsid w:val="00F161F7"/>
    <w:rsid w:val="00F206E8"/>
    <w:rsid w:val="00F20FDC"/>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 w:val="5EA01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162</Pages>
  <Words>17142</Words>
  <Characters>97714</Characters>
  <Lines>814</Lines>
  <Paragraphs>229</Paragraphs>
  <TotalTime>16</TotalTime>
  <ScaleCrop>false</ScaleCrop>
  <LinksUpToDate>false</LinksUpToDate>
  <CharactersWithSpaces>114627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2026-06-02T07:15:00Z</dcterms:created>
  <dc:creator>系统用户</dc:creator>
  <cp:lastModifiedBy>haotingting</cp:lastModifiedBy>
  <cp:lastPrinted>2013-02-18T03:10:00Z</cp:lastPrinted>
  <dcterms:modified xsi:type="dcterms:W3CDTF">2026-06-03T08:18:14Z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F9CE0D2B0F1D451EA46A7C037692BD2D</vt:lpwstr>
  </property>
</Properties>
</file>