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9B4037">
      <w:pPr>
        <w:rPr>
          <w:sz w:val="32"/>
        </w:rPr>
      </w:pPr>
    </w:p>
    <w:p w:rsidR="00C92FC0" w:rsidRPr="00EB07BC" w:rsidRDefault="009B4037">
      <w:pPr>
        <w:rPr>
          <w:sz w:val="32"/>
        </w:rPr>
      </w:pPr>
    </w:p>
    <w:p w:rsidR="00C92FC0" w:rsidRPr="00EB07BC" w:rsidRDefault="009B4037">
      <w:pPr>
        <w:rPr>
          <w:sz w:val="32"/>
        </w:rPr>
      </w:pPr>
    </w:p>
    <w:p w:rsidR="00B23FEC" w:rsidRDefault="00B23FE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23FEC" w:rsidRDefault="00B23FE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23FEC" w:rsidRDefault="00B23FE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23FEC" w:rsidRDefault="00136A25">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交银施罗德裕通纯债债券型证券投资基金</w:t>
      </w:r>
    </w:p>
    <w:p w:rsidR="00B23FEC" w:rsidRDefault="00136A25">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B23FEC" w:rsidRDefault="00B23FEC">
      <w:pPr>
        <w:snapToGrid w:val="0"/>
        <w:spacing w:line="360" w:lineRule="auto"/>
        <w:jc w:val="center"/>
        <w:rPr>
          <w:rFonts w:ascii="宋体" w:hAnsi="宋体"/>
          <w:b/>
          <w:sz w:val="30"/>
          <w:szCs w:val="30"/>
        </w:rPr>
      </w:pPr>
    </w:p>
    <w:p w:rsidR="00B23FEC" w:rsidRDefault="00B23FE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3FEC" w:rsidRDefault="00B23FE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3FEC" w:rsidRDefault="00B23FE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3FEC" w:rsidRDefault="00B23FE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3FEC" w:rsidRDefault="00B23FE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3FEC" w:rsidRDefault="00B23FE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3FEC" w:rsidRDefault="00136A2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B23FEC" w:rsidRDefault="00136A2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基金托管人：兴业银行股份有限公司</w:t>
      </w:r>
    </w:p>
    <w:p w:rsidR="00B23FEC" w:rsidRDefault="00B23FE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3FEC" w:rsidRDefault="00B23FE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3FEC" w:rsidRDefault="00136A25">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B23FEC" w:rsidRDefault="00B23FEC">
      <w:pPr>
        <w:autoSpaceDE w:val="0"/>
        <w:autoSpaceDN w:val="0"/>
        <w:adjustRightInd w:val="0"/>
        <w:snapToGrid w:val="0"/>
        <w:spacing w:line="360" w:lineRule="auto"/>
        <w:ind w:left="1347" w:rightChars="6" w:right="13"/>
        <w:rPr>
          <w:rFonts w:ascii="宋体" w:hAnsi="宋体"/>
          <w:kern w:val="0"/>
          <w:sz w:val="32"/>
          <w:szCs w:val="32"/>
        </w:rPr>
        <w:sectPr w:rsidR="00B23FEC">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B23FEC" w:rsidRDefault="00136A25">
      <w:pPr>
        <w:pStyle w:val="1"/>
        <w:snapToGrid w:val="0"/>
        <w:spacing w:beforeLines="0" w:before="240" w:after="240"/>
        <w:rPr>
          <w:rFonts w:ascii="宋体" w:hAnsi="宋体"/>
          <w:kern w:val="0"/>
        </w:rPr>
      </w:pPr>
      <w:bookmarkStart w:id="0" w:name="_Toc324920538"/>
      <w:bookmarkStart w:id="1" w:name="_Toc496884613"/>
      <w:bookmarkStart w:id="2" w:name="_Toc231212093"/>
      <w:r>
        <w:rPr>
          <w:rFonts w:ascii="Times New Roman" w:hAnsi="Times New Roman"/>
          <w:kern w:val="0"/>
        </w:rPr>
        <w:lastRenderedPageBreak/>
        <w:t>重要提示</w:t>
      </w:r>
      <w:bookmarkEnd w:id="0"/>
      <w:bookmarkEnd w:id="1"/>
      <w:bookmarkEnd w:id="2"/>
    </w:p>
    <w:p w:rsidR="00B23FEC" w:rsidRDefault="00136A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交银施罗德裕通纯债债券型证券投资基金（以下简称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2015</w:t>
      </w:r>
      <w:r>
        <w:rPr>
          <w:rFonts w:ascii="Times New Roman" w:hAnsi="Times New Roman"/>
          <w:kern w:val="0"/>
          <w:sz w:val="24"/>
        </w:rPr>
        <w:t>】</w:t>
      </w:r>
      <w:r>
        <w:rPr>
          <w:rFonts w:ascii="Times New Roman" w:hAnsi="Times New Roman"/>
          <w:kern w:val="0"/>
          <w:sz w:val="24"/>
        </w:rPr>
        <w:t>2792</w:t>
      </w:r>
      <w:r>
        <w:rPr>
          <w:rFonts w:ascii="Times New Roman" w:hAnsi="Times New Roman"/>
          <w:kern w:val="0"/>
          <w:sz w:val="24"/>
        </w:rPr>
        <w:t>号文准予募集注册。本基金基金合同于</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日正式生效。</w:t>
      </w:r>
    </w:p>
    <w:p w:rsidR="00B23FEC" w:rsidRDefault="00136A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B23FEC" w:rsidRDefault="00136A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B23FEC" w:rsidRDefault="00136A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本基金特有的其他风险等等。</w:t>
      </w:r>
    </w:p>
    <w:p w:rsidR="00B23FEC" w:rsidRDefault="00136A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B23FEC" w:rsidRDefault="00136A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本基金是一只债券型基金，其风险与预期收益高于货币市场基金，低于混合型基金和股票型基金，属于证券投资基金中中等风险的品种。</w:t>
      </w:r>
    </w:p>
    <w:p w:rsidR="00B23FEC" w:rsidRDefault="00136A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w:t>
      </w:r>
      <w:r>
        <w:rPr>
          <w:rFonts w:ascii="Times New Roman" w:hAnsi="Times New Roman"/>
          <w:kern w:val="0"/>
          <w:sz w:val="24"/>
        </w:rPr>
        <w:lastRenderedPageBreak/>
        <w:t>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B23FEC" w:rsidRDefault="00136A2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B23FEC" w:rsidRDefault="00B23FEC">
      <w:pPr>
        <w:autoSpaceDE w:val="0"/>
        <w:autoSpaceDN w:val="0"/>
        <w:adjustRightInd w:val="0"/>
        <w:snapToGrid w:val="0"/>
        <w:spacing w:before="51" w:line="360" w:lineRule="auto"/>
        <w:ind w:left="120" w:rightChars="6" w:right="13" w:firstLine="480"/>
        <w:rPr>
          <w:rFonts w:ascii="宋体" w:hAnsi="宋体"/>
          <w:kern w:val="0"/>
          <w:szCs w:val="24"/>
        </w:rPr>
        <w:sectPr w:rsidR="00B23FEC">
          <w:headerReference w:type="default" r:id="rId14"/>
          <w:pgSz w:w="11920" w:h="16840"/>
          <w:pgMar w:top="1440" w:right="1680" w:bottom="280" w:left="1680" w:header="0" w:footer="1073" w:gutter="0"/>
          <w:pgNumType w:start="1"/>
          <w:cols w:space="720"/>
        </w:sectPr>
      </w:pPr>
    </w:p>
    <w:p w:rsidR="009B4037" w:rsidRPr="009B4037" w:rsidRDefault="00136A25" w:rsidP="009B4037">
      <w:pPr>
        <w:pStyle w:val="ad"/>
        <w:snapToGrid w:val="0"/>
        <w:spacing w:after="240" w:line="360" w:lineRule="auto"/>
        <w:jc w:val="center"/>
        <w:rPr>
          <w:rFonts w:ascii="宋体" w:hAnsi="宋体"/>
          <w:noProof/>
          <w:sz w:val="24"/>
        </w:rPr>
      </w:pPr>
      <w:r w:rsidRPr="009B4037">
        <w:rPr>
          <w:rFonts w:ascii="宋体" w:hAnsi="宋体"/>
          <w:color w:val="000000"/>
          <w:position w:val="-4"/>
          <w:sz w:val="24"/>
          <w:szCs w:val="30"/>
        </w:rPr>
        <w:lastRenderedPageBreak/>
        <w:t>目</w:t>
      </w:r>
      <w:r w:rsidRPr="009B4037">
        <w:rPr>
          <w:rFonts w:ascii="宋体" w:hAnsi="宋体"/>
          <w:color w:val="000000"/>
          <w:position w:val="-4"/>
          <w:sz w:val="24"/>
          <w:szCs w:val="30"/>
        </w:rPr>
        <w:tab/>
        <w:t>录</w:t>
      </w:r>
      <w:r w:rsidR="009B4037" w:rsidRPr="009B4037">
        <w:rPr>
          <w:rFonts w:ascii="宋体" w:hAnsi="宋体"/>
          <w:color w:val="000000"/>
          <w:position w:val="-4"/>
          <w:sz w:val="24"/>
          <w:szCs w:val="30"/>
        </w:rPr>
        <w:fldChar w:fldCharType="begin"/>
      </w:r>
      <w:r w:rsidR="009B4037" w:rsidRPr="009B4037">
        <w:rPr>
          <w:rFonts w:ascii="宋体" w:hAnsi="宋体"/>
          <w:color w:val="000000"/>
          <w:position w:val="-4"/>
          <w:sz w:val="24"/>
          <w:szCs w:val="30"/>
        </w:rPr>
        <w:instrText xml:space="preserve"> TOC \o "1-3" \f - \h \t "-1" </w:instrText>
      </w:r>
      <w:r w:rsidR="009B4037" w:rsidRPr="009B4037">
        <w:rPr>
          <w:rFonts w:ascii="宋体" w:hAnsi="宋体"/>
          <w:color w:val="000000"/>
          <w:position w:val="-4"/>
          <w:sz w:val="24"/>
          <w:szCs w:val="30"/>
        </w:rPr>
        <w:fldChar w:fldCharType="separate"/>
      </w:r>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093" w:history="1">
        <w:r w:rsidRPr="009B4037">
          <w:rPr>
            <w:rStyle w:val="aa"/>
            <w:rFonts w:ascii="宋体" w:hAnsi="宋体" w:hint="eastAsia"/>
            <w:noProof/>
            <w:kern w:val="0"/>
            <w:sz w:val="24"/>
          </w:rPr>
          <w:t>重要提示</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_Toc231212093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1</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094" w:history="1">
        <w:r w:rsidRPr="009B4037">
          <w:rPr>
            <w:rStyle w:val="aa"/>
            <w:rFonts w:ascii="宋体" w:hAnsi="宋体" w:hint="eastAsia"/>
            <w:noProof/>
            <w:sz w:val="24"/>
          </w:rPr>
          <w:t>一、绪言</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_Toc231212094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4</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095" w:history="1">
        <w:r w:rsidRPr="009B4037">
          <w:rPr>
            <w:rStyle w:val="aa"/>
            <w:rFonts w:ascii="宋体" w:hAnsi="宋体" w:hint="eastAsia"/>
            <w:noProof/>
            <w:sz w:val="24"/>
          </w:rPr>
          <w:t>二、释义</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_Toc231212095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5</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096" w:history="1">
        <w:r w:rsidRPr="009B4037">
          <w:rPr>
            <w:rStyle w:val="aa"/>
            <w:rFonts w:ascii="宋体" w:hAnsi="宋体" w:hint="eastAsia"/>
            <w:noProof/>
            <w:sz w:val="24"/>
          </w:rPr>
          <w:t>三、基金管理人</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_Toc231212096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10</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097" w:history="1">
        <w:r w:rsidRPr="009B4037">
          <w:rPr>
            <w:rStyle w:val="aa"/>
            <w:rFonts w:ascii="宋体" w:hAnsi="宋体" w:hint="eastAsia"/>
            <w:noProof/>
            <w:sz w:val="24"/>
          </w:rPr>
          <w:t>四、基金托管人</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_Toc231212097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18</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098" w:history="1">
        <w:r w:rsidRPr="009B4037">
          <w:rPr>
            <w:rStyle w:val="aa"/>
            <w:rFonts w:ascii="宋体" w:hAnsi="宋体" w:hint="eastAsia"/>
            <w:noProof/>
            <w:sz w:val="24"/>
          </w:rPr>
          <w:t>五、相关服务机构</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_Toc231212098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21</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099" w:history="1">
        <w:r w:rsidRPr="009B4037">
          <w:rPr>
            <w:rStyle w:val="aa"/>
            <w:rFonts w:ascii="宋体" w:hAnsi="宋体" w:hint="eastAsia"/>
            <w:noProof/>
            <w:sz w:val="24"/>
          </w:rPr>
          <w:t>六、基金的募集</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_Toc231212099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38</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00" w:history="1">
        <w:r w:rsidRPr="009B4037">
          <w:rPr>
            <w:rStyle w:val="aa"/>
            <w:rFonts w:ascii="宋体" w:hAnsi="宋体" w:hint="eastAsia"/>
            <w:noProof/>
            <w:sz w:val="24"/>
          </w:rPr>
          <w:t>七、基金合同的生效</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_Toc231212100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39</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01" w:history="1">
        <w:r w:rsidRPr="009B4037">
          <w:rPr>
            <w:rStyle w:val="aa"/>
            <w:rFonts w:ascii="宋体" w:hAnsi="宋体" w:hint="eastAsia"/>
            <w:noProof/>
            <w:sz w:val="24"/>
          </w:rPr>
          <w:t>八、基金份额的申购与赎回</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_Toc231212101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40</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02" w:history="1">
        <w:r w:rsidRPr="009B4037">
          <w:rPr>
            <w:rStyle w:val="aa"/>
            <w:rFonts w:ascii="宋体" w:hAnsi="宋体" w:hint="eastAsia"/>
            <w:noProof/>
            <w:sz w:val="24"/>
          </w:rPr>
          <w:t>九、</w:t>
        </w:r>
        <w:r w:rsidRPr="009B4037">
          <w:rPr>
            <w:rStyle w:val="aa"/>
            <w:rFonts w:ascii="宋体" w:hAnsi="宋体"/>
            <w:noProof/>
            <w:sz w:val="24"/>
          </w:rPr>
          <w:t xml:space="preserve"> </w:t>
        </w:r>
        <w:r w:rsidRPr="009B4037">
          <w:rPr>
            <w:rStyle w:val="aa"/>
            <w:rFonts w:ascii="宋体" w:hAnsi="宋体" w:hint="eastAsia"/>
            <w:noProof/>
            <w:sz w:val="24"/>
          </w:rPr>
          <w:t>基金的转换</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_Toc231212102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55</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03" w:history="1">
        <w:r w:rsidRPr="009B4037">
          <w:rPr>
            <w:rStyle w:val="aa"/>
            <w:rFonts w:ascii="宋体" w:hAnsi="宋体" w:hint="eastAsia"/>
            <w:noProof/>
            <w:sz w:val="24"/>
          </w:rPr>
          <w:t>十、基金的投资</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_Toc231212103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62</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04" w:history="1">
        <w:r w:rsidRPr="009B4037">
          <w:rPr>
            <w:rStyle w:val="aa"/>
            <w:rFonts w:ascii="宋体" w:hAnsi="宋体" w:hint="eastAsia"/>
            <w:noProof/>
            <w:sz w:val="24"/>
          </w:rPr>
          <w:t>十一、基金的业绩</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_Toc231212104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73</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05" w:history="1">
        <w:r w:rsidRPr="009B4037">
          <w:rPr>
            <w:rStyle w:val="aa"/>
            <w:rFonts w:ascii="宋体" w:hAnsi="宋体" w:hint="eastAsia"/>
            <w:noProof/>
            <w:sz w:val="24"/>
          </w:rPr>
          <w:t>十二、基金的财产</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_Toc231212105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77</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06" w:history="1">
        <w:r w:rsidRPr="009B4037">
          <w:rPr>
            <w:rStyle w:val="aa"/>
            <w:rFonts w:ascii="宋体" w:hAnsi="宋体" w:hint="eastAsia"/>
            <w:noProof/>
            <w:sz w:val="24"/>
          </w:rPr>
          <w:t>十三、基金资产的估值</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_Toc231212106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78</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07" w:history="1">
        <w:r w:rsidRPr="009B4037">
          <w:rPr>
            <w:rStyle w:val="aa"/>
            <w:rFonts w:ascii="宋体" w:hAnsi="宋体" w:hint="eastAsia"/>
            <w:noProof/>
            <w:sz w:val="24"/>
          </w:rPr>
          <w:t>十四、基金收益与分配</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_Toc231212107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83</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08" w:history="1">
        <w:r w:rsidRPr="009B4037">
          <w:rPr>
            <w:rStyle w:val="aa"/>
            <w:rFonts w:ascii="宋体" w:hAnsi="宋体" w:hint="eastAsia"/>
            <w:noProof/>
            <w:sz w:val="24"/>
          </w:rPr>
          <w:t>十五、基金的费用与税收</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_Toc231212108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85</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09" w:history="1">
        <w:r w:rsidRPr="009B4037">
          <w:rPr>
            <w:rStyle w:val="aa"/>
            <w:rFonts w:ascii="宋体" w:hAnsi="宋体" w:hint="eastAsia"/>
            <w:noProof/>
            <w:sz w:val="24"/>
          </w:rPr>
          <w:t>十六、基金的会计与审计</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_Toc231212109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88</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10" w:history="1">
        <w:r w:rsidRPr="009B4037">
          <w:rPr>
            <w:rStyle w:val="aa"/>
            <w:rFonts w:ascii="宋体" w:hAnsi="宋体" w:hint="eastAsia"/>
            <w:noProof/>
            <w:sz w:val="24"/>
          </w:rPr>
          <w:t>十七、基金的信息披露</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_Toc231212110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89</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11" w:history="1">
        <w:r w:rsidRPr="009B4037">
          <w:rPr>
            <w:rStyle w:val="aa"/>
            <w:rFonts w:ascii="宋体" w:hAnsi="宋体" w:hint="eastAsia"/>
            <w:noProof/>
            <w:sz w:val="24"/>
          </w:rPr>
          <w:t>十八、侧袋机制</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_Toc231212111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95</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12" w:history="1">
        <w:r w:rsidRPr="009B4037">
          <w:rPr>
            <w:rStyle w:val="aa"/>
            <w:rFonts w:ascii="宋体" w:hAnsi="宋体" w:hint="eastAsia"/>
            <w:noProof/>
            <w:sz w:val="24"/>
          </w:rPr>
          <w:t>十九、风险揭示</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_Toc231212112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98</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13" w:history="1">
        <w:r w:rsidRPr="009B4037">
          <w:rPr>
            <w:rStyle w:val="aa"/>
            <w:rFonts w:ascii="宋体" w:hAnsi="宋体" w:hint="eastAsia"/>
            <w:noProof/>
            <w:sz w:val="24"/>
          </w:rPr>
          <w:t>二十、基金合同的变更、终止与基金财产的清算</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_Toc231212113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105</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14" w:history="1">
        <w:r w:rsidRPr="009B4037">
          <w:rPr>
            <w:rStyle w:val="aa"/>
            <w:rFonts w:ascii="宋体" w:hAnsi="宋体" w:hint="eastAsia"/>
            <w:noProof/>
            <w:sz w:val="24"/>
          </w:rPr>
          <w:t>二十一、基金合同内容摘要</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_Toc231212114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107</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15" w:history="1">
        <w:r w:rsidRPr="009B4037">
          <w:rPr>
            <w:rStyle w:val="aa"/>
            <w:rFonts w:ascii="宋体" w:hAnsi="宋体" w:hint="eastAsia"/>
            <w:noProof/>
            <w:sz w:val="24"/>
          </w:rPr>
          <w:t>二十二、托管协议的内容摘要</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_Toc231212115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124</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16" w:history="1">
        <w:r w:rsidRPr="009B4037">
          <w:rPr>
            <w:rStyle w:val="aa"/>
            <w:rFonts w:ascii="宋体" w:hAnsi="宋体" w:hint="eastAsia"/>
            <w:noProof/>
            <w:sz w:val="24"/>
          </w:rPr>
          <w:t>二十三、对基金份额持有人的服务</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_Toc231212116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140</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17" w:history="1">
        <w:r w:rsidRPr="009B4037">
          <w:rPr>
            <w:rStyle w:val="aa"/>
            <w:rFonts w:ascii="宋体" w:hAnsi="宋体" w:hint="eastAsia"/>
            <w:noProof/>
            <w:sz w:val="24"/>
          </w:rPr>
          <w:t>二十四、其他应披露事项</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_Toc231212117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142</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18" w:history="1">
        <w:r w:rsidRPr="009B4037">
          <w:rPr>
            <w:rStyle w:val="aa"/>
            <w:rFonts w:ascii="宋体" w:hAnsi="宋体" w:hint="eastAsia"/>
            <w:noProof/>
            <w:sz w:val="24"/>
          </w:rPr>
          <w:t>二十五、招募说明书的存放及查阅方式</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_Toc231212118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145</w:t>
        </w:r>
        <w:r w:rsidRPr="009B4037">
          <w:rPr>
            <w:rFonts w:ascii="宋体" w:hAnsi="宋体"/>
            <w:noProof/>
            <w:sz w:val="24"/>
          </w:rPr>
          <w:fldChar w:fldCharType="end"/>
        </w:r>
      </w:hyperlink>
    </w:p>
    <w:p w:rsidR="009B4037" w:rsidRPr="009B4037" w:rsidRDefault="009B4037" w:rsidP="009B4037">
      <w:pPr>
        <w:pStyle w:val="10"/>
        <w:tabs>
          <w:tab w:val="right" w:leader="dot" w:pos="8550"/>
        </w:tabs>
        <w:spacing w:line="360" w:lineRule="auto"/>
        <w:rPr>
          <w:rFonts w:ascii="宋体" w:hAnsi="宋体" w:cstheme="minorBidi"/>
          <w:noProof/>
          <w:sz w:val="24"/>
        </w:rPr>
      </w:pPr>
      <w:hyperlink w:anchor="_Toc231212119" w:history="1">
        <w:r w:rsidRPr="009B4037">
          <w:rPr>
            <w:rStyle w:val="aa"/>
            <w:rFonts w:ascii="宋体" w:hAnsi="宋体" w:hint="eastAsia"/>
            <w:noProof/>
            <w:sz w:val="24"/>
          </w:rPr>
          <w:t>二十六、备查文件</w:t>
        </w:r>
        <w:r w:rsidRPr="009B4037">
          <w:rPr>
            <w:rFonts w:ascii="宋体" w:hAnsi="宋体"/>
            <w:noProof/>
            <w:sz w:val="24"/>
          </w:rPr>
          <w:tab/>
        </w:r>
        <w:r w:rsidRPr="009B4037">
          <w:rPr>
            <w:rFonts w:ascii="宋体" w:hAnsi="宋体"/>
            <w:noProof/>
            <w:sz w:val="24"/>
          </w:rPr>
          <w:fldChar w:fldCharType="begin"/>
        </w:r>
        <w:r w:rsidRPr="009B4037">
          <w:rPr>
            <w:rFonts w:ascii="宋体" w:hAnsi="宋体"/>
            <w:noProof/>
            <w:sz w:val="24"/>
          </w:rPr>
          <w:instrText xml:space="preserve"> PAGEREF _Toc231212119 \h </w:instrText>
        </w:r>
        <w:r w:rsidRPr="009B4037">
          <w:rPr>
            <w:rFonts w:ascii="宋体" w:hAnsi="宋体"/>
            <w:noProof/>
            <w:sz w:val="24"/>
          </w:rPr>
        </w:r>
        <w:r w:rsidRPr="009B4037">
          <w:rPr>
            <w:rFonts w:ascii="宋体" w:hAnsi="宋体"/>
            <w:noProof/>
            <w:sz w:val="24"/>
          </w:rPr>
          <w:fldChar w:fldCharType="separate"/>
        </w:r>
        <w:r w:rsidRPr="009B4037">
          <w:rPr>
            <w:rFonts w:ascii="宋体" w:hAnsi="宋体"/>
            <w:noProof/>
            <w:sz w:val="24"/>
          </w:rPr>
          <w:t>146</w:t>
        </w:r>
        <w:r w:rsidRPr="009B4037">
          <w:rPr>
            <w:rFonts w:ascii="宋体" w:hAnsi="宋体"/>
            <w:noProof/>
            <w:sz w:val="24"/>
          </w:rPr>
          <w:fldChar w:fldCharType="end"/>
        </w:r>
      </w:hyperlink>
    </w:p>
    <w:p w:rsidR="00B23FEC" w:rsidRPr="009B4037" w:rsidRDefault="009B4037" w:rsidP="009B4037">
      <w:pPr>
        <w:pStyle w:val="ad"/>
        <w:snapToGrid w:val="0"/>
        <w:spacing w:after="240" w:line="360" w:lineRule="auto"/>
        <w:jc w:val="center"/>
        <w:rPr>
          <w:rFonts w:ascii="宋体" w:hAnsi="宋体"/>
          <w:color w:val="000000"/>
          <w:sz w:val="24"/>
        </w:rPr>
      </w:pPr>
      <w:r w:rsidRPr="009B4037">
        <w:rPr>
          <w:rFonts w:ascii="宋体" w:hAnsi="宋体"/>
          <w:color w:val="000000"/>
          <w:position w:val="-4"/>
          <w:sz w:val="24"/>
          <w:szCs w:val="30"/>
        </w:rPr>
        <w:fldChar w:fldCharType="end"/>
      </w:r>
      <w:bookmarkStart w:id="3" w:name="_GoBack"/>
      <w:bookmarkEnd w:id="3"/>
    </w:p>
    <w:p w:rsidR="00B23FEC" w:rsidRDefault="00B23FEC">
      <w:pPr>
        <w:autoSpaceDE w:val="0"/>
        <w:autoSpaceDN w:val="0"/>
        <w:adjustRightInd w:val="0"/>
        <w:snapToGrid w:val="0"/>
        <w:spacing w:line="360" w:lineRule="auto"/>
        <w:ind w:left="120" w:rightChars="6" w:right="13"/>
        <w:rPr>
          <w:rFonts w:ascii="宋体" w:hAnsi="宋体"/>
          <w:kern w:val="0"/>
          <w:szCs w:val="24"/>
        </w:rPr>
        <w:sectPr w:rsidR="00B23FEC">
          <w:pgSz w:w="11920" w:h="16840"/>
          <w:pgMar w:top="1480" w:right="1680" w:bottom="280" w:left="1680" w:header="0" w:footer="1073" w:gutter="0"/>
          <w:cols w:space="720"/>
        </w:sectPr>
      </w:pPr>
    </w:p>
    <w:p w:rsidR="00B23FEC" w:rsidRDefault="00136A25">
      <w:pPr>
        <w:pStyle w:val="1"/>
        <w:snapToGrid w:val="0"/>
        <w:spacing w:beforeLines="0" w:before="240" w:after="240"/>
        <w:rPr>
          <w:rFonts w:ascii="宋体" w:hAnsi="宋体"/>
          <w:szCs w:val="30"/>
        </w:rPr>
      </w:pPr>
      <w:bookmarkStart w:id="4" w:name="_Toc231212094"/>
      <w:r>
        <w:rPr>
          <w:rFonts w:ascii="Times New Roman" w:hAnsi="Times New Roman"/>
          <w:sz w:val="30"/>
        </w:rPr>
        <w:lastRenderedPageBreak/>
        <w:t>一、绪言</w:t>
      </w:r>
      <w:bookmarkEnd w:id="4"/>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裕通纯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裕通纯债债券型证券投资基金基金合同》（以下简称“基金合同”）编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5" w:name="_Toc231212095"/>
      <w:r>
        <w:rPr>
          <w:rFonts w:ascii="Times New Roman" w:hAnsi="Times New Roman"/>
          <w:sz w:val="30"/>
        </w:rPr>
        <w:lastRenderedPageBreak/>
        <w:t>二、释义</w:t>
      </w:r>
      <w:bookmarkEnd w:id="5"/>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1、基金或本基金：指交银施罗德裕通纯债债券型证券投资基金</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3、基金托管人或本基金托管人：指兴业银行股份有限公司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4、基金合同或《基金合同》：指《交银施罗德裕通纯债债券型证券投资基金基金合同》及对基金合同的任何有效修订和补充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5、托管协议：指基金管理人与基金托管人就本基金签订之《交银施罗德裕通纯债债券型证券投资基金托管协议》及对该托管协议的任何有效修订和补充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6、招募说明书、本招募说明书或《招募说明书》：指《交银施罗德裕通纯债债券型证券投资基金招募说明书》及其更新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7、基金份额发售公告：指《交银施罗德裕通纯债债券型证券投资基金基金份额发售公告》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8、基金产品资料概要：指《交银施罗德裕通纯债债券型证券投资基金基金产品资料概要》及其更新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16、银行业监督管理机构：指中国人民银行和/或中国银行业监督管理委员会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43、销售服务费：指从基金资产中计提的，用于本基金市场推广、销售以及基金份额持有人服务的费用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44、基金份额类别：指本基金根据认购/申购费用、赎回费用、销售服务费收取标准和收取方式的不同，将基金份额分为不同的类别。在投资人认购/申购时收</w:t>
      </w:r>
      <w:r>
        <w:rPr>
          <w:rFonts w:ascii="宋体" w:hAnsi="宋体"/>
          <w:sz w:val="24"/>
        </w:rPr>
        <w:lastRenderedPageBreak/>
        <w:t>取认购/申购费用、赎回时收取赎回费用的，称为A类基金份额；在投资人认购/申购时不收取认购/申购费用、赎回时收取赎回费用，并从本类别基金资产中计提销售服务费的，称为C类基金份额；在投资人申购时收取申购费用、赎回时收取赎回费用的，称为D类基金份额，A类基金份额与D类基金份额设置不同的申购费、赎回费收取标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46、转托管：指基金份额持有人在本基金的不同销售机构之间实施的变更所持基金份额销售机构的操作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51、基金资产总值：指基金拥有的各类有价证券、银行存款本息、基金应收申购款及其他资产的价值总和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56、指定媒介：指中国证监会指定的用以进行信息披露的全国性报刊及指定互</w:t>
      </w:r>
      <w:r>
        <w:rPr>
          <w:rFonts w:ascii="宋体" w:hAnsi="宋体"/>
          <w:sz w:val="24"/>
        </w:rPr>
        <w:lastRenderedPageBreak/>
        <w:t>联网网站（包括基金管理人网站、基金托管人网站、中国证监会基金电子披露网站）等媒介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6" w:name="_Toc231212096"/>
      <w:r>
        <w:rPr>
          <w:rFonts w:ascii="Times New Roman" w:hAnsi="Times New Roman"/>
          <w:sz w:val="30"/>
        </w:rPr>
        <w:lastRenderedPageBreak/>
        <w:t>三、基金管理人</w:t>
      </w:r>
      <w:bookmarkEnd w:id="6"/>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基金经理。天津大学数量经济学硕士、经济学学士，20年证券投资行业从业经验。2004年至2006年任北方国际信托投资股份有限公司固定收益研究员，2006年至2010年任光大保德信基金管理有限公司交易员、基金经理助理、基金经理，2010年至2014年任银华基金管理有限公司基金经理，2014年至2016年任五矿证券有限公司固定收益事业部投资管理部总经理。于2007年11月9日至2010年8月30日任光大保德信货币市场基金基金经理，2008年10月29日至2010年8月30日任光大保德信增利收益债券型证券投资基金基金经理，2011年6月28日至2013年6月16日任银华永祥保本混合型证券投资基金基金经理，2011年8月2日至2014年4月24日任银华货币市场证券投资基金基金经理,2012年8月9日至2014年10月7日任银华纯债信用主题债券型证券投资基金（LOF）基金经理，2013年4月1日至2014年4月24日任银华交易型货币市场基金基金经理，2013年8月7日至2014年10月7日任银华信用四季红债券型证券投资基金基金经理，2013年9月18日至2014年10月7日任银华信用季季红债券型证券投资基金基金经理，2014年5月8日至2014年10月7日任银华信用债券型证券投资基金(LOF)基金经理。2016年加入交银施罗德基金管理有限公司，曾任固定收益（公募）投资总监、多元资产管理总监，现任混合资产投资总监、基金经理。曾任交银施罗德丰盈收益债券型证券投资基金(2016年12月29日至2020年08月21日)、交银施罗德增利增强债券型证券投资基金(2017年06月10日至2019年03月15日)、交银施罗德增强收益债券型证券投资基金(2017年06月10日至2019年03月15日)、交银施罗德增利债券证券投资基金(2017年06月10日至2020年08月21日)、交银施罗德荣鑫灵活配置混合型证券投资基金(2017年06月10日至2019年03月15日)、交银施罗德稳固收益债券型证券投资基金(2017年06月10日至2019年03月15日)、交银施罗德丰硕收益债券型证券投资基金(2017年06月10日至2018年07月19日)、交银施罗德定期支付月月丰债券型证券投资基金(2017年06月10日至2019年03月14日)、交银施罗德强化回报债券型证券投资基金(2017年06月10日至2019年03月14日)、交银施罗德裕如纯债债券型证券投资基金(2018年05月25日至2021年01月15日)、交银</w:t>
      </w:r>
      <w:r>
        <w:rPr>
          <w:rFonts w:ascii="宋体" w:hAnsi="宋体"/>
          <w:sz w:val="24"/>
        </w:rPr>
        <w:lastRenderedPageBreak/>
        <w:t>施罗德裕泰两年定期开放债券型证券投资基金(2019年12月10日至2024年04月12日)、交银施罗德鸿福六个月持有期混合型证券投资基金(2021年03月30日至2025年01月24日)、交银施罗德鸿泰一年持有期混合型证券投资基金(2021年11月24日至2025年12月16日)、交银施罗德裕如纯债债券型证券投资基金(2023年09月07日至2024年11月23日)的基金经理。现任交银施罗德纯债债券型发起式证券投资基金(2017年06月10日至今)、交银施罗德丰晟收益债券型证券投资基金(2018年05月23日至今)、交银施罗德裕坤纯债一年定期开放债券型发起式证券投资基金(2019年12月26日至今)、交银施罗德鸿光一年持有期混合型证券投资基金(2021年03月08日至今)、交银施罗德鸿信一年持有期混合型证券投资基金(2021年08月06日至今)、交银施罗德裕盈纯债债券型证券投资基金(2022年11月12日至今)、交银施罗德裕道纯债一年定期开放债券型发起式证券投资基金(2024年03月29日至今)、交银施罗德裕通纯债债券型证券投资基金(2024年12月17日至今)的基金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黄莹洁女士(2015年12月29日至2019年10月23日)；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章妍女士(2016年01月09日至2017年03月30日)；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唐赟先生(2017年03月31日至2019年10月24日)；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季参平先生(2019年10月12日至2024年12月17日)。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3、对所管理的不同基金财产分别管理、分别记账，进行证券投资；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1、依照有关法律法规和基金合同的规定，本着谨慎的原则为基金份额持有人谋取最大利益；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（2）合规风险及审计委员会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3、风险管理和内部风险控制的措施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7" w:name="_Toc231212097"/>
      <w:r>
        <w:rPr>
          <w:rFonts w:ascii="Times New Roman" w:hAnsi="Times New Roman"/>
          <w:sz w:val="30"/>
        </w:rPr>
        <w:lastRenderedPageBreak/>
        <w:t>四、基金托管人</w:t>
      </w:r>
      <w:bookmarkEnd w:id="7"/>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名称：兴业银行股份有限公司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办公地址：上海市银城路167号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成立日期：1988年8月22日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批准设立机关和批准设立文号：中国人民银行总行，银复[1988]347号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基金托管业务批准文号：中国证监会证监基金字[2005]74号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注册资本：207.74亿元人民币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2、发展概况及财务状况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成立于1988年8月，是经国务院、中国人民银行批准成立的首批股份制商业银行之一，总行设在福建省福州市，2007年2月5日正式在上海证券交易所挂牌上市（股票代码：601166），注册资本207.74亿元。截至2025年12月31日，兴业银行资产总额达到11.09万亿元，较上年末增长5.58%。开业三十多年来，兴业银行始终坚持“真诚服务，相伴成长”的经营理念，致力于为客户提供全面、优质、高效的金融服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（二）托管业务部部门设置及员工情况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兴业银行股份有限公司总行设资产托管部，下设综合管理处、证券基金处、信托保险处、理财私募处、需求支持处、稽核监察处、投资监督处、运行管理处，共有员工100余人，业务岗位人员均具有基金从业资格。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股份有限公司于2005年4月26日取得基金托管资格。基金托管业务批准文号：证监基金字[2005]74号。截至2026年3月31日，兴业银行共托管证券投资基金883只，托管基金的基金资产净值合计29120.24亿元，基金份额合计25214.35</w:t>
      </w:r>
      <w:r>
        <w:rPr>
          <w:rFonts w:ascii="宋体" w:hAnsi="宋体"/>
          <w:sz w:val="24"/>
        </w:rPr>
        <w:lastRenderedPageBreak/>
        <w:t>亿份。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资产的安全完整，确保有关信息的真实、准确、完整、及时，保护基金份额持有人的合法权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兴业银行基金托管业务内部控制组织架构由总行内部控制委员会、总行风险管理部门、总行审计部、总行资产托管部、总行运营管理部及分行托管运营机构共同组成。各级内部控制组织依照本行相关制度对本行托管业务风险管理和内部控制实施管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（1）全面性原则：内部控制贯穿资产托管业务的全过程，覆盖各项业务和产品，以及从事资产托管业务的各机构和从业人员；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（2）重要性原则：内部控制应当在全面控制的基础上，关注重要业务事项和高风险领域；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（3）独立性原则：开展托管业务的部门和岗位的设置应权责分明、相对独立、相互制衡；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（4）审慎性原则：内控与风险管理必须以防范风险，保证托管资产的安全与完整为出发点，“内控优先”，“制度优先”，审慎发展资产托管业务；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（5）制衡性原则：内部控制应当在治理结构、机构设置及权责分配、业务流程等方面形成相互制约、相互监督，同时兼顾运营效率；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适应性原则：内部控制体系应同所处的环境相适应，以合理的成本实现内控目标，内部制度的制订应当具有前瞻性，并应当根据国家政策、法律及经营管理的需要，适时进行相应修改和完善；内部控制存在的问题应当能够得到及时反馈和纠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（7）成本效益原则：内部控制应当权衡实施成本与预期效益，以适当的成本实现有效控制。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4、内部控制制度及措施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（1）制度建设：建立了明确的岗位职责、科学的业务流程、详细的操作手</w:t>
      </w:r>
      <w:r>
        <w:rPr>
          <w:rFonts w:ascii="宋体" w:hAnsi="宋体"/>
          <w:sz w:val="24"/>
        </w:rPr>
        <w:lastRenderedPageBreak/>
        <w:t>册、严格的人员行为规范等一系列规章制度。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（2）建立健全的组织管理结构：前后台分离，不同部门、岗位相互牵制。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（3）风险识别与评估：稽核监察处指导业务处室进行风险识别、评估，制定并实施风险控制措施。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（4）相对独立的业务操作空间：业务操作区相对独立，实施门禁管理和音像监控。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（5）人员管理：进行定期的业务与职业道德培训，使员工树立风险防范与控制理念，并签订承诺书。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（6）应急预案：制定完备的《应急预案》，并组织员工定期演练；建立异地灾备中心，保证业务不中断。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违反《基金法》、《运作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基金托管人发现基金管理人有重大违规行为，立即报告中国证监会，同时，通知基金管理人限期纠正，并将纠正结果报告中国证监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基金托管人发现基金管理人的指令违反法律、行政法规和其他有关规定，或者违反基金合同约定的，应当拒绝执行，立即通知基金管理人，并及时向中国证监会报告。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8" w:name="_Toc231212098"/>
      <w:r>
        <w:rPr>
          <w:rFonts w:ascii="Times New Roman" w:hAnsi="Times New Roman"/>
          <w:sz w:val="30"/>
        </w:rPr>
        <w:lastRenderedPageBreak/>
        <w:t>五、相关服务机构</w:t>
      </w:r>
      <w:bookmarkEnd w:id="8"/>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（2）名称：平安银行股份有限公司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注册地址：深圳市罗湖区深南东路5047号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（3）名称：宁波银行股份有限公司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（5）名称：兴业银行股份有限公司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联系电话：021-52629999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（6）名称：江苏银行股份有限公司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（7）名称：中国邮政储蓄银行股份有限公司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（8）名称：华西证券股份有限公司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（9）名称：国金证券股份有限公司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住所：四川省成都市东城根上街95号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（10）名称：国信证券股份有限公司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（11）名称：中信建投证券股份有限公司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（12）名称：招商证券股份有限公司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传真：（0755）82943636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（13）名称：广发证券股份有限公司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（14）名称：西部证券股份有限公司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（15）名称：华泰证券股份有限公司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（16）名称：中信证券（山东）有限责任公司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（18）名称：开源证券股份有限公司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（19）名称：中信证券华南股份有限公司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联系人：郭杏燕</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（20）名称：平安证券股份有限公司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（21）名称：申万宏源证券有限公司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（22）名称：申万宏源西部证券有限公司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（23）名称：光大证券股份有限公司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住所：上海市静安区新闸路1508号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（24）名称：国联民生证券股份有限公司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（25）名称：华宝证券股份有限公司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（26）名称：中国中金财富证券有限公司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电话：（0755）88320851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（27）名称：东方证券股份有限公司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（28）名称：民生证券股份有限公司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（29）名称：京东肯特瑞基金销售有限公司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网址：kenterui.jd.com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（30）名称：腾安基金销售（深圳）有限公司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（31）名称：上海挖财基金销售有限公司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（32）名称：南京苏宁基金销售有限公司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（33）名称：上海联泰基金销售有限公司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住所：上海市普陀区兰溪路900弄15号526室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（34）名称：北京创金启富基金销售有限公司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（35）名称：北京度小满基金销售有限公司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（36）名称：玄元保险代理有限公司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电话：（021）50701053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（37）名称：北京雪球基金销售有限公司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（38）名称：蚂蚁（杭州）基金销售有限公司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（39）名称：中信期货有限公司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联系人：刘宏莹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（40）名称：浙江同花顺基金销售有限公司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（41）名称：上海基煜基金销售有限公司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（42）名称：北京汇成基金销售有限公司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网址：www.hcfunds.co</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（43）名称：上海利得基金销售有限公司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（44）名称：上海天天基金销售有限公司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（45）名称：珠海盈米基金销售有限公司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（46）名称：上海万得基金销售有限公司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办公地址：上海市浦东新区浦明路1500号万得大厦11楼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（47）名称：上海好买基金销售有限公司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（48）名称：上海中欧财富基金销售有限公司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（49）名称：上海长量基金销售有限公司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联系人：单丙烨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基金管理人可根据有关法律法规的要求，选择其它符合要求的机构销售本基金，并及时公告。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经办会计师：沈兆杰、李隐煜</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9" w:name="_Toc231212099"/>
      <w:r>
        <w:rPr>
          <w:rFonts w:ascii="Times New Roman" w:hAnsi="Times New Roman"/>
          <w:sz w:val="30"/>
        </w:rPr>
        <w:lastRenderedPageBreak/>
        <w:t>六、基金的募集</w:t>
      </w:r>
      <w:bookmarkEnd w:id="9"/>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本基金由基金管理人依照《基金法》、《运作办法》、《销售办法》、基金合同及其他有关规定，并经中国证监会2015年12月1日证监许可[2015] 2792号文准予募集注册。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本基金自2015年12月16日至2015年 12月24日进行发售，本基金设立募集期共募集221,277,337.36份基金份额，有效认购户数为528户。</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10" w:name="_Toc231212100"/>
      <w:r>
        <w:rPr>
          <w:rFonts w:ascii="Times New Roman" w:hAnsi="Times New Roman"/>
          <w:sz w:val="30"/>
        </w:rPr>
        <w:lastRenderedPageBreak/>
        <w:t>七、基金合同的生效</w:t>
      </w:r>
      <w:bookmarkEnd w:id="10"/>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根据有关规定，本基金满足基金合同生效条件，基金合同已于2015年12月29日正式生效。自基金合同生效之日起，本基金管理人正式开始管理本基金。</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五十个工作日出现基金份额持有人数量不满200人或者基金资产净值低于5000万元情形的，基金管理人提前终止基金合同，不需召开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11" w:name="_Toc231212101"/>
      <w:r>
        <w:rPr>
          <w:rFonts w:ascii="Times New Roman" w:hAnsi="Times New Roman"/>
          <w:sz w:val="30"/>
        </w:rPr>
        <w:lastRenderedPageBreak/>
        <w:t>八、基金份额的申购与赎回</w:t>
      </w:r>
      <w:bookmarkEnd w:id="11"/>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个人投资者可以通过基金管理人网上直销交易平台办理开户、本基金的申购、赎回、转换及定期定额投资等业务，具体交易细则请参阅基金管理人网站。网上直销交易平台网址：www.fund001.com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若出现新的证券交易市场、证券交易所交易时间变更或其他特殊情况，基金管理人将视情况对前述开放日及开放时间进行相应的调整，但应在实施日前依照《信息披露办法》的有关规定在指定媒介上公告。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本基金A类基金份额和C类基金份额已于2016年1月26日起开放申购、赎回业务。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本基金D类基金份额已于2024年9月6日起开放申购、赎回业务。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受申购申请的最低金额为单笔1元，如果销售机构业务规则规定的最低单笔申购金额高于1元，以销售机构的规定为准。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本基金基金份额分为A类基金份额、C类基金份额和D类基金份额。投资人申购A类基金份额或D类基金份额在申购时支付申购费用，申购C类基金份额不支付申购费用，而是从该类别基金资产中计提销售服务费。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A类基金份额和D类基金份额的申购费用由申购该类基金份额的投资人承担，不列入基金财产，主要用于本基金的市场推广、销售、登记结算等各项费用。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投资人可以多次申购本基金，A类基金份额和D类基金份额申购费用按每笔该类基金份额申购申请单独计算。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23FE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23FE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类基金份额申购费率</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持有A类基金份额或D类基金份额的投资人因红利自动再投资而产生的A类基金份额或D类基金份额，不收取相应的申购费用。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本基金对通过基金管理人直销柜台申购A类基金份额或D类基金份额的养老金客户实施特定申购费率。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也将其纳入养老金客户范围，并按规定向中国证监会备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B23FE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通过基金管理人直销柜台申购本基金D类基金份额的养老金客户特定申购费率如下表：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B23FE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类基金份额特定申购费率</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A类基金份额、C类基金份额和D类基金份额的赎回费用由赎回该类基金份额的基金份额持有人承担，赎回费总额的25%应归基金财产，其余用于支付登记费和其他必要的手续费。其中，对持续持有期少于7日的基金份额持有人收取不低于1.5%的赎回费并全额计入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23FE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23FE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23FE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23FE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3FEC" w:rsidRDefault="00B23FE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w:t>
      </w:r>
      <w:r>
        <w:rPr>
          <w:rFonts w:ascii="宋体" w:hAnsi="宋体"/>
          <w:sz w:val="24"/>
        </w:rPr>
        <w:lastRenderedPageBreak/>
        <w:t>情况制定基金促销计划，针对投资人定期和不定期地开展基金促销活动。在基金促销活动期间，基金管理人可以按中国证监会要求履行必要手续后，对投资人适当调低基金申购费率和赎回费率。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（1）申购的有效份额为净申购金额除以当日该类基金份额的基金份额净值，有效份额单位为份，申购份额计算结果按四舍五入方法，保留到小数点后2位，由此产生的收益或损失由基金财产承担。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9B4037">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60pt">
            <v:imagedata r:id="rId15" o:title="1521256610242020828"/>
          </v:shape>
        </w:pic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例一：某投资者（非养老金客户）投资100,000元申购本基金的A类基金份额，假设申购当日A类基金份额净值为1.0400元，申购费率为0.8%，则其可得到的申购份额为：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w:t>
      </w:r>
      <w:r>
        <w:rPr>
          <w:rFonts w:ascii="宋体" w:hAnsi="宋体"/>
          <w:sz w:val="24"/>
        </w:rPr>
        <w:lastRenderedPageBreak/>
        <w:t>基金份额净值为1.0400元，如果其选择申购A类基金份额，则其可得到95,390.72份基金份额。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例二：某养老金客户投资100,000元通过基金管理人的直销柜台申购本基金的A类基金份额，假设申购当日A类基金份额净值为1.0400元，申购费率为0.32%，则其可得到的申购份额为：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（3）D类基金份额的申购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如果投资者选择申购D类基金份额，则申购份额的计算方法如下：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申购份额=净申购金额/T日D类基金份额净值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例四：某投资者（非养老金客户）投资100,000元申购本基金的D类基金份额，假设申购当日D类基金份额净值为1.0400元，申购费率为0.9%，则其可得到的申购份额为：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净申购金额=100,000/（1+0.9%）=99,108.03元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申购费用=100,000-99,108.03=891.97元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申购份额=99,108.03/1.0400=95,296.18份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即：某投资者（非养老金客户）投资100,000元申购本基金D类基金份额，假设申购当日D类基金份额净值为1.0400元，则其可得到95,296.18份D类基金份额。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例五：某养老金客户投资1,000,000元通过基金管理人的直销柜台申购本基金的D类基金份额，假设申购当日D类基金份额净值为1.0400元，申购费率为0.12%，则其可得到的申购份额为：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净申购金额=1,000,000/（1+0.12%）=998,801.44元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申购费用=1,000,000-998,801.44=1,198.56元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申购份额=998,801.44/1.0400=960,386.00份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即：该养老金客户投资1,000,000元通过基金管理人的直销柜台申购本基金的D类基金份额，假设申购当日D类基金份额净值为1.0400元，则其可得到960,386.00份D类基金份额。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赎回金额为按实际确认的有效赎回份额乘以当日该类基金份额的基金份额净值并扣除相应的费用，赎回金额单位为元，计算结果保留到小数点后两位，第三位四舍五入，由此产生的收益或损失由基金财产承担。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例六：某投资者赎回100,000份A类基金份额，持有期限为10日，对应的赎回费率为0.1%，假设赎回当日A类基金份额净值是1.0160元，则其可得到的赎回金额为：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赎回费用=100,000×1.0160×0.1%＝101.60元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即：投资者赎回100,000份A类基金份额，持有期限为10日，对应的赎回费率为0.1%，假设赎回当日A类基金份额净值是1.0160元，则其可得到的赎回金额为101,498.40元。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例七：某投资者赎回100,000份C类基金份额，持有期限为10日，对应的赎回费率为0，假设赎回当日C类基金份额净值是1.2500 元，则其可得到的赎回金额为：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赎回金额=100,000×1.2500-0=125,000.00 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即：投资者赎回100,000份C类基金份额，持有期限为10日，对应的赎回费率为0，假设赎回当日C类基金份额净值是1.2500元，则其可得到的赎回金额为125,000.00元。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（3）D类基金份额的赎回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投资者赎回D类基金份额，赎回金额的计算方法如下：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赎回费用=赎回份额×T日D类基金份额净值×赎回费率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赎回金额=赎回份额×T日D类基金份额净值-赎回费用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例八：某投资者赎回100,000份D类基金份额，持有期限为10日，对应的赎回费率为0，假设赎回当日D类基金份额净值是1.0160元，则其可得到的赎回金额为：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赎回金额=100,000×1.0160-0.00＝101,600.00元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即：投资者赎回100,000份D类基金份额，持有期限为10日，对应的赎回费率为0，假设赎回当日D类基金份额净值是1.0160元，则其可得到的赎回金额为101,600.00元。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C类基金份额净值＝C类基金份额的基金资产净值总额/发行在外的C类基金份额总数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D类基金份额净值＝D类基金份额的基金资产净值总额/发行在外的D类基金份额总数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各类基金份额净值在当天收市后计算，并在T＋1日（包括该日）内公告。遇特殊情况，经中国证监会同意，可以适当延迟计算或公告。本基金A类基金份额、C类基金份额和D类基金份额的基金份额净值的计算，均保留到小数点后4位，小数点后第5位四舍五入，由此误差产生的收益或损失由基金财产承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w:t>
      </w:r>
      <w:r>
        <w:rPr>
          <w:rFonts w:ascii="宋体" w:hAnsi="宋体"/>
          <w:sz w:val="24"/>
        </w:rPr>
        <w:lastRenderedPageBreak/>
        <w:t>购公告。如果投资人的申购申请被拒绝，被拒绝的申购款项将退还给投资人。在暂停申购的情况消除时，基金管理人应及时恢复申购业务的办理。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5、基金管理人、基金托管人、基金销售机构、基金销售支付结算机构或登记机构的异常情况导致基金销售系统、基金销售支付结算系统、基金注册登记系统或基金会计系统无法正常运行。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6、继续接受赎回申请将损害现有基金份额持有人利益的情形时，可暂停接受投资人的赎回申请。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w:t>
      </w:r>
      <w:r>
        <w:rPr>
          <w:rFonts w:ascii="宋体" w:hAnsi="宋体"/>
          <w:sz w:val="24"/>
        </w:rPr>
        <w:lastRenderedPageBreak/>
        <w:t>换中转出申请份额总数后扣除申购申请份额总数及基金转换中转入申请份额总数后的余额)超过前一开放日的基金总份额的10%，即认为是发生了巨额赎回。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w:t>
      </w:r>
      <w:r>
        <w:rPr>
          <w:rFonts w:ascii="宋体" w:hAnsi="宋体"/>
          <w:sz w:val="24"/>
        </w:rPr>
        <w:lastRenderedPageBreak/>
        <w:t>关处理方法，并在2日内在指定媒介上刊登公告。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1月25日刊登公告自2016年1月26日起开通A类基金份额和C类基金份额的定期定额投资计划业务，本基金2024年9月5日刊登公告自2024年9月6日起增设D类基金份额并开通D类基金份额的定期定额投资计划业务，具体开通销售机构名单和业务规则参见相关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（十五）基金份额的冻结和解冻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12" w:name="_Toc231212102"/>
      <w:r>
        <w:rPr>
          <w:rFonts w:ascii="Times New Roman" w:hAnsi="Times New Roman"/>
          <w:sz w:val="30"/>
        </w:rPr>
        <w:lastRenderedPageBreak/>
        <w:t>九、</w:t>
      </w:r>
      <w:r>
        <w:rPr>
          <w:rFonts w:ascii="Times New Roman" w:hAnsi="Times New Roman"/>
          <w:sz w:val="30"/>
        </w:rPr>
        <w:t xml:space="preserve"> </w:t>
      </w:r>
      <w:r>
        <w:rPr>
          <w:rFonts w:ascii="Times New Roman" w:hAnsi="Times New Roman"/>
          <w:sz w:val="30"/>
        </w:rPr>
        <w:t>基金的转换</w:t>
      </w:r>
      <w:bookmarkEnd w:id="12"/>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本基金2020年5月20日刊登公告自2020年5月22日起开放A类基金份额和C类基金份额的日常转换业务，本基金2024年9月5日刊登公告自2024年9月6日起增设D类基金份额并开通D类基金份额的日常转换业务。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（四）基金转换的数额限制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13" w:name="_Toc231212103"/>
      <w:r>
        <w:rPr>
          <w:rFonts w:ascii="Times New Roman" w:hAnsi="Times New Roman"/>
          <w:sz w:val="30"/>
        </w:rPr>
        <w:lastRenderedPageBreak/>
        <w:t>十、基金的投资</w:t>
      </w:r>
      <w:bookmarkEnd w:id="13"/>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在严格控制风险的基础上，通过积极主动的投资管理，追求基金资产的长期稳健增值，力争实现超越业绩比较基准的投资回报。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国债、金融债、央行票据、地方政府债、企业债、公司债、中小企业私募债、中期票据、短期融资券、超级短期融资券、资产支持证券、次级债、可分离交易可转债的纯债部分、债券回购、银行存款、货币市场工具以及法律法规或中国证监会允许基金投资的其他金融工具（但须符合中国证监会相关规定）。本基金不直接在二级市场买入股票、权证等权益类资产，也不参与一级市场新股申购和新股增发。同时本基金不参与可转换债券投资（分离交易可转债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现金或到期日在一年以内的政府债券的投资比例合计不低于基金资产净值的5%，其中现金不包括结算备付金、存出保证金和应收申购款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宏观周期研究、行业周期研究、公司研究相结合，在分析和判断宏观经济运行状况和金融市场运行趋势的基础上，动态调整大类金融资产比例，自上而下决定债券组合久期、期限结构、债券类别配置策略，在严谨深入的分析基础上，综合考量各类债券的流动性、供求关系和收益率水平等，深入挖掘价值被低估的标的券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分析和定量分析相结合，形成对大类资产的预测和判断，在基金合同约定的范围内确定债券类资产和现金类资产的配置比例，并随着各类证券风险收益特征的相</w:t>
      </w:r>
      <w:r>
        <w:rPr>
          <w:rFonts w:ascii="宋体" w:hAnsi="宋体"/>
          <w:sz w:val="24"/>
        </w:rPr>
        <w:lastRenderedPageBreak/>
        <w:t>对变化，动态调整大类资产的投资比例，以规避市场风险，提高基金收益率。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作为债券基金最基本的投资策略，久期管理策略本质上是一种自上而下，通过灵活的久期策略对管理利率风险的策略。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密切关注货币信贷、利率、汇率、采购经理人指数等宏观经济运行关键指标，运用数量化工具对宏观经济运行及货币财政政策变化跟踪与分析，对未来市场利率趋势进行分析预测，据此确定合理的债券组合目标久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基金管理人通过以下方面的分析来确定债券组合的目标久期：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宏观经济环境分析。通过跟踪分析货币信贷、采购经理人指数等宏观经济先行性经济指标，拉动经济增长的三大引擎进出口、消费以及投资等指标，判断当前经济运行在经济周期中所处的阶段，预期中央政府的货币与财政政策取向。</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2）利率变动趋势分析。在宏观经济环境分析的基础上，密切关注月度CPI、PPI等物价指数，货币信贷、汇率等金融运行数据，预测未来利率的变动趋势。</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目标久期分析。根据宏观经济环境分析与市场利率变动趋势分析，结合当期债券收益率估值水平，确定投资组合的目标久期。原则上，在利率上行通道中，通过缩短目标久期规避利率风险；在利率下行通道中，通过延长目标久期分享债券价格上涨的收益。在利率持平阶段，采用骑乘策略与持有策略，获得稳定的当前回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4）动态调整目标久期。通过对国内外宏观经济数据、金融市场运行、货币政策以及国内债券市场运行跟踪分析，评估未来利率水平变化趋势，结合债券市场收益率变动与基金投资目标，动态调整组合目标久期。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（3）债券的类别配置策略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对不同类别债券的信用风险、税赋水平、市场流动性、市场风险等因素进行分</w:t>
      </w:r>
      <w:r>
        <w:rPr>
          <w:rFonts w:ascii="宋体" w:hAnsi="宋体"/>
          <w:sz w:val="24"/>
        </w:rPr>
        <w:lastRenderedPageBreak/>
        <w:t>析，综合评估相同期限的国债、金融债、企业债、交易所和银行间市场投资品种的利差和变化趋势，通过不同类别资产的风险调整后收益比较，确定组合的类别资产配置。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（4）骑乘策略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骑乘策略，通过对债券收益曲线形状变动的预期为依据来建立和调整组合。当债券收益率曲线比较陡峭时，买入位于收益率曲线陡峭处的债券，持有一段时间后，伴随债券剩余期限的缩短与收益率水平的下降，获得一定的资本利得收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（5）杠杆放大策略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（6）信用债券投资策略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本基金信用债券的投资遵循以下流程：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1）信用债券研究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2）信用债券投资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基金经理从信用债券池中精选债券构建信用债券投资组合。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①信用债券信用评级的变化。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②不同信用等级的信用债券，以及同一信用等级不同标的债券之间的信用利差变化。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原则上，购买信用（拟）增级的信用债券，减持信用（拟）降级的信用债券；购买信用利差扩大后存在收窄趋势的信用债券，减持信用利差缩小后存在放宽趋势的信用债券。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（7）资产支持证券投资策略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w:t>
      </w:r>
      <w:r>
        <w:rPr>
          <w:rFonts w:ascii="宋体" w:hAnsi="宋体"/>
          <w:sz w:val="24"/>
        </w:rPr>
        <w:lastRenderedPageBreak/>
        <w:t>理，选择风险调整后的收益高的品种进行投资，以期获得长期稳定收益。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（8）中小企业私募债券投资策略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在投资是综合考虑虑信用基本面、债券收益率和流动性，选择发行主体资质优良，估值合理且流通相对充分的品种进行适度投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（7）本基金投资于同一原始权益人的各类资产支持证券的比例，不得超过基金资产净值的10%；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（8）本基金持有的全部资产支持证券，其市值不得超过基金资产净值的20%；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（9）本基金持有的同一(指同一信用级别)资产支持证券的比例，不得超过该资产支持证券规模的10%；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（10）本基金管理人管理的全部基金投资于同一原始权益人的各类资产支持证券，不得超过其各类资产支持证券合计规模的10%；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（11）本基金应投资于信用级别评级为BBB以上(含BBB)的资产支持证券。基金持有资产支持证券期间，如果其信用等级下降、不再符合投资标准，应在评级报告发布之日起3个月内予以全部卖出；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（12）本基金进入全国银行间同业市场进行债券回购的资金余额不得超过基金资产净值的40%；本基金在全国银行间同业市场中的债券回购最长期限为1年，债券回购到期后不得展期；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（13）本基金持有单只中小企业私募债券，其市值不得超过基金资产净值的10%；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（14）本基金的基金资产总值不得超过基金资产净值的140%；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11）、（15）、（16）项外，因证券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合同另有约定的除外。在上述期间内，本基金的投资范围、投资策略应当符合基金合同的约定。基金托管人对基金的投资的监督与检查自</w:t>
      </w:r>
      <w:r>
        <w:rPr>
          <w:rFonts w:ascii="宋体" w:hAnsi="宋体"/>
          <w:sz w:val="24"/>
        </w:rPr>
        <w:lastRenderedPageBreak/>
        <w:t>基金合同生效之日起开始。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比较基准较为合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w:t>
      </w:r>
      <w:r>
        <w:rPr>
          <w:rFonts w:ascii="宋体" w:hAnsi="宋体"/>
          <w:sz w:val="24"/>
        </w:rPr>
        <w:lastRenderedPageBreak/>
        <w:t>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（七）基金管理人代表基金行使债权人权利的处理原则及方法</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本基金托管人兴业银行股份有限公司根据本基金合同规定，于2026年04月20日复核了本报告中的财务指标、净值表现和投资组合报告等内容，保证复核内容不存在虚假记载、误导性陈述或者重大遗漏。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6,158,390,158.30</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92.32</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6,158,390,158.30</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92.32</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10,338,672.80</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501,804,370.41</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7.52</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6,670,533,201.51</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2,143,183,331.51</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38.14</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452,430,123.28</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8.05</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73,036,214.25</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1.30</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3,942,170,612.54</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70.15</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6,158,390,158.30</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109.59</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232580067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中行二级资本债</w:t>
            </w:r>
            <w:r>
              <w:rPr>
                <w:rFonts w:ascii="Times New Roman" w:hAnsi="Times New Roman"/>
                <w:color w:val="000000"/>
                <w:kern w:val="0"/>
                <w:sz w:val="25"/>
                <w:szCs w:val="24"/>
              </w:rPr>
              <w:t>03A(BC)</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202,893,687.67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3.61</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232580050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中行二级资本债</w:t>
            </w:r>
            <w:r>
              <w:rPr>
                <w:rFonts w:ascii="Times New Roman" w:hAnsi="Times New Roman"/>
                <w:color w:val="000000"/>
                <w:kern w:val="0"/>
                <w:sz w:val="25"/>
                <w:szCs w:val="24"/>
              </w:rPr>
              <w:t>02BC</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1,700,000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172,272,075.62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3.07</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232580056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广发银行二级资本债</w:t>
            </w:r>
            <w:r>
              <w:rPr>
                <w:rFonts w:ascii="Times New Roman" w:hAnsi="Times New Roman"/>
                <w:color w:val="000000"/>
                <w:kern w:val="0"/>
                <w:sz w:val="25"/>
                <w:szCs w:val="24"/>
              </w:rPr>
              <w:t>01BC</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152,021,506.85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2.71</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151,357,684.93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2.69</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260401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农发</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150,628,972.60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2.68</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2025年11月27日,国家外汇管理局广东省分局公示粤汇处[2025]16号行政处罚决定书,给予广发银行股份有限公司罚没共计1537.83万元人民币的行政处罚。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2025年10月31日,国家金融监督管理总局公示行政处罚决定书,给予中国民生银行股份有限公司5865万元人民币的行政处罚。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2025年10月31日,国家金融监督管理总局公示行政处罚决定书,给予中国银行股份有限公司9790万元人民币的行政处罚。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2025年10月31日,国家金融监督管理总局公示行政处罚决定书,给予中国农业银行股份有限公司罚没共计2720万元人民币的行政处罚。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2025年09月12日,国家金融监督管理总局公示行政处罚决定书,给予广发银行股份有限公司6670万元人民币的行政处罚。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12,308.51</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501,792,061.90</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right"/>
              <w:rPr>
                <w:rFonts w:ascii="宋体" w:hAnsi="宋体"/>
                <w:color w:val="000000"/>
                <w:kern w:val="0"/>
                <w:sz w:val="25"/>
                <w:szCs w:val="24"/>
              </w:rPr>
            </w:pPr>
            <w:r>
              <w:rPr>
                <w:rFonts w:ascii="Times New Roman" w:hAnsi="Times New Roman"/>
                <w:color w:val="000000"/>
                <w:kern w:val="0"/>
                <w:sz w:val="25"/>
                <w:szCs w:val="24"/>
              </w:rPr>
              <w:t>501,804,370.41</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14" w:name="_Toc231212104"/>
      <w:r>
        <w:rPr>
          <w:rFonts w:ascii="Times New Roman" w:hAnsi="Times New Roman"/>
          <w:sz w:val="30"/>
        </w:rPr>
        <w:lastRenderedPageBreak/>
        <w:t>十一、基金的业绩</w:t>
      </w:r>
      <w:bookmarkEnd w:id="14"/>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（1）交银裕通纯债债券A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3.05%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6.95%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4.89%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4.24%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2.14%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3.47%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8.36%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3.57%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-3.38%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4.38%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（2）交银裕通纯债债券C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2.65%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4.57%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6.51%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4.45%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3.82%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2.41%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4.80%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3.49%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7.89%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3.10%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-3.38%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3.98%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（3）交银裕通纯债债券D：</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3.05%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B23FE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1.74%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注：本基金的业绩比较基准为中债综合全价指数。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B23FEC" w:rsidRDefault="00136A2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交银施罗德裕通纯债债券型证券投资基金</w:t>
      </w:r>
    </w:p>
    <w:p w:rsidR="00B23FEC" w:rsidRDefault="00136A2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B23FEC" w:rsidRDefault="00136A2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（2015年12月29日至2026年03月31日）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（1）交银裕通纯债债券A</w:t>
      </w:r>
    </w:p>
    <w:p w:rsidR="00B23FEC" w:rsidRDefault="009B403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（2）交银裕通纯债债券C</w:t>
      </w:r>
    </w:p>
    <w:p w:rsidR="00B23FEC" w:rsidRDefault="009B403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7" o:title="1521256610242020828"/>
          </v:shape>
        </w:pic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（3）交银裕通纯债债券D</w:t>
      </w:r>
    </w:p>
    <w:p w:rsidR="00B23FEC" w:rsidRDefault="009B403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8" type="#_x0000_t75" style="width:439.5pt;height:268.5pt">
            <v:imagedata r:id="rId18" o:title="1521256610242020828"/>
          </v:shape>
        </w:pic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2、本基金自2024年9月6日起，开始销售D类份额，投资者提交的申购申请于2024年9月9日被确认并将有效份额登记在册。</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15" w:name="_Toc231212105"/>
      <w:r>
        <w:rPr>
          <w:rFonts w:ascii="Times New Roman" w:hAnsi="Times New Roman"/>
          <w:sz w:val="30"/>
        </w:rPr>
        <w:lastRenderedPageBreak/>
        <w:t>十二、基金的财产</w:t>
      </w:r>
      <w:bookmarkEnd w:id="15"/>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16" w:name="_Toc231212106"/>
      <w:r>
        <w:rPr>
          <w:rFonts w:ascii="Times New Roman" w:hAnsi="Times New Roman"/>
          <w:sz w:val="30"/>
        </w:rPr>
        <w:lastRenderedPageBreak/>
        <w:t>十三、基金资产的估值</w:t>
      </w:r>
      <w:bookmarkEnd w:id="16"/>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基金所拥有的债券和其它投资等持续以公允价值计量的金融资产及负债。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2、交易所市场发行未上市或未挂牌转让的债券，采用估值技术确定公允价值。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4、如有确凿证据表明按上述方法进行估值不能客观反映其公允价值的，基金管理人可根据具体情况与基金托管人商定后，按最能反映公允价值的方法估值。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5、相关法律法规以及监管部门有强制规定的，从其规定。如有新增事项，按法律法规以及监管部门最新规定估值。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如基金管理人或基金托管人发现基金估值违反基金合同订明的估值方法、程序及相关法律法规的规定或者未能充分维护基金份额持有人利益时，应立即通知对方，共同查明原因，双方协商解决。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基金管理人于每个工作日计算基金资产净值及基金份额净值，并按规定公告。如遇特殊情况，经中国证监会同意，可以适当延迟计算或公告。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w:t>
      </w:r>
      <w:r>
        <w:rPr>
          <w:rFonts w:ascii="宋体" w:hAnsi="宋体"/>
          <w:sz w:val="24"/>
        </w:rPr>
        <w:lastRenderedPageBreak/>
        <w:t>值错误处理原则”给予赔偿，承担赔偿责任。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（2）根据估值错误处理原则或当事人协商的方法对因估值错误造成的损失进行评估；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（七）基金净值的确认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17" w:name="_Toc231212107"/>
      <w:r>
        <w:rPr>
          <w:rFonts w:ascii="Times New Roman" w:hAnsi="Times New Roman"/>
          <w:sz w:val="30"/>
        </w:rPr>
        <w:lastRenderedPageBreak/>
        <w:t>十四、基金收益与分配</w:t>
      </w:r>
      <w:bookmarkEnd w:id="17"/>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1、由于本基金A类基金份额和D类基金份额不收取销售服务费，C类基金份额收取销售服务费，各基金份额类别对应的可供分配利润将有所不同；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2、若基金合同生效不满3个月可不进行收益分配；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C类和D类基金份额分别选择不同的收益分配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18" w:name="_Toc231212108"/>
      <w:r>
        <w:rPr>
          <w:rFonts w:ascii="Times New Roman" w:hAnsi="Times New Roman"/>
          <w:sz w:val="30"/>
        </w:rPr>
        <w:lastRenderedPageBreak/>
        <w:t>十五、基金的费用与税收</w:t>
      </w:r>
      <w:bookmarkEnd w:id="18"/>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按月支付。由基金管理人向基金托管人发送划款指令，由基金托管人复核后于次月首日起第3个工作日从基金财产中一次性支付给基金管理人，若遇法定节假日、休息日或不可抗力致使无法按时支付的，支付日期顺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本基金的托管费按前一日基金资产净值的0.10%的年费率计提。托管费的计算方法如下：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H＝E×0.10%÷当年天数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按月支付。由基金管理人向基金托管人发送划款指令，由基金托管人复核后于次月首日起第3个工作日从基金财产中一次性支取，若遇法定节假日、休息日或不可抗力致使无法按时支付的，支付日期顺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本基金A类基金份额和D类基金份额不收取销售服务费，C类基金份额的销售服务费按前一日C类基金资产净值的0.4%年费率计提。计算方法如下：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按月支付。由基金管理人向基金托管人发送划款指令，由基金托管人复核后于次月首日起第3个工作日从基金财产中一次性支付给基金管理人，由基金管理人代付给销售机构，若遇法定节假日、休息日或不可抗力致使无法按时支付的，支付日期顺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上述“（一）基金费用的种类”中第3－8项、第10项费用，根据有关法规及相应协议规定，按费用实际支出金额列入当期费用，由基金托管人从基金财产中支付。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2、基金管理人和基金托管人处理与基金运作无关的事项发生的费用；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19" w:name="_Toc231212109"/>
      <w:r>
        <w:rPr>
          <w:rFonts w:ascii="Times New Roman" w:hAnsi="Times New Roman"/>
          <w:sz w:val="30"/>
        </w:rPr>
        <w:lastRenderedPageBreak/>
        <w:t>十六、基金的会计与审计</w:t>
      </w:r>
      <w:bookmarkEnd w:id="19"/>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20" w:name="_Toc231212110"/>
      <w:r>
        <w:rPr>
          <w:rFonts w:ascii="Times New Roman" w:hAnsi="Times New Roman"/>
          <w:sz w:val="30"/>
        </w:rPr>
        <w:lastRenderedPageBreak/>
        <w:t>十七、基金的信息披露</w:t>
      </w:r>
      <w:bookmarkEnd w:id="20"/>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次日，通过指定网站、销售机构网站或者营业网点分别披露开放日的A类基金份额、C类基金份额和D类基金份额所对应的基金份额净值和基金份额累计净值。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基金管理人应当在不晚于半年度和年度最后一日的次日，在指定网站分别披露半年度和年度最后一日的A类基金份额、C类基金份额和D类基金份额所对应的基金份额净值和基金份额累计净值。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（22）本基金连续30、40、45个工作日出现基金份额持有人数量不满200人或者基金资产净值低于5000万元情形，基金管理人应当发布提示性公告；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w:t>
      </w:r>
      <w:r>
        <w:rPr>
          <w:rFonts w:ascii="宋体" w:hAnsi="宋体"/>
          <w:sz w:val="24"/>
        </w:rPr>
        <w:lastRenderedPageBreak/>
        <w:t>大小排序的前10名资产支持证券明细。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21" w:name="_Toc231212111"/>
      <w:r>
        <w:rPr>
          <w:rFonts w:ascii="Times New Roman" w:hAnsi="Times New Roman"/>
          <w:sz w:val="30"/>
        </w:rPr>
        <w:lastRenderedPageBreak/>
        <w:t>十八、侧袋机制</w:t>
      </w:r>
      <w:bookmarkEnd w:id="21"/>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23FEC" w:rsidRDefault="00136A25">
      <w:pPr>
        <w:pStyle w:val="1"/>
        <w:snapToGrid w:val="0"/>
        <w:spacing w:beforeLines="0" w:before="240" w:after="240"/>
        <w:rPr>
          <w:rFonts w:ascii="宋体" w:hAnsi="宋体"/>
          <w:szCs w:val="30"/>
        </w:rPr>
      </w:pPr>
      <w:bookmarkStart w:id="22" w:name="_Toc231212112"/>
      <w:r>
        <w:rPr>
          <w:rFonts w:ascii="Times New Roman" w:hAnsi="Times New Roman"/>
          <w:sz w:val="30"/>
        </w:rPr>
        <w:lastRenderedPageBreak/>
        <w:t>十九、风险揭示</w:t>
      </w:r>
      <w:bookmarkEnd w:id="22"/>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前一开放日基金总份额的百分之十时，投资人将可能无法及时赎回持有的全部基金份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w:t>
      </w:r>
      <w:r>
        <w:rPr>
          <w:rFonts w:ascii="宋体" w:hAnsi="宋体"/>
          <w:sz w:val="24"/>
        </w:rPr>
        <w:lastRenderedPageBreak/>
        <w:t>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开放式基金。按照基金合同的约定，基金管理人有义务接受投资者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收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w:t>
      </w:r>
      <w:r>
        <w:rPr>
          <w:rFonts w:ascii="宋体" w:hAnsi="宋体"/>
          <w:sz w:val="24"/>
        </w:rPr>
        <w:lastRenderedPageBreak/>
        <w:t>必要，可暂停接受基金的赎回申请；已经接受的赎回申请可以延缓支付赎回款项，但不得超过20个工作日，并应当在指定媒介上进行公告。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（五）本基金的特有风险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23FEC" w:rsidRDefault="00136A25">
      <w:pPr>
        <w:pStyle w:val="1"/>
        <w:snapToGrid w:val="0"/>
        <w:spacing w:beforeLines="0" w:before="240" w:after="240"/>
        <w:rPr>
          <w:rFonts w:ascii="宋体" w:hAnsi="宋体"/>
          <w:szCs w:val="30"/>
        </w:rPr>
      </w:pPr>
      <w:bookmarkStart w:id="23" w:name="_Toc231212113"/>
      <w:r>
        <w:rPr>
          <w:rFonts w:ascii="Times New Roman" w:hAnsi="Times New Roman"/>
          <w:sz w:val="30"/>
        </w:rPr>
        <w:lastRenderedPageBreak/>
        <w:t>二十、基金合同的变更、终止与基金财产的清算</w:t>
      </w:r>
      <w:bookmarkEnd w:id="23"/>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4、连续50个工作日出现基金份额持有人数量不满200人或者基金资产净值低于5000万元情形的，基金管理人提前终止基金合同，不需召开基金份额持有人大会；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24" w:name="_Toc231212114"/>
      <w:r>
        <w:rPr>
          <w:rFonts w:ascii="Times New Roman" w:hAnsi="Times New Roman"/>
          <w:sz w:val="30"/>
        </w:rPr>
        <w:lastRenderedPageBreak/>
        <w:t>二十一、基金合同内容摘要</w:t>
      </w:r>
      <w:bookmarkEnd w:id="24"/>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13）以基金管理人的名义，代表基金份额持有人的利益行使诉讼权利或者实施其他法律行为；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14）选择、更换律师事务所、会计师事务所、证券经纪商或其他为基金提供服务的外部机构；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15）在符合有关法律、法规的前提下，制定和调整有关基金认购、申购、赎回、转换等的业务规则；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16）法律法规及中国证监会规定的和《基金合同》约定的其他权利。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（2）根据《基金法》、《运作办法》及其他有关规定，基金管理人的义务包括但不限于：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16）按规定保存基金财产管理业务活动的会计账册、报表、记录和其他相关资料15年以上；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w:t>
      </w:r>
      <w:r>
        <w:rPr>
          <w:rFonts w:ascii="宋体" w:hAnsi="宋体"/>
          <w:sz w:val="24"/>
        </w:rPr>
        <w:lastRenderedPageBreak/>
        <w:t>其他费用；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w:t>
      </w:r>
      <w:r>
        <w:rPr>
          <w:rFonts w:ascii="宋体" w:hAnsi="宋体"/>
          <w:sz w:val="24"/>
        </w:rPr>
        <w:lastRenderedPageBreak/>
        <w:t>理人有未执行《基金合同》规定的行为，还应当说明基金托管人是否采取了适当的措施；</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2）参与分配清算后的剩余基金财产；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w:t>
      </w:r>
      <w:r>
        <w:rPr>
          <w:rFonts w:ascii="宋体" w:hAnsi="宋体"/>
          <w:sz w:val="24"/>
        </w:rPr>
        <w:lastRenderedPageBreak/>
        <w:t>有权代表基金份额持有人出席会议并表决。基金份额持有人持有的每一基金份额拥有平等的投票权。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3）在法律法规和《基金合同》规定的范围内调整本基金的申购费率、调低赎回费率、在对现有基金份额持有人利益无实质性不利影响的前提下变更或增加收费</w:t>
      </w:r>
      <w:r>
        <w:rPr>
          <w:rFonts w:ascii="宋体" w:hAnsi="宋体"/>
          <w:sz w:val="24"/>
        </w:rPr>
        <w:lastRenderedPageBreak/>
        <w:t>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w:t>
      </w:r>
      <w:r>
        <w:rPr>
          <w:rFonts w:ascii="宋体" w:hAnsi="宋体"/>
          <w:sz w:val="24"/>
        </w:rPr>
        <w:lastRenderedPageBreak/>
        <w:t>提议之日起10日内决定是否召集，并书面告知提出提议的基金份额持有人代表和基金管理人；基金托管人决定召集的，应当自出具书面决定之日起60日内召开并告知基金管理人，基金管理人应当配合；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4、基金份额持有人出席会议的方式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w:t>
      </w:r>
      <w:r>
        <w:rPr>
          <w:rFonts w:ascii="宋体" w:hAnsi="宋体"/>
          <w:sz w:val="24"/>
        </w:rPr>
        <w:lastRenderedPageBreak/>
        <w:t>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w:t>
      </w:r>
      <w:r>
        <w:rPr>
          <w:rFonts w:ascii="宋体" w:hAnsi="宋体"/>
          <w:sz w:val="24"/>
        </w:rPr>
        <w:lastRenderedPageBreak/>
        <w:t>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和中国证监会另有规定的除外）以特别决议通过方为有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w:t>
      </w:r>
      <w:r>
        <w:rPr>
          <w:rFonts w:ascii="宋体" w:hAnsi="宋体"/>
          <w:sz w:val="24"/>
        </w:rPr>
        <w:lastRenderedPageBreak/>
        <w:t>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w:t>
      </w:r>
      <w:r>
        <w:rPr>
          <w:rFonts w:ascii="宋体" w:hAnsi="宋体"/>
          <w:sz w:val="24"/>
        </w:rPr>
        <w:lastRenderedPageBreak/>
        <w:t>大会决议通过的事项的，应召开基金份额持有人大会决议通过。对于可不经基金份额持有人大会决议通过的事项，由基金管理人和基金托管人同意后变更并公告，并报中国证监会备案。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（4）连续50个工作日出现基金份额持有人数量不满200人或者基金资产净值低于5000万元情形的，基金管理人提前终止基金合同，不需召开基金份额持有人大会；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《基金合同》可印制成册，供投资者在基金管理人、基金托管人、销售机构的办公场所和营业场所查阅，但应以《基金合同》正本为准。</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25" w:name="_Toc231212115"/>
      <w:r>
        <w:rPr>
          <w:rFonts w:ascii="Times New Roman" w:hAnsi="Times New Roman"/>
          <w:sz w:val="30"/>
        </w:rPr>
        <w:lastRenderedPageBreak/>
        <w:t>二十二、托管协议的内容摘要</w:t>
      </w:r>
      <w:bookmarkEnd w:id="25"/>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名称：兴业银行股份有限公司（简称：兴业银行）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办公地址：上海市浦东新区银城路167号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邮政编码：350013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成立日期：1988年8月22日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批准设立机关和批准设立文号：中国人民银行总行，银复[1988]347号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基金托管业务批准文号：中国证监会证监基金字[2005]74号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注册资本：207.74190751亿元人民币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代理发行股票以外的有价证券；买卖、代理买卖股票以外的有价证券；资产托管业务；从事同业拆借；买卖、代理买卖外汇；结汇、售汇业务；</w:t>
      </w:r>
      <w:r>
        <w:rPr>
          <w:rFonts w:ascii="宋体" w:hAnsi="宋体"/>
          <w:sz w:val="24"/>
        </w:rPr>
        <w:lastRenderedPageBreak/>
        <w:t>从事银行卡业务；提供信用证服务及担保；代理收付款项及代理保险业务；提供保管箱服务；财务顾问、资信调查、咨询、见证业务；经中国银行业监督管理机构批准的其他业务（以上范围凡涉及国家专项专营规定的从其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国债、金融债、央行票据、地方政府债、企业债、公司债、中小企业私募债、中期票据、短期融资券、超级短期融资券、资产支持证券、次级债、可分离交易可转债的纯债部分、债券回购、银行存款、货币市场工具以及法律法规或中国证监会允许基金投资的其他金融工具（但须符合中国证监会相关规定）。本基金不直接在二级市场买入股票、权证等权益类资产，也不参与一级市场新股申购和新股增发。同时本基金不参与可转换债券投资（分离交易可转债除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现金或者到期日在一年以内的政府债券的投资比例合计不低于基金资产净值的5%，其中现金不包括结算备付金、存出保证金和应收申购款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基金托管人按下述比例和调整期限进行监督：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（3）本基金持有一家公司发行的证券，其市值不超过基金资产净值的10%；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（7）本基金投资于同一原始权益人的各类资产支持证券的比例，不得超过基金资产净值的10%；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（8）本基金持有的全部资产支持证券，其市值不得超过基金资产净值的20%；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（9）本基金持有的同一(指同一信用级别)资产支持证券的比例，不得超过该资产支持证券规模的10%；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（10）本基金管理人管理的全部基金投资于同一原始权益人的各类资产支持证券，不得超过其各类资产支持证券合计规模的10%；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（11）本基金应投资于信用级别评级为BBB以上(含BBB)的资产支持证券。基金持有资产支持证券期间，如果其信用等级下降、不再符合投资标准，应在评级报告发布之日起3个月内予以全部卖出；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（12）本基金进入全国银行间同业市场进行债券回购的资金余额不得超过基金资产净值的40%；本基金在全国银行间同业市场中的债券回购最长期限为1年，债券回购到期后不得展期；</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（13）本基金持有单只中小企业私募债券，其市值不得超过基金资产净值的10%；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（14）本基金的基金资产总值不得超过基金资产净值的140%；</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除上述第（2）、（11）、（15）、（16）项外，因证券市场波动、证券发行人合</w:t>
      </w:r>
      <w:r>
        <w:rPr>
          <w:rFonts w:ascii="宋体" w:hAnsi="宋体"/>
          <w:sz w:val="24"/>
        </w:rPr>
        <w:lastRenderedPageBreak/>
        <w:t>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六个月内使基金的投资组合比例符合基金合同的有关约定，基金合同另有约定的除外。在上述期间内，本基金的投资范围、投资策略应当符合基金合同的约定。基金托管人对基金的投资的监督与检查自基金合同生效之日起开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法律法规对上述投资组合比例限制进行变更的，以变更后的规定为准。法律法规或监管部门取消上述限制，如适用于本基金，基金管理人履行适当程序后，则本基金投资不再受相关限制。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3、基金托管人根据有关法律法规的规定及基金合同的约定，对本托管协议第十五章第九条基金投资禁止行为进行监督。基金托管人通过事后监督方式对基金管理人基金投资禁止行为进行监督。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实际控制人或者与其有其他重大利害关系的公司名单及有关关联方发行的证券名单，加盖公章并书面提交，并确保所提供的关联交易名单的真实性、完整性、全面性。基金管理人有责任保管真实、完整、全面的关联交易名单，并负责及时更新该名单。名单变更后基金管理人应及时发送基金托管人，基金托管人于2个工作日内进行回函确认已知名单的变更。基金管理人收到基金托管人书面确认后，新的关联交易名单开始生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w:t>
      </w:r>
      <w:r>
        <w:rPr>
          <w:rFonts w:ascii="宋体" w:hAnsi="宋体"/>
          <w:sz w:val="24"/>
        </w:rPr>
        <w:lastRenderedPageBreak/>
        <w:t>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基金托管人不承担由此造成的任何法律责任及损失。若未履约的交易对手在基金托管人与基金管理人确定的时间前仍未承担违约责任及其他相关法律责任的，基金管理人有权向相关交易对手追偿，基金托管人应予以必要的协助与配合。基金托管人则根据银行间债券市场成交单对合同履行情况进行监督。如基金托管人事后发现基金管理人没有按照事先约定的交易对手或交易方式进行交易时，基金托管人应及时书面或以双方认可的其他方式提醒基金管理人，经提醒后仍未改正时造成基金财产损失的，基金托管人不承担由此造成的相应损失和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6、基金托管人对基金投资银行存款进行监督。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当按照有关法规规定，与存款机构签订相关书面协议。基金托管人应根据有关相关法规及协议对基金银行存款业务进行监督与核查，严格审查、复核相关协议、账户资料、投资指令、存款证实书等有关文件，切实履行托管职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投资银行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7、基金托管人对基金投资中期票据和中小企业私募债进行监督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和中小企业私募债前，基金管理人须根据法律、法规、监管部门的规定，制定严格的关于投资中期票据和中小企业私募债的风险控制制度、流动性风险和信用风险处置预案，并书面提供给基金托管人，基金托管人依据上述文件对基金管理人投资中期票据和中小企业私募债的额度和比例进行监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（2）如未来有关监管部门发布的法律法规对证券投资基金投资中期票据和中小企业私募债另有规定的，从其约定。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和中小企业私募债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w:t>
      </w:r>
      <w:r>
        <w:rPr>
          <w:rFonts w:ascii="宋体" w:hAnsi="宋体"/>
          <w:sz w:val="24"/>
        </w:rPr>
        <w:lastRenderedPageBreak/>
        <w:t>律法规、基金合同和本托管协议的要求需向中国证监会报送基金监督报告的事项，基金管理人应积极配合提供相关数据资料和制度等。</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以书面或以双方认可的其他方式通知基金管理人，基金管理人应依法承担相应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及投资所需的其他账户、复核基金管理人计算的基金资产净值和基金份额净值、根据基金管理人指令办理清算交收、相关信息披露和监督基金投资运作等行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（1）基金财产应独立于基金管理人、基金托管人的固有财产。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（3）基金托管人按照规定开设基金财产的资金账户、证券账户及投资所需的其他账户。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（4）基金托管人对所托管的不同基金财产分别设置账户，独立核算，分账管理，确保基金财产的完整与独立。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合法合规指令，不得自行运用、处分、分配本基金的任何资产（不包含基金托管人依据中国证券登记结算有限责任公司结算数据完成场内交易交收、托管资产开户银行扣收结算费和账户维护费等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应予以必要的协助与配合，但对此不承担相应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（1）基金募集期间募集的资金应存于基金管理人开立的“基金募集专户”。该账户由基金管理人或基金管理人委托的登记机构开立并管理。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基金合同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以基金托管人的名义开设本基金的基金托管专户，也称为资金账户，保管基金财产的银行存款。该基金托管专户同时也是基金托管人在法人集中清算模式下，代表所托管的包括本基金财产在内的所有托管资产与中国证券登记结算有限责任公司（以下简称“中登公司”）进行一级结算的专用账户。该账户的开设和管理由基金托管人承担。本基金的一切货币收支活动，均需通过基金托管人的基金托管专户进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（2）基金托管人可根据实际情况需要，为本基金开立资金清算辅助账户，以办理相关的资金汇划业务。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（3）基金托管专户的开立和使用，限于满足开展本基金业务的需要。基金托管人和基金管理人不得假借本基金的名义开立任何其他银行账户；亦不得使用基金的任何账户进行本基金业务以外的活动。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（4）基金托管专户的开立和管理应符合银行业监督管理机构的有关规定。</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（5）在符合法律法规规定的条件下，基金托管人可以通过基金托管专户办理基金资产的支付。</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4、定期存款账户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定期存款在存款机构开立的银行账户，包括实体或虚拟账户，其预留印鉴经各方商议后预留。对于任何的定期存款投资，基金管理人都必须和存款机构签订定期存款协议，约定双方的权利和义务，该协议作为划款指令附件。在取得存款证实书后，基金托管人保管证实书正本或者复印件。基金管理人应该在合理的时间内进行定期存款的投资和支取事宜，若基金管理人提前支取或部分提前支取定期存款，若产生息差（即本基金已计提的资金利息和提前支取时收到的资金利息差额），该息差的处理方法由基金管理人和基金托管人双方协商解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银行间市场登记结算机构的有关规定，以本基金的名义在中央国债登记结算有限责任公司和银行间市场清算所股份有限公司开立债券托管账户、资金结算账户，持有人账户和资金结算账户，并代表基金进行银行间市场债券的结算。</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6、基金证券账户和结算备付金账户的开立和管理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7、其他账户的开立和管理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（1）因业务发展需要而开立的其他账户，可以根据法律法规和基金合同的规定，在基金管理人和基金托管人协商一致后开立。新账户按有关规定使用并管理。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8、基金财产投资的有关有价凭证等的保管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有价凭证的购买和转让，由基金管理人和基金托管人共同办理。基金托管人对由基金托管人以外机构实际有效控制的资产不承担保管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9、与基金财产有关的重大合同的保管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w:t>
      </w:r>
      <w:r>
        <w:rPr>
          <w:rFonts w:ascii="宋体" w:hAnsi="宋体"/>
          <w:sz w:val="24"/>
        </w:rPr>
        <w:lastRenderedPageBreak/>
        <w:t>金管理人应在重大合同签署后及时以加密方式将重大合同传真给基金托管人，并在三十个工作日内将正本送达基金托管人处。重大合同的保管期限为基金合同终止后15年。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各类基金份额的基金份额净值是指该类基金份额的基金资产净值除以计算日该类基金份额总数，各类基金份额的基金份额净值的计算，均精确到0.0001元，小数点后第5位四舍五入，国家另有规定的，从其规定。基金管理人每个工作日计算基金资产净值及基金份额净值，经基金托管人复核，按规定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但基金管理人根据法律法规或基金合同的规定暂停估值时除外。基金管理人每个工作日对基金资产估值后，将基金份额净值结果以双方约定的方式提交给基金托管人，经基金托管人复核无误后，由基金管理人按规定对外公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基金所拥有的债券和其它投资等持续以公允价值计量的金融资产及负债。</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c）交易所市场上市交易的可转换债券，按估值日收盘价减去可转换债券收盘价中所含债券应收利息后得到的净价进行估值；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d）交易所市场挂牌转让的资产支持证券和私募债券，采用估值技术确定公允价值。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2）交易所市场发行未上市或未挂牌转让的债券，采用估值技术确定公允价值。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4）如有确凿证据表明按上述方法进行估值不能客观反映其公允价值的，基金管理人可根据具体情况与基金托管人商定后，按最能反映公允价值的方法估值。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5）相关法律法规以及监管部门有强制规定的，从其规定。如有新增事项，按法律法规以及监管部门最新规定估值。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基金管理人、基金托管人按估值方法的第4）项进行估值时，所造成的误差不作为基金估值错误处理。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或由于证券交易所、证券经纪机构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（1）当基金份额净值小数点后4位以内（含第4位）发生估值错误时，视为基</w:t>
      </w:r>
      <w:r>
        <w:rPr>
          <w:rFonts w:ascii="宋体" w:hAnsi="宋体"/>
          <w:sz w:val="24"/>
        </w:rPr>
        <w:lastRenderedPageBreak/>
        <w:t>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0.50%时，基金管理人和基金托管人应当公告；当发生基金份额净值错误时，由基金管理人负责处理，由此给基金份额持有人和基金造成损失的，应由基金管理人先行赔付，基金管理人按差错情形，有权向其他当事人追偿。</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基金管理人和基金托管人计算基金净值错误导致该基金财产或基金份额持有人的实际损失的，基金管理人和基金托管人应根据实际情况界定双方承担的责任进行赔偿，基金管理人和基金托管人有权向获得不当得利之主体主张返还不当得利。</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一方当事人提供的信息错误，另一方当事人在采取了必要合理的措施后仍不能发现该错误，进而导致基金资产净值、基金份额净值计算错误造成投资者或基金的损失，以及由此造成以后交易日基金资产净值、基金份额净值计算顺延错误而引起的投资者或基金的损失，由提供错误信息的当事人一方负责赔偿。</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基金管理人计算的基金资产净值与基金托管人的计算结果不一致时，相关各方应本着勤勉尽责的态度重新计算核对，如果最后仍无法达成一致，应以基金管理人的计算结果为准对外公布，由此造成的损失以及因该交易日基金资产净值计算顺延错误而引起的损失由基金管理人承担赔偿责任，基金托管人不负赔偿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4、暂停估值的情形：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按国家有关部门规定的会计制度执行。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资产净值的计算和公告的，以基金管理人的账册为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1）报表的编制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中的财务会计报告应当经过具有证券、期货相关业务资格的会计师事务所审计。基金合同生效不足两个月的，基金管理人可以不编制当期季度报告、中期报告或者年度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2）报表的复核</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基金管理人应留足充分的时间，便于基金托管人复核相关报表及报告。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8、基金管理人应在编制季度报告、中期报告或者年度报告之前及时向基金托管人提供基金业绩比较基准的基础数据和编制结果。</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法律法规另有规定或有权机关另有要求的除外。如不能妥善保管，则按相关法规承担责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基金管理人应当及时向基金托管人提交《基金合同》生效日、《基金合同》终止日、中期报告、年报等涉及到基金重要事项及信息披露期间的基金份额持有人名册。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由败诉方承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本协议双方当事人经协商一致，可以对协议进行修改。修改后的新协议，其内容不得与基金合同的规定有任何冲突。基金托管协议的变更应报中国证监会备案后生效。</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（3）基金管理人解散、依法被撤销、破产或由其他基金管理人接管基金管理权；</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26" w:name="_Toc231212116"/>
      <w:r>
        <w:rPr>
          <w:rFonts w:ascii="Times New Roman" w:hAnsi="Times New Roman"/>
          <w:sz w:val="30"/>
        </w:rPr>
        <w:lastRenderedPageBreak/>
        <w:t>二十三、对基金份额持有人的服务</w:t>
      </w:r>
      <w:bookmarkEnd w:id="26"/>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和定期定额投资、转换等业务。通过网上直销交易平台办理本基金A类基金份额或D类基金份额的申购和定期定额投资业务的个人投资者将享受申购费率的优惠，其他费率标准不变。具体优惠费率请参见公司网站列示的网上直销交易平台申购及定期定额投资费率表或相关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收益分配时，基金份额持有人持有的基金份额可选择现金红利或选择红利再投将现金红利自动转为相应类别的基金份额进行再投资，若投资人不选择，本基金默认的收益分配方式是现金分红；基金份额持有人可对其持有的A类基金份额、C类基金份额和D类基金份额分别选择不同的收益分配方式。再投资红利按红利再投日（即除息日）除息后的基金份额净值自动转为相应类别的基金份额，并免收申购费用。</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27" w:name="_Toc231212117"/>
      <w:r>
        <w:rPr>
          <w:rFonts w:ascii="Times New Roman" w:hAnsi="Times New Roman"/>
          <w:sz w:val="30"/>
        </w:rPr>
        <w:lastRenderedPageBreak/>
        <w:t>二十四、其他应披露事项</w:t>
      </w:r>
      <w:bookmarkEnd w:id="27"/>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交银施罗德基金管理有限公司关于增加国联民生证券股份有限公司为旗下基金的销售机构的公告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2025-05-21</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交银施罗德基金管理有限公司关于增加上海中欧财富基金销售有限公司为旗下基金的销售机构的公告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2025-06-27</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交银施罗德基金管理有限公司关于增加上海长量基金销售有限公司为旗下基金的销售机构的公告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2025-07-04</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交银施罗德基金管理有限公司关于增加京东肯特瑞基金销售有限公司为旗下基金的销售机构的公告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2025-07-04</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交银施罗德基金管理有限公司关于增加蚂蚁（杭州）基金销售有限公司为旗下基金的销售机构的公告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2025-07-04</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2025-07-15</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交银施罗德裕通纯债债券型证券投资基金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交银施罗德裕通纯债债券型证券投资基金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交银施罗德基金管理有限公司关于增加珠海盈米基金销售有限公司为旗下基金的销售机构的公告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交银施罗德基金管理有限公司关于交银施罗德裕通纯债债券型证券投资基金调整大额申购（转换转入、定期定额投资）业务限额的公告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2025-09-19</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交银施罗德基金管理有限公司关于交银施罗德裕通纯债债券型证券投资基金分红公告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2025-09-23</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交银施罗德基金管理有限公司关于交银施罗德裕通纯债债券型证券投资基金于</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国庆节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2025-09-27</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交银施罗德裕通纯债债券型证券投资基金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交银施罗德基金管理有限公司关于交银施罗德裕通纯债债券型证券投资基金开通同一基金不同类别基金份额转换业务的公告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2025-12-09</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交银施罗德裕通纯债债券型证券投资基金招募说明书更新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交银施罗德裕通纯债债券型证券投资基金（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交银施罗德裕通纯债债券型证券投资基金（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21</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交银施罗德裕通纯债债券型证券投资基金（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交银施罗德裕通纯债债券型证券投资基金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交银施罗德基金管理有限公司关于交银施罗德裕通纯债债券型证券投资基金于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春节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2026-02-10</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交银施罗德裕通纯债债券型证券投资基金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交银施罗德裕通纯债债券型证券投资基金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B23FE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交银施罗德基金管理有限公司关于交银施罗德裕通纯债债券型证券投资基金于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劳动节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3FEC" w:rsidRDefault="00136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2026-04-28</w:t>
            </w:r>
          </w:p>
        </w:tc>
      </w:tr>
    </w:tbl>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28" w:name="_Toc231212118"/>
      <w:r>
        <w:rPr>
          <w:rFonts w:ascii="Times New Roman" w:hAnsi="Times New Roman"/>
          <w:sz w:val="30"/>
        </w:rPr>
        <w:lastRenderedPageBreak/>
        <w:t>二十五、招募说明书的存放及查阅方式</w:t>
      </w:r>
      <w:bookmarkEnd w:id="28"/>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136A2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3FEC" w:rsidRDefault="00136A25">
      <w:pPr>
        <w:pStyle w:val="1"/>
        <w:snapToGrid w:val="0"/>
        <w:spacing w:beforeLines="0" w:before="240" w:after="240"/>
        <w:rPr>
          <w:rFonts w:ascii="宋体" w:hAnsi="宋体"/>
          <w:szCs w:val="30"/>
        </w:rPr>
      </w:pPr>
      <w:bookmarkStart w:id="29" w:name="_Toc231212119"/>
      <w:r>
        <w:rPr>
          <w:rFonts w:ascii="Times New Roman" w:hAnsi="Times New Roman"/>
          <w:sz w:val="30"/>
        </w:rPr>
        <w:lastRenderedPageBreak/>
        <w:t>二十六、备查文件</w:t>
      </w:r>
      <w:bookmarkEnd w:id="29"/>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（一）中国证监会准予交银施罗德裕通纯债债券型证券投资基金募集注册的文件</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（二）《交银施罗德裕通纯债债券型证券投资基金基金合同》</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（三）《交银施罗德裕通纯债债券型证券投资基金托管协议》</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B23FEC" w:rsidRDefault="00136A2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（六）关于申请募集注册交银施罗德裕通纯债债券型证券投资基金的法律意见书</w:t>
      </w:r>
    </w:p>
    <w:sectPr w:rsidR="00B23FEC">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4A4C" w:rsidRDefault="00136A25">
      <w:r>
        <w:separator/>
      </w:r>
    </w:p>
  </w:endnote>
  <w:endnote w:type="continuationSeparator" w:id="0">
    <w:p w:rsidR="009F4A4C" w:rsidRDefault="00136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FEC" w:rsidRDefault="00B23FE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FEC" w:rsidRDefault="009B403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B23FEC" w:rsidRDefault="00136A2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B4037">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FEC" w:rsidRDefault="00B23FEC">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FEC" w:rsidRDefault="009B403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B23FEC" w:rsidRDefault="00136A2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B4037">
                  <w:rPr>
                    <w:rFonts w:ascii="Times New Roman" w:hAnsi="Times New Roman"/>
                    <w:noProof/>
                    <w:kern w:val="0"/>
                    <w:sz w:val="18"/>
                    <w:szCs w:val="18"/>
                  </w:rPr>
                  <w:t>146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4A4C" w:rsidRDefault="00136A25">
      <w:r>
        <w:separator/>
      </w:r>
    </w:p>
  </w:footnote>
  <w:footnote w:type="continuationSeparator" w:id="0">
    <w:p w:rsidR="009F4A4C" w:rsidRDefault="00136A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FEC" w:rsidRDefault="00B23FE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FEC" w:rsidRDefault="00136A25">
    <w:pPr>
      <w:pStyle w:val="a3"/>
      <w:jc w:val="right"/>
      <w:rPr>
        <w:rFonts w:ascii="宋体" w:hAnsi="宋体"/>
      </w:rPr>
    </w:pPr>
    <w:r>
      <w:rPr>
        <w:rFonts w:ascii="宋体" w:hAnsi="宋体" w:hint="eastAsia"/>
      </w:rPr>
      <w:t>交银施罗德裕通纯债债券型证券投资基金招募说明书更新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FEC" w:rsidRDefault="00B23FEC">
    <w:pPr>
      <w:pStyle w:val="10"/>
      <w:jc w:val="right"/>
    </w:pPr>
  </w:p>
  <w:p w:rsidR="00B23FEC" w:rsidRDefault="00B23FEC">
    <w:pPr>
      <w:pStyle w:val="10"/>
      <w:jc w:val="right"/>
    </w:pPr>
  </w:p>
  <w:p w:rsidR="00B23FEC" w:rsidRDefault="00B23FEC">
    <w:pPr>
      <w:pStyle w:val="a3"/>
      <w:jc w:val="right"/>
    </w:pPr>
  </w:p>
  <w:p w:rsidR="00B23FEC" w:rsidRDefault="00136A25">
    <w:pPr>
      <w:pStyle w:val="a3"/>
      <w:jc w:val="right"/>
      <w:rPr>
        <w:rFonts w:ascii="宋体" w:hAnsi="宋体"/>
      </w:rPr>
    </w:pPr>
    <w:r>
      <w:rPr>
        <w:rFonts w:ascii="宋体" w:hAnsi="宋体" w:hint="eastAsia"/>
      </w:rPr>
      <w:t>交银施罗德裕通纯债债券型证券投资基金招募说明书更新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3FEC" w:rsidRDefault="00B23FEC">
    <w:pPr>
      <w:pStyle w:val="a3"/>
      <w:jc w:val="right"/>
    </w:pPr>
  </w:p>
  <w:p w:rsidR="00B23FEC" w:rsidRDefault="00B23FEC">
    <w:pPr>
      <w:pStyle w:val="a3"/>
      <w:jc w:val="right"/>
    </w:pPr>
  </w:p>
  <w:p w:rsidR="00B23FEC" w:rsidRDefault="00B23FEC">
    <w:pPr>
      <w:pStyle w:val="a3"/>
      <w:jc w:val="right"/>
    </w:pPr>
  </w:p>
  <w:p w:rsidR="00B23FEC" w:rsidRDefault="00136A25">
    <w:pPr>
      <w:pStyle w:val="a3"/>
      <w:jc w:val="right"/>
      <w:rPr>
        <w:rFonts w:ascii="宋体" w:hAnsi="宋体"/>
      </w:rPr>
    </w:pPr>
    <w:r>
      <w:rPr>
        <w:rFonts w:ascii="宋体" w:hAnsi="宋体" w:hint="eastAsia"/>
      </w:rPr>
      <w:t>交银施罗德裕通纯债债券型证券投资基金招募说明书更新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36A25"/>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37"/>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4A4C"/>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23FEC"/>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F598D624-70BB-4A77-B4D0-4EC90756D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147</Pages>
  <Words>15226</Words>
  <Characters>86791</Characters>
  <Application>Microsoft Office Word</Application>
  <DocSecurity>0</DocSecurity>
  <Lines>723</Lines>
  <Paragraphs>203</Paragraphs>
  <ScaleCrop>false</ScaleCrop>
  <Company>Microsoft</Company>
  <LinksUpToDate>false</LinksUpToDate>
  <CharactersWithSpaces>101814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2026-06-01T05:14:00Z</dcterms:created>
  <dcterms:modified xsi:type="dcterms:W3CDTF">2026-06-01T05:14:00Z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