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5276D">
      <w:pPr>
        <w:rPr>
          <w:sz w:val="32"/>
        </w:rPr>
      </w:pPr>
    </w:p>
    <w:p w:rsidR="00C92FC0" w:rsidRPr="00EB07BC" w:rsidRDefault="0065276D">
      <w:pPr>
        <w:rPr>
          <w:sz w:val="32"/>
        </w:rPr>
      </w:pPr>
    </w:p>
    <w:p w:rsidR="00C92FC0" w:rsidRPr="00EB07BC" w:rsidRDefault="0065276D">
      <w:pPr>
        <w:rPr>
          <w:sz w:val="32"/>
        </w:rPr>
      </w:pPr>
    </w:p>
    <w:p w:rsidR="005857DE" w:rsidRDefault="005857D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857DE" w:rsidRDefault="005857D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857DE" w:rsidRDefault="005857D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857DE" w:rsidRDefault="00F0560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交银施罗德核心资产混合型证券投资基金</w:t>
      </w:r>
    </w:p>
    <w:p w:rsidR="005857DE" w:rsidRDefault="00F0560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857DE" w:rsidRDefault="005857DE">
      <w:pPr>
        <w:snapToGrid w:val="0"/>
        <w:spacing w:line="360" w:lineRule="auto"/>
        <w:jc w:val="center"/>
        <w:rPr>
          <w:rFonts w:ascii="宋体" w:hAnsi="宋体"/>
          <w:b/>
          <w:sz w:val="30"/>
          <w:szCs w:val="30"/>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F0560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857DE" w:rsidRDefault="00F0560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5857D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857DE" w:rsidRDefault="00F0560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5857DE" w:rsidRDefault="005857DE">
      <w:pPr>
        <w:autoSpaceDE w:val="0"/>
        <w:autoSpaceDN w:val="0"/>
        <w:adjustRightInd w:val="0"/>
        <w:snapToGrid w:val="0"/>
        <w:spacing w:line="360" w:lineRule="auto"/>
        <w:ind w:left="1347" w:rightChars="6" w:right="13"/>
        <w:rPr>
          <w:rFonts w:ascii="宋体" w:hAnsi="宋体"/>
          <w:kern w:val="0"/>
          <w:sz w:val="32"/>
          <w:szCs w:val="32"/>
        </w:rPr>
        <w:sectPr w:rsidR="005857D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857DE" w:rsidRDefault="00F0560B">
      <w:pPr>
        <w:pStyle w:val="1"/>
        <w:snapToGrid w:val="0"/>
        <w:spacing w:beforeLines="0" w:before="240" w:after="240"/>
        <w:rPr>
          <w:rFonts w:ascii="宋体" w:hAnsi="宋体"/>
          <w:kern w:val="0"/>
        </w:rPr>
      </w:pPr>
      <w:bookmarkStart w:id="0" w:name="_Toc324920538"/>
      <w:bookmarkStart w:id="1" w:name="_Toc496884613"/>
      <w:bookmarkStart w:id="2" w:name="_Toc231975004"/>
      <w:r>
        <w:rPr>
          <w:rFonts w:ascii="Times New Roman" w:hAnsi="Times New Roman"/>
          <w:kern w:val="0"/>
        </w:rPr>
        <w:lastRenderedPageBreak/>
        <w:t>重要提示</w:t>
      </w:r>
      <w:bookmarkEnd w:id="0"/>
      <w:bookmarkEnd w:id="1"/>
      <w:bookmarkEnd w:id="2"/>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交银施罗德核心资产混合型证券投资基金（以下简称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1075</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日正式生效。</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投资策略所特有的风险；投资股指期货的特定风险；投资资产支持证券的特定风险；投资流通受限证券的特定风险；投资科创板股票的特定风险；投资本基金的其他风险等等。本基金是一只混合型基金，其预期风险和预期收益高于债券型基金和货币市场基金，低于股票型基金。</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w:t>
      </w:r>
      <w:r>
        <w:rPr>
          <w:rFonts w:ascii="Times New Roman" w:hAnsi="Times New Roman"/>
          <w:kern w:val="0"/>
          <w:sz w:val="24"/>
        </w:rPr>
        <w:lastRenderedPageBreak/>
        <w:t>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5857DE" w:rsidRDefault="00F0560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5857DE" w:rsidRDefault="005857DE">
      <w:pPr>
        <w:autoSpaceDE w:val="0"/>
        <w:autoSpaceDN w:val="0"/>
        <w:adjustRightInd w:val="0"/>
        <w:snapToGrid w:val="0"/>
        <w:spacing w:before="51" w:line="360" w:lineRule="auto"/>
        <w:ind w:left="120" w:rightChars="6" w:right="13" w:firstLine="480"/>
        <w:rPr>
          <w:rFonts w:ascii="宋体" w:hAnsi="宋体"/>
          <w:kern w:val="0"/>
          <w:szCs w:val="24"/>
        </w:rPr>
        <w:sectPr w:rsidR="005857DE">
          <w:headerReference w:type="default" r:id="rId14"/>
          <w:pgSz w:w="11920" w:h="16840"/>
          <w:pgMar w:top="1440" w:right="1680" w:bottom="280" w:left="1680" w:header="0" w:footer="1073" w:gutter="0"/>
          <w:pgNumType w:start="1"/>
          <w:cols w:space="720"/>
        </w:sectPr>
      </w:pPr>
    </w:p>
    <w:p w:rsidR="0065276D" w:rsidRPr="0065276D" w:rsidRDefault="00F0560B" w:rsidP="0065276D">
      <w:pPr>
        <w:pStyle w:val="ad"/>
        <w:snapToGrid w:val="0"/>
        <w:spacing w:after="240" w:line="360" w:lineRule="auto"/>
        <w:jc w:val="center"/>
        <w:rPr>
          <w:rFonts w:ascii="宋体" w:hAnsi="宋体"/>
          <w:noProof/>
          <w:sz w:val="24"/>
        </w:rPr>
      </w:pPr>
      <w:r w:rsidRPr="0065276D">
        <w:rPr>
          <w:rFonts w:ascii="宋体" w:hAnsi="宋体"/>
          <w:color w:val="000000"/>
          <w:position w:val="-4"/>
          <w:sz w:val="24"/>
          <w:szCs w:val="30"/>
        </w:rPr>
        <w:lastRenderedPageBreak/>
        <w:t>目</w:t>
      </w:r>
      <w:r w:rsidRPr="0065276D">
        <w:rPr>
          <w:rFonts w:ascii="宋体" w:hAnsi="宋体"/>
          <w:color w:val="000000"/>
          <w:position w:val="-4"/>
          <w:sz w:val="24"/>
          <w:szCs w:val="30"/>
        </w:rPr>
        <w:tab/>
        <w:t>录</w:t>
      </w:r>
      <w:r w:rsidR="0065276D" w:rsidRPr="0065276D">
        <w:rPr>
          <w:rFonts w:ascii="宋体" w:hAnsi="宋体"/>
          <w:color w:val="000000"/>
          <w:position w:val="-4"/>
          <w:sz w:val="24"/>
          <w:szCs w:val="30"/>
        </w:rPr>
        <w:fldChar w:fldCharType="begin"/>
      </w:r>
      <w:r w:rsidR="0065276D" w:rsidRPr="0065276D">
        <w:rPr>
          <w:rFonts w:ascii="宋体" w:hAnsi="宋体"/>
          <w:color w:val="000000"/>
          <w:position w:val="-4"/>
          <w:sz w:val="24"/>
          <w:szCs w:val="30"/>
        </w:rPr>
        <w:instrText xml:space="preserve"> TOC \o "1-3" \f - \h \t "-1" </w:instrText>
      </w:r>
      <w:r w:rsidR="0065276D" w:rsidRPr="0065276D">
        <w:rPr>
          <w:rFonts w:ascii="宋体" w:hAnsi="宋体"/>
          <w:color w:val="000000"/>
          <w:position w:val="-4"/>
          <w:sz w:val="24"/>
          <w:szCs w:val="30"/>
        </w:rPr>
        <w:fldChar w:fldCharType="separate"/>
      </w:r>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4" w:history="1">
        <w:r w:rsidRPr="0065276D">
          <w:rPr>
            <w:rStyle w:val="aa"/>
            <w:rFonts w:ascii="宋体" w:hAnsi="宋体" w:hint="eastAsia"/>
            <w:noProof/>
            <w:kern w:val="0"/>
            <w:sz w:val="24"/>
          </w:rPr>
          <w:t>重要提示</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_Toc231975004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5" w:history="1">
        <w:r w:rsidRPr="0065276D">
          <w:rPr>
            <w:rStyle w:val="aa"/>
            <w:rFonts w:ascii="宋体" w:hAnsi="宋体" w:hint="eastAsia"/>
            <w:noProof/>
            <w:sz w:val="24"/>
          </w:rPr>
          <w:t>一、绪言</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_Toc231975005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4</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6" w:history="1">
        <w:r w:rsidRPr="0065276D">
          <w:rPr>
            <w:rStyle w:val="aa"/>
            <w:rFonts w:ascii="宋体" w:hAnsi="宋体" w:hint="eastAsia"/>
            <w:noProof/>
            <w:sz w:val="24"/>
          </w:rPr>
          <w:t>二、释义</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_Toc231975006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5</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7" w:history="1">
        <w:r w:rsidRPr="0065276D">
          <w:rPr>
            <w:rStyle w:val="aa"/>
            <w:rFonts w:ascii="宋体" w:hAnsi="宋体" w:hint="eastAsia"/>
            <w:noProof/>
            <w:sz w:val="24"/>
          </w:rPr>
          <w:t>三、基金管理人</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_Toc231975007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8" w:history="1">
        <w:r w:rsidRPr="0065276D">
          <w:rPr>
            <w:rStyle w:val="aa"/>
            <w:rFonts w:ascii="宋体" w:hAnsi="宋体" w:hint="eastAsia"/>
            <w:noProof/>
            <w:sz w:val="24"/>
          </w:rPr>
          <w:t>四、基金托管人</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_Toc231975008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17</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09" w:history="1">
        <w:r w:rsidRPr="0065276D">
          <w:rPr>
            <w:rStyle w:val="aa"/>
            <w:rFonts w:ascii="宋体" w:hAnsi="宋体" w:hint="eastAsia"/>
            <w:noProof/>
            <w:sz w:val="24"/>
          </w:rPr>
          <w:t>五、相关服务机构</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_Toc231975009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20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0" w:history="1">
        <w:r w:rsidRPr="0065276D">
          <w:rPr>
            <w:rStyle w:val="aa"/>
            <w:rFonts w:ascii="宋体" w:hAnsi="宋体" w:hint="eastAsia"/>
            <w:noProof/>
            <w:sz w:val="24"/>
          </w:rPr>
          <w:t>六、基金的募集</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_Toc231975010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39</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1" w:history="1">
        <w:r w:rsidRPr="0065276D">
          <w:rPr>
            <w:rStyle w:val="aa"/>
            <w:rFonts w:ascii="宋体" w:hAnsi="宋体" w:hint="eastAsia"/>
            <w:noProof/>
            <w:sz w:val="24"/>
          </w:rPr>
          <w:t>七、基金合同的生效</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_Toc231975011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40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2" w:history="1">
        <w:r w:rsidRPr="0065276D">
          <w:rPr>
            <w:rStyle w:val="aa"/>
            <w:rFonts w:ascii="宋体" w:hAnsi="宋体" w:hint="eastAsia"/>
            <w:noProof/>
            <w:sz w:val="24"/>
          </w:rPr>
          <w:t>八、基金份额的申购与赎回</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_Toc231975012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41</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3" w:history="1">
        <w:r w:rsidRPr="0065276D">
          <w:rPr>
            <w:rStyle w:val="aa"/>
            <w:rFonts w:ascii="宋体" w:hAnsi="宋体" w:hint="eastAsia"/>
            <w:noProof/>
            <w:sz w:val="24"/>
          </w:rPr>
          <w:t>九、基金的转换</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_Toc231975013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55</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4" w:history="1">
        <w:r w:rsidRPr="0065276D">
          <w:rPr>
            <w:rStyle w:val="aa"/>
            <w:rFonts w:ascii="宋体" w:hAnsi="宋体" w:hint="eastAsia"/>
            <w:noProof/>
            <w:sz w:val="24"/>
          </w:rPr>
          <w:t>十、基金的投资</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_Toc231975014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62</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5" w:history="1">
        <w:r w:rsidRPr="0065276D">
          <w:rPr>
            <w:rStyle w:val="aa"/>
            <w:rFonts w:ascii="宋体" w:hAnsi="宋体" w:hint="eastAsia"/>
            <w:noProof/>
            <w:sz w:val="24"/>
          </w:rPr>
          <w:t>十一、基金的业绩</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_Toc231975015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75</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6" w:history="1">
        <w:r w:rsidRPr="0065276D">
          <w:rPr>
            <w:rStyle w:val="aa"/>
            <w:rFonts w:ascii="宋体" w:hAnsi="宋体" w:hint="eastAsia"/>
            <w:noProof/>
            <w:sz w:val="24"/>
          </w:rPr>
          <w:t>十二、基金的财产</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_Toc231975016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78</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7" w:history="1">
        <w:r w:rsidRPr="0065276D">
          <w:rPr>
            <w:rStyle w:val="aa"/>
            <w:rFonts w:ascii="宋体" w:hAnsi="宋体" w:hint="eastAsia"/>
            <w:noProof/>
            <w:sz w:val="24"/>
          </w:rPr>
          <w:t>十三、基金资产的估值</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_Toc231975017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79</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8" w:history="1">
        <w:r w:rsidRPr="0065276D">
          <w:rPr>
            <w:rStyle w:val="aa"/>
            <w:rFonts w:ascii="宋体" w:hAnsi="宋体" w:hint="eastAsia"/>
            <w:noProof/>
            <w:sz w:val="24"/>
          </w:rPr>
          <w:t>十四、基金收益与分配</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_Toc231975018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84</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19" w:history="1">
        <w:r w:rsidRPr="0065276D">
          <w:rPr>
            <w:rStyle w:val="aa"/>
            <w:rFonts w:ascii="宋体" w:hAnsi="宋体" w:hint="eastAsia"/>
            <w:noProof/>
            <w:sz w:val="24"/>
          </w:rPr>
          <w:t>十五、基金的费用与税收</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_Toc231975019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86</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0" w:history="1">
        <w:r w:rsidRPr="0065276D">
          <w:rPr>
            <w:rStyle w:val="aa"/>
            <w:rFonts w:ascii="宋体" w:hAnsi="宋体" w:hint="eastAsia"/>
            <w:noProof/>
            <w:sz w:val="24"/>
          </w:rPr>
          <w:t>十六、基金的会计与审计</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_Toc231975020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89</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1" w:history="1">
        <w:r w:rsidRPr="0065276D">
          <w:rPr>
            <w:rStyle w:val="aa"/>
            <w:rFonts w:ascii="宋体" w:hAnsi="宋体" w:hint="eastAsia"/>
            <w:noProof/>
            <w:sz w:val="24"/>
          </w:rPr>
          <w:t>十七、基金的信息披露</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_Toc231975021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90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2" w:history="1">
        <w:r w:rsidRPr="0065276D">
          <w:rPr>
            <w:rStyle w:val="aa"/>
            <w:rFonts w:ascii="宋体" w:hAnsi="宋体" w:hint="eastAsia"/>
            <w:noProof/>
            <w:sz w:val="24"/>
          </w:rPr>
          <w:t>十八、侧袋机制</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_Toc231975022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97</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3" w:history="1">
        <w:r w:rsidRPr="0065276D">
          <w:rPr>
            <w:rStyle w:val="aa"/>
            <w:rFonts w:ascii="宋体" w:hAnsi="宋体" w:hint="eastAsia"/>
            <w:noProof/>
            <w:sz w:val="24"/>
          </w:rPr>
          <w:t>十九、风险揭示</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_Toc231975023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100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4" w:history="1">
        <w:r w:rsidRPr="0065276D">
          <w:rPr>
            <w:rStyle w:val="aa"/>
            <w:rFonts w:ascii="宋体" w:hAnsi="宋体" w:hint="eastAsia"/>
            <w:noProof/>
            <w:sz w:val="24"/>
          </w:rPr>
          <w:t>二十、基金合同的变更、终止与基金财产的清算</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_Toc231975024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110</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5" w:history="1">
        <w:r w:rsidRPr="0065276D">
          <w:rPr>
            <w:rStyle w:val="aa"/>
            <w:rFonts w:ascii="宋体" w:hAnsi="宋体" w:hint="eastAsia"/>
            <w:noProof/>
            <w:sz w:val="24"/>
          </w:rPr>
          <w:t>二十一、基金合同内容摘要</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_Toc231975025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112</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6" w:history="1">
        <w:r w:rsidRPr="0065276D">
          <w:rPr>
            <w:rStyle w:val="aa"/>
            <w:rFonts w:ascii="宋体" w:hAnsi="宋体" w:hint="eastAsia"/>
            <w:noProof/>
            <w:sz w:val="24"/>
          </w:rPr>
          <w:t>二十二、托管协议的内容摘要</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_Toc231975026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129</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7" w:history="1">
        <w:r w:rsidRPr="0065276D">
          <w:rPr>
            <w:rStyle w:val="aa"/>
            <w:rFonts w:ascii="宋体" w:hAnsi="宋体" w:hint="eastAsia"/>
            <w:noProof/>
            <w:sz w:val="24"/>
          </w:rPr>
          <w:t>二十三、对基金份额持有人的服务</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_Toc231975027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142</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8" w:history="1">
        <w:r w:rsidRPr="0065276D">
          <w:rPr>
            <w:rStyle w:val="aa"/>
            <w:rFonts w:ascii="宋体" w:hAnsi="宋体" w:hint="eastAsia"/>
            <w:noProof/>
            <w:sz w:val="24"/>
          </w:rPr>
          <w:t>二十四、其他应披露事项</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_Toc231975028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144</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29" w:history="1">
        <w:r w:rsidRPr="0065276D">
          <w:rPr>
            <w:rStyle w:val="aa"/>
            <w:rFonts w:ascii="宋体" w:hAnsi="宋体" w:hint="eastAsia"/>
            <w:noProof/>
            <w:sz w:val="24"/>
          </w:rPr>
          <w:t>二十五、招募说明书的存放及查阅方式</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_Toc231975029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146</w:t>
        </w:r>
        <w:r w:rsidRPr="0065276D">
          <w:rPr>
            <w:rFonts w:ascii="宋体" w:hAnsi="宋体"/>
            <w:noProof/>
            <w:sz w:val="24"/>
          </w:rPr>
          <w:fldChar w:fldCharType="end"/>
        </w:r>
      </w:hyperlink>
    </w:p>
    <w:p w:rsidR="0065276D" w:rsidRPr="0065276D" w:rsidRDefault="0065276D" w:rsidP="0065276D">
      <w:pPr>
        <w:pStyle w:val="10"/>
        <w:tabs>
          <w:tab w:val="right" w:leader="dot" w:pos="8550"/>
        </w:tabs>
        <w:spacing w:line="360" w:lineRule="auto"/>
        <w:rPr>
          <w:rFonts w:ascii="宋体" w:hAnsi="宋体" w:cstheme="minorBidi"/>
          <w:noProof/>
          <w:sz w:val="24"/>
        </w:rPr>
      </w:pPr>
      <w:hyperlink w:anchor="_Toc231975030" w:history="1">
        <w:r w:rsidRPr="0065276D">
          <w:rPr>
            <w:rStyle w:val="aa"/>
            <w:rFonts w:ascii="宋体" w:hAnsi="宋体" w:hint="eastAsia"/>
            <w:noProof/>
            <w:sz w:val="24"/>
          </w:rPr>
          <w:t>二十六、备查文件</w:t>
        </w:r>
        <w:r w:rsidRPr="0065276D">
          <w:rPr>
            <w:rFonts w:ascii="宋体" w:hAnsi="宋体"/>
            <w:noProof/>
            <w:sz w:val="24"/>
          </w:rPr>
          <w:tab/>
        </w:r>
        <w:r w:rsidRPr="0065276D">
          <w:rPr>
            <w:rFonts w:ascii="宋体" w:hAnsi="宋体"/>
            <w:noProof/>
            <w:sz w:val="24"/>
          </w:rPr>
          <w:fldChar w:fldCharType="begin"/>
        </w:r>
        <w:r w:rsidRPr="0065276D">
          <w:rPr>
            <w:rFonts w:ascii="宋体" w:hAnsi="宋体"/>
            <w:noProof/>
            <w:sz w:val="24"/>
          </w:rPr>
          <w:instrText xml:space="preserve"> PAGEREF _Toc231975030 \h </w:instrText>
        </w:r>
        <w:r w:rsidRPr="0065276D">
          <w:rPr>
            <w:rFonts w:ascii="宋体" w:hAnsi="宋体"/>
            <w:noProof/>
            <w:sz w:val="24"/>
          </w:rPr>
        </w:r>
        <w:r w:rsidRPr="0065276D">
          <w:rPr>
            <w:rFonts w:ascii="宋体" w:hAnsi="宋体"/>
            <w:noProof/>
            <w:sz w:val="24"/>
          </w:rPr>
          <w:fldChar w:fldCharType="separate"/>
        </w:r>
        <w:r w:rsidRPr="0065276D">
          <w:rPr>
            <w:rFonts w:ascii="宋体" w:hAnsi="宋体"/>
            <w:noProof/>
            <w:sz w:val="24"/>
          </w:rPr>
          <w:t>147</w:t>
        </w:r>
        <w:r w:rsidRPr="0065276D">
          <w:rPr>
            <w:rFonts w:ascii="宋体" w:hAnsi="宋体"/>
            <w:noProof/>
            <w:sz w:val="24"/>
          </w:rPr>
          <w:fldChar w:fldCharType="end"/>
        </w:r>
      </w:hyperlink>
    </w:p>
    <w:p w:rsidR="005857DE" w:rsidRPr="0065276D" w:rsidRDefault="0065276D" w:rsidP="0065276D">
      <w:pPr>
        <w:pStyle w:val="ad"/>
        <w:snapToGrid w:val="0"/>
        <w:spacing w:after="240" w:line="360" w:lineRule="auto"/>
        <w:jc w:val="center"/>
        <w:rPr>
          <w:rFonts w:ascii="宋体" w:hAnsi="宋体"/>
          <w:color w:val="000000"/>
          <w:sz w:val="24"/>
        </w:rPr>
      </w:pPr>
      <w:r w:rsidRPr="0065276D">
        <w:rPr>
          <w:rFonts w:ascii="宋体" w:hAnsi="宋体"/>
          <w:color w:val="000000"/>
          <w:position w:val="-4"/>
          <w:sz w:val="24"/>
          <w:szCs w:val="30"/>
        </w:rPr>
        <w:fldChar w:fldCharType="end"/>
      </w:r>
      <w:bookmarkStart w:id="3" w:name="_GoBack"/>
      <w:bookmarkEnd w:id="3"/>
    </w:p>
    <w:p w:rsidR="005857DE" w:rsidRDefault="005857DE">
      <w:pPr>
        <w:autoSpaceDE w:val="0"/>
        <w:autoSpaceDN w:val="0"/>
        <w:adjustRightInd w:val="0"/>
        <w:snapToGrid w:val="0"/>
        <w:spacing w:line="360" w:lineRule="auto"/>
        <w:ind w:left="120" w:rightChars="6" w:right="13"/>
        <w:rPr>
          <w:rFonts w:ascii="宋体" w:hAnsi="宋体"/>
          <w:kern w:val="0"/>
          <w:szCs w:val="24"/>
        </w:rPr>
        <w:sectPr w:rsidR="005857DE">
          <w:pgSz w:w="11920" w:h="16840"/>
          <w:pgMar w:top="1480" w:right="1680" w:bottom="280" w:left="1680" w:header="0" w:footer="1073" w:gutter="0"/>
          <w:cols w:space="720"/>
        </w:sectPr>
      </w:pPr>
    </w:p>
    <w:p w:rsidR="005857DE" w:rsidRDefault="00F0560B">
      <w:pPr>
        <w:pStyle w:val="1"/>
        <w:snapToGrid w:val="0"/>
        <w:spacing w:beforeLines="0" w:before="240" w:after="240"/>
        <w:rPr>
          <w:rFonts w:ascii="宋体" w:hAnsi="宋体"/>
          <w:szCs w:val="30"/>
        </w:rPr>
      </w:pPr>
      <w:bookmarkStart w:id="4" w:name="_Toc231975005"/>
      <w:r>
        <w:rPr>
          <w:rFonts w:ascii="Times New Roman" w:hAnsi="Times New Roman"/>
          <w:sz w:val="30"/>
        </w:rPr>
        <w:lastRenderedPageBreak/>
        <w:t>一、绪言</w:t>
      </w:r>
      <w:bookmarkEnd w:id="4"/>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核心资产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核心资产混合型证券投资基金基金合同》（以下简称“基金合同”）编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5" w:name="_Toc231975006"/>
      <w:r>
        <w:rPr>
          <w:rFonts w:ascii="Times New Roman" w:hAnsi="Times New Roman"/>
          <w:sz w:val="30"/>
        </w:rPr>
        <w:lastRenderedPageBreak/>
        <w:t>二、释义</w:t>
      </w:r>
      <w:bookmarkEnd w:id="5"/>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1、基金或本基金：指交银施罗德核心资产混合型证券投资基金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4、《基金合同》或基金合同：指《交银施罗德核心资产混合型证券投资基金基金合同》及对基金合同的任何有效修订和补充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5、托管协议：指基金管理人与基金托管人就本基金签订之《交银施罗德核心资产混合型证券投资基金托管协议》及对该托管协议的任何有效修订和补充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6、招募说明书或《招募说明书》或本招募说明书：指《交银施罗德核心资产混合型证券投资基金招募说明书》及其更新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7、基金份额发售公告：指《交银施罗德核心资产混合型证券投资基金基金份额发售公告》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8、基金产品资料概要：指《交银施罗德核心资产混合型证券投资基金基金产品资料概要》及其更新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办理认购、申购、赎回、转换、定期定额投资及转托管等业务而引起的基金份额变动及结余情况的账户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37、开放日：指为投资人办理基金份额申购、赎回或其他业务的工作日（若该工作日为非港股通交易日，则本基金不开放）</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w:t>
      </w:r>
      <w:r>
        <w:rPr>
          <w:rFonts w:ascii="宋体" w:hAnsi="宋体"/>
          <w:sz w:val="24"/>
        </w:rPr>
        <w:lastRenderedPageBreak/>
        <w:t>者。具体处理原则与操作规范遵循相关法律法规以及监管部门、自律规则的规定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58、港股通：指内地投资者委托内地证券公司，经由内地证券交易所设立的证券交易服务公司，向香港联合交易所进行申报，买卖规定范围内的香港联合交易所上市的股票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59、指定媒介：指中国证监会指定的用以进行信息披露的全国性报刊及指定互联网网站（包括基金管理人网站、基金托管人网站、中国证监会基金电子披露网站）等媒介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6" w:name="_Toc231975007"/>
      <w:r>
        <w:rPr>
          <w:rFonts w:ascii="Times New Roman" w:hAnsi="Times New Roman"/>
          <w:sz w:val="30"/>
        </w:rPr>
        <w:lastRenderedPageBreak/>
        <w:t>三、基金管理人</w:t>
      </w:r>
      <w:bookmarkEnd w:id="6"/>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俊华女士:基金经理。上海交通大学金融学硕士，21年证券投资行业从业经验。2005年至2006年任国泰君安证券研究部研究员，2007年至2015年任中国国际金融有限公司研究部公用事业组负责人。2015年加入交银施罗德基金管理有限公司，现任跨境投资副总监、基金经理。曾任交银施罗德全球自然资源证券投资基金(2015年11月21日至2019年09月19日)、交银施罗德环球精选价值证券投资基金(2015年11月21日至2026年01月22日)、交银施罗德鸿光一年持有期混合型证券投资基金(2021年03月08日至2026年02月07日)、交银施罗德鸿福六个月持有期混合型证券投资基金(2021年03月30日至2025年01月22日)、交银施罗德鸿信一年持有期混合型证券投资基金(2021年08月06日至2025年07月19日)、交银施罗德鸿泰一年持有期混合型证券投资基金(2021年11月24日至2025年08月29日)的基金经理。现任交银施罗德沪港深价值精选灵活配置混合型证券投资基金(2016年11月07日至今)、交银施罗德核心资产混合型证券投资基金(2019年01月18日至今)的基金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7" w:name="_Toc231975008"/>
      <w:r>
        <w:rPr>
          <w:rFonts w:ascii="Times New Roman" w:hAnsi="Times New Roman"/>
          <w:sz w:val="30"/>
        </w:rPr>
        <w:lastRenderedPageBreak/>
        <w:t>四、基金托管人</w:t>
      </w:r>
      <w:bookmarkEnd w:id="7"/>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8" w:name="_Toc231975009"/>
      <w:r>
        <w:rPr>
          <w:rFonts w:ascii="Times New Roman" w:hAnsi="Times New Roman"/>
          <w:sz w:val="30"/>
        </w:rPr>
        <w:lastRenderedPageBreak/>
        <w:t>五、相关服务机构</w:t>
      </w:r>
      <w:bookmarkEnd w:id="8"/>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（5）名称：国投证券股份有限公司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（6）名称：万联证券股份有限公司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（7）名称：中信建投证券股份有限公司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（8）名称：华西证券股份有限公司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（9）名称：中信证券（山东）有限责任公司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法定代表人：肖海峰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（11）名称：中信证券华南股份有限公司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（12）名称：国泰海通证券股份有限公司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网址：www.gtht.com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（13）名称：北京广源达信基金销售有限公司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（14）名称：京东肯特瑞基金销售有限公司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（15）名称：珠海盈米基金销售有限公司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（16）名称：北京度小满基金销售有限公司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（17）名称：南京苏宁基金销售有限公司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（18）名称：嘉实财富管理有限公司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（19）名称：北京汇成基金销售有限公司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（20）名称：上海利得基金销售有限公司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（21）名称：北京虹点基金销售有限公司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（22）名称：上海陆金所基金销售有限公司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（23）名称：上海挖财基金销售有限公司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（24）名称：万家财富基金销售（天津）有限公司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（25）名称：上海万得基金销售有限公司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（26）名称：格上富信投资顾问有限公司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（27）名称：深圳市金斧子基金销售有限公司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（28）名称：北京雪球基金销售有限公司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（29）名称：北京新浪仓石基金销售有限公司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办公地址：北京市海淀区东北旺西路中关村软件园二期（西扩）N-1、N-2地块新浪总部科研楼5层518室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（30）名称：中证金牛（北京）基金销售有限公司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（31）名称：上海证达通基金销售有限公司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（32）名称：北京创金启富基金销售有限公司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（33）名称：奕丰基金销售有限公司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（34）名称：上海天天基金销售有限公司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（35）名称：和讯信息科技有限公司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（36）名称：诺亚正行基金销售有限公司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（37）名称：上海好买基金销售有限公司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（38）名称：上海长量基金销售有限公司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（39）名称：深圳众禄基金销售股份有限公司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（40）名称：蚂蚁（杭州）基金销售有限公司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（41）名称：上海基煜基金销售有限公司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（42）名称：浙江同花顺基金销售有限公司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电话：（0571）88911818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（43）名称：宜信普泽（北京）基金销售有限公司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（44）名称：上海联泰基金销售有限公司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（45）名称：北京展恒基金销售股份有限公司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客户服务电话：400-888-6661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（46）名称：深圳市新兰德证券投资咨询有限公司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（47）名称：腾安基金销售（深圳）有限公司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（48）名称：济安财富（北京）基金销售有限公司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辽宁省大连市沙河口区体坛路22号诺德大厦2层202室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（50）名称：博时财富基金销售有限公司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（51）名称：泛华普益基金销售有限公司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（53）名称：上海中欧财富基金销售有限公司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（54）名称：上海大智慧基金销售有限公司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（55）名称：中信期货有限公司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传真：+86 (21) 6288 1889</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9" w:name="_Toc231975010"/>
      <w:r>
        <w:rPr>
          <w:rFonts w:ascii="Times New Roman" w:hAnsi="Times New Roman"/>
          <w:sz w:val="30"/>
        </w:rPr>
        <w:lastRenderedPageBreak/>
        <w:t>六、基金的募集</w:t>
      </w:r>
      <w:bookmarkEnd w:id="9"/>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本基金由基金管理人依照《基金法》、《运作办法》、《销售办法》、基金合同及其他有关规定，并经中国证监会2018年7月3日证监许可[2018]1075号文准予募集注册。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本基金自2018年12月10日至2019年 1月11日进行发售，本基金设立募集期共募集780,567,196.69份基金份额，有效认购户数为8,928户。</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0" w:name="_Toc231975011"/>
      <w:r>
        <w:rPr>
          <w:rFonts w:ascii="Times New Roman" w:hAnsi="Times New Roman"/>
          <w:sz w:val="30"/>
        </w:rPr>
        <w:lastRenderedPageBreak/>
        <w:t>七、基金合同的生效</w:t>
      </w:r>
      <w:bookmarkEnd w:id="10"/>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根据有关规定，本基金满足基金合同生效条件，基金合同已于2019年1月18日正式生效。自基金合同生效之日起，本基金管理人正式开始管理本基金。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1" w:name="_Toc231975012"/>
      <w:r>
        <w:rPr>
          <w:rFonts w:ascii="Times New Roman" w:hAnsi="Times New Roman"/>
          <w:sz w:val="30"/>
        </w:rPr>
        <w:lastRenderedPageBreak/>
        <w:t>八、基金份额的申购与赎回</w:t>
      </w:r>
      <w:bookmarkEnd w:id="11"/>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个人投资者可以通过基金管理人网上直销交易平台办理开户、本基金A类基金份额和C类基金份额的申购、赎回、转换、定期定额投资等业务，具体交易细则请参阅基金管理人网站。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投资人在开放日办理基金份额的申购及/或赎回，具体办理时间为上海证券交易所、深圳证券交易所的正常交易日（若该工作日为非港股通交易日，则本基金不</w:t>
      </w:r>
      <w:r>
        <w:rPr>
          <w:rFonts w:ascii="宋体" w:hAnsi="宋体"/>
          <w:sz w:val="24"/>
        </w:rPr>
        <w:lastRenderedPageBreak/>
        <w:t>开放）的交易时间，但基金管理人根据法律法规、中国证监会的要求或基金合同的规定公告暂停申购、赎回时除外。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本基金A类基金份额已于2019年2月18日起开放申购、赎回业务。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本基金C类基金份额已于2024年1月9日起开放申购、赎回业务。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的申购金额、赎回份额和最低基金份额保留余额的数量限制。基金管理人必须在调整实施前依照《信息披露办法》的有关规定在指定媒介上刊登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w:t>
      </w:r>
      <w:r>
        <w:rPr>
          <w:rFonts w:ascii="宋体" w:hAnsi="宋体"/>
          <w:sz w:val="24"/>
        </w:rPr>
        <w:lastRenderedPageBreak/>
        <w:t>赎回或基金合同载明的其他暂停赎回或延缓支付赎回款项的情形时，款项的支付办法参照基金合同有关条款处理。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投资人可以多次申购本基金，A类基金份额的申购费用按每笔A类基金份额申购申请单独计算。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857D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5857D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857D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857D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857D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857DE" w:rsidRDefault="005857D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5、当发生大额申购或赎回情形时，基金管理人可以采用摆动定价机制以确保基金估值的公平性。具体处理原则与操作规范遵循相关法律法规以及监管部门、自律规则的规定。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即：该投资者（非养老金客户）投资40,000元申购本基金A类基金份额，假设申购当日A类基金份额净值为1.0400元，则其可得到37,893.14份A类基金份额。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例二：某养老金客户投资100,000元通过基金管理人的直销柜台申购本基金A类基金份额，假设申购当日A类基金份额净值为1.0400元，申购费率为0.6%，则其可得到的申购份额为：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w:t>
      </w:r>
      <w:r>
        <w:rPr>
          <w:rFonts w:ascii="宋体" w:hAnsi="宋体"/>
          <w:sz w:val="24"/>
        </w:rPr>
        <w:lastRenderedPageBreak/>
        <w:t>金额为：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2、发生基金合同规定的暂停基金资产估值情况时，基金管理人可暂停接受投资人的申购申请。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基金估值，并采取暂停接受基金申购申请的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10、基金合同约定、法律法规规定或中国证监会认定的其他情形。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10项暂停申购情形之一且基金管理人决定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4、连续两个或两个以上开放日发生巨额赎回。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基金估值，并采取延缓支付赎回款项或暂停接受基金赎回申请的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w:t>
      </w:r>
      <w:r>
        <w:rPr>
          <w:rFonts w:ascii="宋体" w:hAnsi="宋体"/>
          <w:sz w:val="24"/>
        </w:rPr>
        <w:lastRenderedPageBreak/>
        <w:t>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（3）本基金发生巨额赎回且单个基金份额持有人的赎回申请超过上一日基金总份额20%的情形下，基金管理人可以采取如下措施：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对于基金份额持有人当日超过20%的赎回申请，可以对其赎回申请延期办理，延期的赎回申请转入下一个开放日继续赎回，直到全部赎回为止。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未超过20%的赎回申请，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其余赎回申请按单个账户赎回申请量占赎回申请总量的比例，确定当日受理的赎回份额；对于未能赎回部分，基金管理人可对其赎回申请进行延期办理，延期的赎回申请转入下一个开放日继续赎回，直到全部赎回为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延期的赎回申请与下一开放日赎回申请一并处理，无优先权并以下一开放日的该类基金份额净值为基础计算赎回金额，以此类推，直到全部赎回为止。但是，如基金份额持有人在当日选择取消赎回，则其当日未获受理的部分赎回申请将被撤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1、发生上述暂停申购或赎回情况的，基金管理人应在规定期限内在指定媒介上刊登暂停公告。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2月14日刊登公告自2019年2月18日起开通A类基金份额的定期定额投资计划业务，本基金2024年1月8日刊登公告自2024年1月9日起增设C类基金份额并开通C类基金份额的定期定额投资计划业务，具体开通销售机构名单和业务规则参见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（十六）基金份额的转让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2" w:name="_Toc231975013"/>
      <w:r>
        <w:rPr>
          <w:rFonts w:ascii="Times New Roman" w:hAnsi="Times New Roman"/>
          <w:sz w:val="30"/>
        </w:rPr>
        <w:lastRenderedPageBreak/>
        <w:t>九、基金的转换</w:t>
      </w:r>
      <w:bookmarkEnd w:id="12"/>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本基金2019年2月14日刊登公告自2019年2月18日起开放A类基金份额的日常转换业务。本基金2024年1月8日刊登公告自2024年1月9日起增设C类基金份额并开通C类基金份额的日常转换业务。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3" w:name="_Toc231975014"/>
      <w:r>
        <w:rPr>
          <w:rFonts w:ascii="Times New Roman" w:hAnsi="Times New Roman"/>
          <w:sz w:val="30"/>
        </w:rPr>
        <w:lastRenderedPageBreak/>
        <w:t>十、基金的投资</w:t>
      </w:r>
      <w:bookmarkEnd w:id="13"/>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本基金主要投资于具有核心资产的上市公司，在合理控制风险并保持基金资产良好流动性的前提下，力争实现基金资产的长期稳定增值。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w:t>
      </w:r>
      <w:r>
        <w:rPr>
          <w:rFonts w:ascii="宋体" w:hAnsi="宋体"/>
          <w:sz w:val="24"/>
        </w:rPr>
        <w:lastRenderedPageBreak/>
        <w:t>组合的较高回报。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（1）具有核心资产的公司股票的界定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称具有“核心资产”的公司是指公司在历史诚信记录良好的基础上，具有专注提升公司主营业务的特定垄断资源、不可替代性技术的生产或经营条件等可推动公司可持续发展的核心竞争力。本基金对上市公司的“核心资产”主要从以下几个方面进行考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1）研发创新能力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具备突出的研发创新能力，同时拥有技术转换、技术保护能力，提高生产效率、保持产品差异性，这种内在的增长动力可随外部环境变化做出快速反应，赋予公司强大的竞争优势、带来专业技术壁垒，一定时期内难以被其他竞争对手模仿、替代或超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2）特定垄断资源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特定资源的垄断性开发、经营或使用权，如生产原材料、交通条件、信息条件等，还包括公司所独有的政策条件，如享有政策优惠待遇等，这些垄断优势与稀缺性资源能赋予公司得天独厚的竞争优势。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3）成本优势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成本优势主要指公司具有较强议价能力、规模效益等优势，能以更低的价格参与市场竞争，使客户可以以较少的支出获得更多的产品和服务，提高公司的市场占有率。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4）品牌影响力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品牌影响力反应了消费者对品牌的认可程度，优秀的品牌拥有诚信度、知名度、美誉度等，是给公司带来溢价、产生增值的一种无形资产。强大的品牌影响力使得公司拥有行业领军的市场份额和广阔的增长远景。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以核心资产为主题，本基金将重点配置相关行业中拥有上述核心资源或技术的上市公司发行的股票。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盈利能力指标：如市盈率（P/E）、市现率（P/Cash Flow）、股价与每股自由现金流比率（P/FCF）、市销率（P/S）、股价与每股息税前利润比率（P/EBIT）等；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经营效率指标：如净资产收益率（ROE）、资产收益率（ROA）、经营资产回报率（Return on operating assets）等；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财务状况指标：如资产负债率（D/A）、流动比率等。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本基金可通过内地与香港股票市场交易互联互通机制投资于香港股票市场。本基金将遵循核心资产相关股票的投资策略，优先将基本面健康、业绩向上弹性较大、具有估值优势的港股纳入本基金的股票投资组合。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w:t>
      </w:r>
      <w:r>
        <w:rPr>
          <w:rFonts w:ascii="宋体" w:hAnsi="宋体"/>
          <w:sz w:val="24"/>
        </w:rPr>
        <w:lastRenderedPageBreak/>
        <w:t>资于核心资产主题相关证券的比例不低于非现金基金资产的80%。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6、股指期货投资策略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（10）本基金与私募类证券资管产品及中国证监会认定的其他主体为交易对手开展逆回购交易的，可接受质押品的资质要求应当与基金合同约定的投资范围保持一致；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权证、资产支持证券、买入返售金融资产（不含质押式回购）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5）本基金在任何交易日内交易（不包括平仓）的股指期货合约的成交金额不得超过上一交易日基金资产净值的20%；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w:t>
      </w:r>
      <w:r>
        <w:rPr>
          <w:rFonts w:ascii="宋体" w:hAnsi="宋体"/>
          <w:sz w:val="24"/>
        </w:rPr>
        <w:lastRenderedPageBreak/>
        <w:t>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沪深300指数收益率×50%+恒生指数收益率×30%+中证综合债券指数收益率×20%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家上市股票为成份股样本，以其发行量为权数的加权平均股价指数，是反映香港股市价幅趋势最有影响的一种股价指数，适合作为本基金港股资产投资的业绩比较基准。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本基金可投资港股通标的股票，会面临港股通机制下因投资环境、投资标的、市场制度以及交易规则等差异带来的特有风险。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基金托管人中国农业银行股份有限公司根据本基金合同规定，于2026年04月20日复核了本报告中的财务指标、净值表现和投资组合报告等内容，保证复核内容不存在虚假记载、误导性陈述或者重大遗漏。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44,296,074.21</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83.57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44,296,074.21</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83.57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8,107,494.61</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15.30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603,769.94</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53,007,338.76</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注：本基金本报告期末通过港股通机制投资香港股票的公允价值为13,587,090.66元，占基金资产净值比例为25.71%。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196,320.00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18,718,213.00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35.42</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1,158,332.00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2.19</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1,623,331.50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3.07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2,597,999.05</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4.92</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1,867,980.00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3.53</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2,315,168.00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4.38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1,216,440.00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1.92</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P</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30,708,983.55</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58.11</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4,758,411.80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9.00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3,407,021.51</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6.45</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3,173,534.21</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1,236,130.00</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2.34</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1,011,993.14</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13,587,090.66</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25.71</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8,600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3,675,191.08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6.95</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01919 HK</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中远海控</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1,578,714.60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2.99</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601919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中远海控</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108,150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1,623,331.50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3.07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2,767,400.00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5.24</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6,200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2,490,540.00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002532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天山铝业</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2,289,573.00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4.33</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603129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春风动力</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9,900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2,263,140.00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4.28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20,600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2,164,463.63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601398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工商银行</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244,500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1,867,980.00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3.53</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300373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扬杰科技</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1,821,690.00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3.45</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600089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特变电工</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65,400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1,733,100.00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3.28</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2025年12月18日,国家外汇管理局北京市分局公示京汇罚[2025]49号行政处罚决定书,给予中国工商银行股份有限公司罚没共计1142.59万元人民币的行政处罚。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2025年12月19日,央行公示银罚决字[2025]110号行政处罚决定书,给予中国工商银行股份有限公司罚没共计4396.0709万元人民币的行政处罚。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w:t>
      </w:r>
      <w:r>
        <w:rPr>
          <w:rFonts w:ascii="宋体" w:hAnsi="宋体"/>
          <w:sz w:val="24"/>
        </w:rPr>
        <w:lastRenderedPageBreak/>
        <w:t>特别是重仓证券的投资有严格的投资决策流程控制，对上述主体发行证券的投资决策程序符合公司投资制度的规定。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29,170.86</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574,599.08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right"/>
              <w:rPr>
                <w:rFonts w:ascii="宋体" w:hAnsi="宋体"/>
                <w:color w:val="000000"/>
                <w:kern w:val="0"/>
                <w:sz w:val="25"/>
                <w:szCs w:val="24"/>
              </w:rPr>
            </w:pPr>
            <w:r>
              <w:rPr>
                <w:rFonts w:ascii="Times New Roman" w:hAnsi="Times New Roman"/>
                <w:color w:val="000000"/>
                <w:kern w:val="0"/>
                <w:sz w:val="25"/>
                <w:szCs w:val="24"/>
              </w:rPr>
              <w:t>603,769.94</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4" w:name="_Toc231975015"/>
      <w:r>
        <w:rPr>
          <w:rFonts w:ascii="Times New Roman" w:hAnsi="Times New Roman"/>
          <w:sz w:val="30"/>
        </w:rPr>
        <w:lastRenderedPageBreak/>
        <w:t>十一、基金的业绩</w:t>
      </w:r>
      <w:bookmarkEnd w:id="14"/>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（1）交银核心资产混合A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-5.65%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14.80%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17.51%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19.15%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14.96%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4.19%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-12.50%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-8.73%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-3.77%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-14.56%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-14.57%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2.36%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7.93%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54.78%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13.03%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41.75%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24.49%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17.95%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（2）交银核心资产混合C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-5.79%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14.13%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17.51%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5857D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20.63%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19.12%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注：本基金的业绩比较基准为沪深300指数收益率×50%+恒生指数收益率×30%+中证综合债券指数收益率×20%，每日进行再平衡过程。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857DE" w:rsidRDefault="00F0560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交银施罗德核心资产混合型证券投资基金</w:t>
      </w:r>
    </w:p>
    <w:p w:rsidR="005857DE" w:rsidRDefault="00F0560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5857DE" w:rsidRDefault="00F0560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（2019年1月18日至2026年03月31日）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（1）交银核心资产混合A</w:t>
      </w:r>
    </w:p>
    <w:p w:rsidR="005857DE" w:rsidRDefault="0065276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（2）交银核心资产混合C</w:t>
      </w:r>
    </w:p>
    <w:p w:rsidR="005857DE" w:rsidRDefault="0065276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2、本基金自2024年1月9日起，开始销售C类份额，投资者提交的申购申请于2024年1月10日被确认并将有效份额登记在册。</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5" w:name="_Toc231975016"/>
      <w:r>
        <w:rPr>
          <w:rFonts w:ascii="Times New Roman" w:hAnsi="Times New Roman"/>
          <w:sz w:val="30"/>
        </w:rPr>
        <w:lastRenderedPageBreak/>
        <w:t>十二、基金的财产</w:t>
      </w:r>
      <w:bookmarkEnd w:id="15"/>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6" w:name="_Toc231975017"/>
      <w:r>
        <w:rPr>
          <w:rFonts w:ascii="Times New Roman" w:hAnsi="Times New Roman"/>
          <w:sz w:val="30"/>
        </w:rPr>
        <w:lastRenderedPageBreak/>
        <w:t>十三、基金资产的估值</w:t>
      </w:r>
      <w:bookmarkEnd w:id="16"/>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交易所上市实行全价交易的债券（可转债除外），选取第三方估值机构提供的估值全价减去估值全价中所含的债券（税后）应收利息得到的净价进行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等，按监管机构或行业协会有关规定确定公允价值；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7、如有确凿证据表明按上述方法进行估值不能客观反映其公允价值的，基金管理人可根据具体情况与基金托管人商定后，按最能反映公允价值的方法估值。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8、当发生大额申购或赎回情形时，基金管理人可以对本基金采用摆动定价机制，以确保基金估值的公平性。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10、相关法律法规以及监管部门有强制规定的，从其规定。如有新增事项，按法律法规以及监管部门最新规定估值。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1、各类基金份额的基金份额净值是按照每个工作日闭市后，该类基金份额的基金资产净值除以当日该类基金份额的余额数量计算，均精确到0.0001元，小数点后第五位四舍五入。国家另有规定的，从其规定。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的约定和相关法律法规的规定对外公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4、法律法规或中国证监会规定的和基金合同约定的其他情形。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7" w:name="_Toc231975018"/>
      <w:r>
        <w:rPr>
          <w:rFonts w:ascii="Times New Roman" w:hAnsi="Times New Roman"/>
          <w:sz w:val="30"/>
        </w:rPr>
        <w:lastRenderedPageBreak/>
        <w:t>十四、基金收益与分配</w:t>
      </w:r>
      <w:bookmarkEnd w:id="17"/>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（七）实施侧袋机制期间的收益分配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（八）收益分配方式的修改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8" w:name="_Toc231975019"/>
      <w:r>
        <w:rPr>
          <w:rFonts w:ascii="Times New Roman" w:hAnsi="Times New Roman"/>
          <w:sz w:val="30"/>
        </w:rPr>
        <w:lastRenderedPageBreak/>
        <w:t>十五、基金的费用与税收</w:t>
      </w:r>
      <w:bookmarkEnd w:id="18"/>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w:t>
      </w:r>
      <w:r>
        <w:rPr>
          <w:rFonts w:ascii="宋体" w:hAnsi="宋体"/>
          <w:sz w:val="24"/>
        </w:rPr>
        <w:lastRenderedPageBreak/>
        <w:t>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款指令，经基金托管人复核后于次月首日起5个工作日内从基金财产中一次性支付给基金管理人，由基金管理人代付给销售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本基金赎回费的费率水平、计算公式和收取方式详见“基金份额的申购与赎回”一章。</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19" w:name="_Toc231975020"/>
      <w:r>
        <w:rPr>
          <w:rFonts w:ascii="Times New Roman" w:hAnsi="Times New Roman"/>
          <w:sz w:val="30"/>
        </w:rPr>
        <w:lastRenderedPageBreak/>
        <w:t>十六、基金的会计与审计</w:t>
      </w:r>
      <w:bookmarkEnd w:id="19"/>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0" w:name="_Toc231975021"/>
      <w:r>
        <w:rPr>
          <w:rFonts w:ascii="Times New Roman" w:hAnsi="Times New Roman"/>
          <w:sz w:val="30"/>
        </w:rPr>
        <w:lastRenderedPageBreak/>
        <w:t>十七、基金的信息披露</w:t>
      </w:r>
      <w:bookmarkEnd w:id="20"/>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在开始办理基金份额申购或者赎回后，基金管理人应当在不晚于每个开放日的次日，通过指定网站、销售机构网站或者营业网点分别披露开放日A类基金份额和C</w:t>
      </w:r>
      <w:r>
        <w:rPr>
          <w:rFonts w:ascii="宋体" w:hAnsi="宋体"/>
          <w:sz w:val="24"/>
        </w:rPr>
        <w:lastRenderedPageBreak/>
        <w:t>类基金份额所对应的基金份额净值和基金份额累计净值。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（2）《基金合同》终止、基金清算；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（21）本基金采用摆动定价机制进行估值；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（24）基金信息披露义务人认为可能对基金份额持有人权益或者基金份额的价格产生重大影响的其他事项或中国证监会规定的其他事项。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投资流通受限证券，基金管理人应在本基金投资非公开发行股票后两个交易日内，在中国证监会指定媒介披露所投资非公开发行股票的名称、数量、总成本、账面价值，以及总成本和账面价值占基金资产净值的比例、锁定期等信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14、参与港股通交易的信息披露</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在季度报告、中期报告、年度报告等定期报告和招募说明书（更新）等文件中披露参与港股通交易的相关情况。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15、实施侧袋机制期间的信息披露</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16、中国证监会规定的其他信息。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1" w:name="_Toc231975022"/>
      <w:r>
        <w:rPr>
          <w:rFonts w:ascii="Times New Roman" w:hAnsi="Times New Roman"/>
          <w:sz w:val="30"/>
        </w:rPr>
        <w:lastRenderedPageBreak/>
        <w:t>十八、侧袋机制</w:t>
      </w:r>
      <w:bookmarkEnd w:id="21"/>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857DE" w:rsidRDefault="00F0560B">
      <w:pPr>
        <w:pStyle w:val="1"/>
        <w:snapToGrid w:val="0"/>
        <w:spacing w:beforeLines="0" w:before="240" w:after="240"/>
        <w:rPr>
          <w:rFonts w:ascii="宋体" w:hAnsi="宋体"/>
          <w:szCs w:val="30"/>
        </w:rPr>
      </w:pPr>
      <w:bookmarkStart w:id="22" w:name="_Toc231975023"/>
      <w:r>
        <w:rPr>
          <w:rFonts w:ascii="Times New Roman" w:hAnsi="Times New Roman"/>
          <w:sz w:val="30"/>
        </w:rPr>
        <w:lastRenderedPageBreak/>
        <w:t>十九、风险揭示</w:t>
      </w:r>
      <w:bookmarkEnd w:id="22"/>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若该工作日为非港股通交易日，则本基金不开放）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（3）本基金发生巨额赎回且单个基金份额持有人的赎回申请超过上一日基金总份额20%的情形下，基金管理人可以采取如下措施：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对于基金份额持有人当日超过20%的赎回申请，可以对其赎回申请延期办理，延期的赎回申请转入下一个开放日继续赎回，直到全部赎回为止。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未超过20%的赎回申请，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其余赎回申请按单个账户赎回申请量占赎回申请总量的比例，确定当日受理的赎回份额；对于未能赎回部分，基金管理人可对其赎回申请进行延期办理，延期的赎回申请转入下一个开放日继续赎回，直到全部赎回为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延期的赎回申请与下一开放日赎回申请一并处理，无优先权并以下一开放日的该类基金份额净值为基础计算赎回金额，以此类推，直到全部赎回为止。但是，如基金份额持有人在当日选择取消赎回，则其当日未获受理的部分赎回申请将被撤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3、投资主题风险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本基金投资于核心资产主题相关证券的比例不低于非现金基金资产的 80%，因</w:t>
      </w:r>
      <w:r>
        <w:rPr>
          <w:rFonts w:ascii="宋体" w:hAnsi="宋体"/>
          <w:sz w:val="24"/>
        </w:rPr>
        <w:lastRenderedPageBreak/>
        <w:t>此本基金的股票投资业绩与本基金界定的具有核心资产的公司发行证券的相关性较大，需承担相应风险。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4、本基金可投资港股通标的股票，会面临港股通机制下因投资环境、投资标的、市场制度以及交易规则等差异带来的特有风险，具体如下：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w:t>
      </w:r>
      <w:r>
        <w:rPr>
          <w:rFonts w:ascii="宋体" w:hAnsi="宋体"/>
          <w:sz w:val="24"/>
        </w:rPr>
        <w:lastRenderedPageBreak/>
        <w:t>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w:t>
      </w:r>
      <w:r>
        <w:rPr>
          <w:rFonts w:ascii="宋体" w:hAnsi="宋体"/>
          <w:sz w:val="24"/>
        </w:rPr>
        <w:lastRenderedPageBreak/>
        <w:t>或多种基础资产或指数，其评价主要源自于对挂钩资产的价格与价格波动的预期。投资股指期货所面临的风险主要是市场风险、流动性风险、基差风险、保证金风险、信用风险和操作风险。具体为：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3" w:name="_Toc231975024"/>
      <w:r>
        <w:rPr>
          <w:rFonts w:ascii="Times New Roman" w:hAnsi="Times New Roman"/>
          <w:sz w:val="30"/>
        </w:rPr>
        <w:lastRenderedPageBreak/>
        <w:t>二十、基金合同的变更、终止与基金财产的清算</w:t>
      </w:r>
      <w:bookmarkEnd w:id="23"/>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5、基金财产清算的期限为6个月，因本基金所持证券流通性受到限制、结算保证金相关规定等客观因素，清算期限可相应延长。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4" w:name="_Toc231975025"/>
      <w:r>
        <w:rPr>
          <w:rFonts w:ascii="Times New Roman" w:hAnsi="Times New Roman"/>
          <w:sz w:val="30"/>
        </w:rPr>
        <w:lastRenderedPageBreak/>
        <w:t>二十一、基金合同内容摘要</w:t>
      </w:r>
      <w:bookmarkEnd w:id="24"/>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（11）在《基金合同》约定的范围内，拒绝或暂停受理申购、赎回或转换申请；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w:t>
      </w:r>
      <w:r>
        <w:rPr>
          <w:rFonts w:ascii="宋体" w:hAnsi="宋体"/>
          <w:sz w:val="24"/>
        </w:rPr>
        <w:lastRenderedPageBreak/>
        <w:t>其他为基金提供服务的外部机构；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w:t>
      </w:r>
      <w:r>
        <w:rPr>
          <w:rFonts w:ascii="宋体" w:hAnsi="宋体"/>
          <w:sz w:val="24"/>
        </w:rPr>
        <w:lastRenderedPageBreak/>
        <w:t>和《基金合同》的当事人，直至其不再持有本基金的基金份额。基金份额持有人作为《基金合同》当事人并不以在《基金合同》上书面签章或签字为必要条件。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8）变更基金投资目标、范围或策略，基金合同另有约定的除外；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9）变更基金份额持有人大会程序，基金合同另有约定的除外；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（2）在符合法律法规和《基金合同》规定的范围内、并且对基金份额持有人利益无实质不利影响的前提下，以下情况可由基金管理人和基金托管人协商后修</w:t>
      </w:r>
      <w:r>
        <w:rPr>
          <w:rFonts w:ascii="宋体" w:hAnsi="宋体"/>
          <w:sz w:val="24"/>
        </w:rPr>
        <w:lastRenderedPageBreak/>
        <w:t>改，不需召开基金份额持有人大会：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3）调整本基金的申购费率、调低赎回费率及销售服务费率、变更或增加收费方式；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7）在符合法律法规及本基金合同规定、并且对基金份额持有人利益无实质不利影响的前提下，增加基金份额类别或调整本基金份额类别的设置；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就上述情形，法律法规、《基金合同》和中国证监会另有规定的除外）以特别决议通过方为有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w:t>
      </w:r>
      <w:r>
        <w:rPr>
          <w:rFonts w:ascii="宋体" w:hAnsi="宋体"/>
          <w:sz w:val="24"/>
        </w:rPr>
        <w:lastRenderedPageBreak/>
        <w:t>改导致相关内容被取消或变更的，基金管理人经与基金托管人协商一致并提前公告后，可直接对本部分内容进行修改和调整，无需召开基金份额持有人大会审议。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（5）基金财产清算的期限为6个月，因本基金所持证券流通性受到限制、结算保证金相关规定等客观因素，清算期限可相应延长。</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《基金合同》受中国法律管辖。</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5" w:name="_Toc231975026"/>
      <w:r>
        <w:rPr>
          <w:rFonts w:ascii="Times New Roman" w:hAnsi="Times New Roman"/>
          <w:sz w:val="30"/>
        </w:rPr>
        <w:lastRenderedPageBreak/>
        <w:t>二十二、托管协议的内容摘要</w:t>
      </w:r>
      <w:bookmarkEnd w:id="25"/>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w:t>
      </w:r>
      <w:r>
        <w:rPr>
          <w:rFonts w:ascii="宋体" w:hAnsi="宋体"/>
          <w:sz w:val="24"/>
        </w:rPr>
        <w:lastRenderedPageBreak/>
        <w:t>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每个交易日日终在扣除股指期货合约需缴纳的交易保证金后，本基金保留的现金或者投资于到期日在一年以内的政府债券的比例合</w:t>
      </w:r>
      <w:r>
        <w:rPr>
          <w:rFonts w:ascii="宋体" w:hAnsi="宋体"/>
          <w:sz w:val="24"/>
        </w:rPr>
        <w:lastRenderedPageBreak/>
        <w:t>计不低于基金资产净值的5%，其中现金不包括结算备付金、存出保证金、应收申购款等。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 股合计计算），不超过该证券的10%；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w:t>
      </w:r>
      <w:r>
        <w:rPr>
          <w:rFonts w:ascii="宋体" w:hAnsi="宋体"/>
          <w:sz w:val="24"/>
        </w:rPr>
        <w:lastRenderedPageBreak/>
        <w:t>因素致使基金不符合该比例限制的，基金管理人不得主动新增流动性受限资产的投资；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（14）本基金管理人管理的、且由本基金托管人托管的全部基金投资于同一原始权益人的各类资产支持证券，不得超过其各类资产支持证券合计规模的10%；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权证、资产支持证券、买入返售金融资产（不含质押式回购）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4）本基金所持有的股票市值和买入、卖出股指期货合约价值，合计（轧差计算）应当符合基金合同关于股票投资比例的有关约定；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w:t>
      </w:r>
      <w:r>
        <w:rPr>
          <w:rFonts w:ascii="宋体" w:hAnsi="宋体"/>
          <w:sz w:val="24"/>
        </w:rPr>
        <w:lastRenderedPageBreak/>
        <w:t>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7、基金托管人根据有关法律法规的规定及基金合同的约定，对基金投资流通受限证券进行监督。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w:t>
      </w:r>
      <w:r>
        <w:rPr>
          <w:rFonts w:ascii="宋体" w:hAnsi="宋体"/>
          <w:sz w:val="24"/>
        </w:rPr>
        <w:lastRenderedPageBreak/>
        <w:t>金管理人承担。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w:t>
      </w:r>
      <w:r>
        <w:rPr>
          <w:rFonts w:ascii="宋体" w:hAnsi="宋体"/>
          <w:sz w:val="24"/>
        </w:rPr>
        <w:lastRenderedPageBreak/>
        <w:t>和各类基金份额净值、根据基金管理人指令办理清算交收、相关信息披露和监督基金投资运作等行为。</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w:t>
      </w:r>
      <w:r>
        <w:rPr>
          <w:rFonts w:ascii="宋体" w:hAnsi="宋体"/>
          <w:sz w:val="24"/>
        </w:rPr>
        <w:lastRenderedPageBreak/>
        <w:t>基金托管人对此不承担任何责任。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w:t>
      </w:r>
      <w:r>
        <w:rPr>
          <w:rFonts w:ascii="宋体" w:hAnsi="宋体"/>
          <w:sz w:val="24"/>
        </w:rPr>
        <w:lastRenderedPageBreak/>
        <w:t>管人和基金管理人不得出借或未经对方同意擅自转让基金的任何证券账户，亦不得使用基金的任何账户进行本基金业务以外的活动。</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w:t>
      </w:r>
      <w:r>
        <w:rPr>
          <w:rFonts w:ascii="宋体" w:hAnsi="宋体"/>
          <w:sz w:val="24"/>
        </w:rPr>
        <w:lastRenderedPageBreak/>
        <w:t>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国家另有规定的，从其规定。</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w:t>
      </w:r>
      <w:r>
        <w:rPr>
          <w:rFonts w:ascii="宋体" w:hAnsi="宋体"/>
          <w:sz w:val="24"/>
        </w:rPr>
        <w:lastRenderedPageBreak/>
        <w:t>途，并应遵守保密义务。若基金管理人或基金托管人由于自身原因无法妥善保管基金份额持有人名册，应按有关法规规定各自承担相应的责任。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6" w:name="_Toc231975027"/>
      <w:r>
        <w:rPr>
          <w:rFonts w:ascii="Times New Roman" w:hAnsi="Times New Roman"/>
          <w:sz w:val="30"/>
        </w:rPr>
        <w:lastRenderedPageBreak/>
        <w:t>二十三、对基金份额持有人的服务</w:t>
      </w:r>
      <w:bookmarkEnd w:id="26"/>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A类基金份额和C类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7" w:name="_Toc231975028"/>
      <w:r>
        <w:rPr>
          <w:rFonts w:ascii="Times New Roman" w:hAnsi="Times New Roman"/>
          <w:sz w:val="30"/>
        </w:rPr>
        <w:lastRenderedPageBreak/>
        <w:t>二十四、其他应披露事项</w:t>
      </w:r>
      <w:bookmarkEnd w:id="27"/>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交银施罗德基金管理有限公司关于旗下部分基金于</w:t>
            </w:r>
            <w:r>
              <w:rPr>
                <w:rFonts w:ascii="Times New Roman" w:hAnsi="Times New Roman"/>
                <w:color w:val="000000"/>
                <w:kern w:val="0"/>
                <w:sz w:val="25"/>
                <w:szCs w:val="24"/>
              </w:rPr>
              <w:t>2026</w:t>
            </w:r>
            <w:r>
              <w:rPr>
                <w:rFonts w:ascii="Times New Roman" w:hAnsi="Times New Roman"/>
                <w:color w:val="000000"/>
                <w:kern w:val="0"/>
                <w:sz w:val="25"/>
                <w:szCs w:val="24"/>
              </w:rPr>
              <w:t>年非港股通交易日暂停基金交易业务的提示性公告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2026-02-14</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交银施罗德基金管理有限公司关于旗下部分基金非港股通交易日暂停申购、赎回等业务安排的公告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5857D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交银施罗德核心资产混合型证券投资基金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857DE" w:rsidRDefault="00F0560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8" w:name="_Toc231975029"/>
      <w:r>
        <w:rPr>
          <w:rFonts w:ascii="Times New Roman" w:hAnsi="Times New Roman"/>
          <w:sz w:val="30"/>
        </w:rPr>
        <w:lastRenderedPageBreak/>
        <w:t>二十五、招募说明书的存放及查阅方式</w:t>
      </w:r>
      <w:bookmarkEnd w:id="28"/>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0560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857DE" w:rsidRDefault="00F0560B">
      <w:pPr>
        <w:pStyle w:val="1"/>
        <w:snapToGrid w:val="0"/>
        <w:spacing w:beforeLines="0" w:before="240" w:after="240"/>
        <w:rPr>
          <w:rFonts w:ascii="宋体" w:hAnsi="宋体"/>
          <w:szCs w:val="30"/>
        </w:rPr>
      </w:pPr>
      <w:bookmarkStart w:id="29" w:name="_Toc231975030"/>
      <w:r>
        <w:rPr>
          <w:rFonts w:ascii="Times New Roman" w:hAnsi="Times New Roman"/>
          <w:sz w:val="30"/>
        </w:rPr>
        <w:lastRenderedPageBreak/>
        <w:t>二十六、备查文件</w:t>
      </w:r>
      <w:bookmarkEnd w:id="29"/>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（一）中国证监会准予交银施罗德核心资产混合型证券投资基金募集注册的文件</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（二）《交银施罗德核心资产混合型证券投资基金基金合同》</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（三）《交银施罗德核心资产混合型证券投资基金托管协议》</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857DE" w:rsidRDefault="00F0560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（六）关于申请募集注册交银施罗德核心资产混合型证券投资基金的法律意见书</w:t>
      </w:r>
    </w:p>
    <w:sectPr w:rsidR="005857DE">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90D" w:rsidRDefault="00F0560B">
      <w:r>
        <w:separator/>
      </w:r>
    </w:p>
  </w:endnote>
  <w:endnote w:type="continuationSeparator" w:id="0">
    <w:p w:rsidR="0083190D" w:rsidRDefault="00F05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5857D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65276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857DE" w:rsidRDefault="00F0560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5276D">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5857D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65276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857DE" w:rsidRDefault="00F0560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5276D">
                  <w:rPr>
                    <w:rFonts w:ascii="Times New Roman" w:hAnsi="Times New Roman"/>
                    <w:noProof/>
                    <w:kern w:val="0"/>
                    <w:sz w:val="18"/>
                    <w:szCs w:val="18"/>
                  </w:rPr>
                  <w:t>147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90D" w:rsidRDefault="00F0560B">
      <w:r>
        <w:separator/>
      </w:r>
    </w:p>
  </w:footnote>
  <w:footnote w:type="continuationSeparator" w:id="0">
    <w:p w:rsidR="0083190D" w:rsidRDefault="00F05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5857D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F0560B">
    <w:pPr>
      <w:pStyle w:val="a3"/>
      <w:jc w:val="right"/>
      <w:rPr>
        <w:rFonts w:ascii="宋体" w:hAnsi="宋体"/>
      </w:rPr>
    </w:pPr>
    <w:r>
      <w:rPr>
        <w:rFonts w:ascii="宋体" w:hAnsi="宋体" w:hint="eastAsia"/>
      </w:rPr>
      <w:t>交银施罗德核心资产混合型证券投资基金招募说明书更新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5857DE">
    <w:pPr>
      <w:pStyle w:val="10"/>
      <w:jc w:val="right"/>
    </w:pPr>
  </w:p>
  <w:p w:rsidR="005857DE" w:rsidRDefault="005857DE">
    <w:pPr>
      <w:pStyle w:val="10"/>
      <w:jc w:val="right"/>
    </w:pPr>
  </w:p>
  <w:p w:rsidR="005857DE" w:rsidRDefault="005857DE">
    <w:pPr>
      <w:pStyle w:val="a3"/>
      <w:jc w:val="right"/>
    </w:pPr>
  </w:p>
  <w:p w:rsidR="005857DE" w:rsidRDefault="00F0560B">
    <w:pPr>
      <w:pStyle w:val="a3"/>
      <w:jc w:val="right"/>
      <w:rPr>
        <w:rFonts w:ascii="宋体" w:hAnsi="宋体"/>
      </w:rPr>
    </w:pPr>
    <w:r>
      <w:rPr>
        <w:rFonts w:ascii="宋体" w:hAnsi="宋体" w:hint="eastAsia"/>
      </w:rPr>
      <w:t>交银施罗德核心资产混合型证券投资基金招募说明书更新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7DE" w:rsidRDefault="005857DE">
    <w:pPr>
      <w:pStyle w:val="a3"/>
      <w:jc w:val="right"/>
    </w:pPr>
  </w:p>
  <w:p w:rsidR="005857DE" w:rsidRDefault="005857DE">
    <w:pPr>
      <w:pStyle w:val="a3"/>
      <w:jc w:val="right"/>
    </w:pPr>
  </w:p>
  <w:p w:rsidR="005857DE" w:rsidRDefault="005857DE">
    <w:pPr>
      <w:pStyle w:val="a3"/>
      <w:jc w:val="right"/>
    </w:pPr>
  </w:p>
  <w:p w:rsidR="005857DE" w:rsidRDefault="00F0560B">
    <w:pPr>
      <w:pStyle w:val="a3"/>
      <w:jc w:val="right"/>
      <w:rPr>
        <w:rFonts w:ascii="宋体" w:hAnsi="宋体"/>
      </w:rPr>
    </w:pPr>
    <w:r>
      <w:rPr>
        <w:rFonts w:ascii="宋体" w:hAnsi="宋体" w:hint="eastAsia"/>
      </w:rPr>
      <w:t>交银施罗德核心资产混合型证券投资基金招募说明书更新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57DE"/>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276D"/>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190D"/>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60B"/>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86FAC040-17DA-4254-BA76-A263DB67C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148</Pages>
  <Words>15679</Words>
  <Characters>89374</Characters>
  <Application>Microsoft Office Word</Application>
  <DocSecurity>0</DocSecurity>
  <Lines>744</Lines>
  <Paragraphs>209</Paragraphs>
  <ScaleCrop>false</ScaleCrop>
  <Company>Microsoft</Company>
  <LinksUpToDate>false</LinksUpToDate>
  <CharactersWithSpaces>104844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2026-06-10T01:09:00Z</dcterms:created>
  <dcterms:modified xsi:type="dcterms:W3CDTF">2026-06-10T01:09:00Z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