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交银施罗德丰润收益债券型证券投资基金（C类份额）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交银丰润收益债券C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519745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2014-12-15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2025-03-15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资产净值低于1亿元的，基金管理人可向中国证监会报告并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在严格控制风险的基础上,力求获得高于业绩基准的投资收益。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基金的投资组合比例为投资于债券资产的比例不低于基金资产的80%，但在封闭期结束前三个月和转开放后三个月内，基金投资不受上述债券资产投资比例限制。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详见《交银施罗德丰润收益债券型证券投资基金招募说明书》“基金的投资”。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2、本基金自2016年12月16日起转为开放式运作，本基金的业绩比较基准由“两年期银行定期存款税后收益率+1.25%”变更为“中债综合全价指数”。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交易证券、基金等产生的费用和税负，按实际发生额从基金资产扣除。上表中披露的年费用金额为基金整体承担费用，非单个份额类别费用，且年金额为预估值，最终实际金额以基金定期报告披露为准。2、此处披露的销售服务费为最新合同约定费率，不含费率优惠。下文中计算基金运作综合费率时使用的是基金现行费率，具体请参见公司官网销售服务费优惠活动的公告。</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两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（4）基金合同提前终止风险。基金资产净值连续二十个工作日低于1亿元时，基金管理人可向中国证监会报告并提前终止基金合同，不需召开基金份额持有人大会。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●《交银施罗德丰润收益债券型证券投资基金基金合同》、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《交银施罗德丰润收益债券型证券投资基金托管协议》、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《交银施罗德丰润收益债券型证券投资基金招募说明书》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F5EB2"/>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38A4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638</Words>
  <Characters>3641</Characters>
  <Lines>30</Lines>
  <Paragraphs>8</Paragraphs>
  <TotalTime>0</TotalTime>
  <ScaleCrop>false</ScaleCrop>
  <LinksUpToDate>false</LinksUpToDate>
  <CharactersWithSpaces>4271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2026-05-21T06:10:00Z</dcterms:created>
  <dc:creator>Cc</dc:creator>
  <cp:lastModifiedBy>haotingting</cp:lastModifiedBy>
  <dcterms:modified xsi:type="dcterms:W3CDTF">2026-05-21T06:12:01Z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35B6C9C0E4494DA184D6E6E38683A930</vt:lpwstr>
  </property>
</Properties>
</file>