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B761F">
      <w:pPr>
        <w:rPr>
          <w:sz w:val="32"/>
        </w:rPr>
      </w:pPr>
    </w:p>
    <w:p w:rsidR="00C92FC0" w:rsidRPr="00EB07BC" w:rsidRDefault="008B761F">
      <w:pPr>
        <w:rPr>
          <w:sz w:val="32"/>
        </w:rPr>
      </w:pPr>
    </w:p>
    <w:p w:rsidR="00C92FC0" w:rsidRPr="00EB07BC" w:rsidRDefault="008B761F">
      <w:pPr>
        <w:rPr>
          <w:sz w:val="32"/>
        </w:rPr>
      </w:pPr>
    </w:p>
    <w:p w:rsidR="00613206" w:rsidRDefault="0061320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13206" w:rsidRDefault="0061320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13206" w:rsidRDefault="0061320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13206" w:rsidRDefault="00141FE1">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交银施罗德趋势优先混合型证券投资基金</w:t>
      </w:r>
    </w:p>
    <w:p w:rsidR="00613206" w:rsidRDefault="00141FE1">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13206" w:rsidRDefault="00613206">
      <w:pPr>
        <w:snapToGrid w:val="0"/>
        <w:spacing w:line="360" w:lineRule="auto"/>
        <w:jc w:val="center"/>
        <w:rPr>
          <w:rFonts w:ascii="宋体" w:hAnsi="宋体"/>
          <w:b/>
          <w:sz w:val="30"/>
          <w:szCs w:val="30"/>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141FE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13206" w:rsidRDefault="00141FE1">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基金托管人：中国工商银行股份有限公司</w:t>
      </w: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61320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13206" w:rsidRDefault="00141FE1">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613206" w:rsidRDefault="00613206">
      <w:pPr>
        <w:autoSpaceDE w:val="0"/>
        <w:autoSpaceDN w:val="0"/>
        <w:adjustRightInd w:val="0"/>
        <w:snapToGrid w:val="0"/>
        <w:spacing w:line="360" w:lineRule="auto"/>
        <w:ind w:left="1347" w:rightChars="6" w:right="13"/>
        <w:rPr>
          <w:rFonts w:ascii="宋体" w:hAnsi="宋体"/>
          <w:kern w:val="0"/>
          <w:sz w:val="32"/>
          <w:szCs w:val="32"/>
        </w:rPr>
        <w:sectPr w:rsidR="0061320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13206" w:rsidRDefault="00141FE1">
      <w:pPr>
        <w:pStyle w:val="1"/>
        <w:snapToGrid w:val="0"/>
        <w:spacing w:beforeLines="0" w:before="240" w:after="240"/>
        <w:rPr>
          <w:rFonts w:ascii="宋体" w:hAnsi="宋体"/>
          <w:kern w:val="0"/>
        </w:rPr>
      </w:pPr>
      <w:bookmarkStart w:id="0" w:name="_Toc324920538"/>
      <w:bookmarkStart w:id="1" w:name="_Toc496884613"/>
      <w:bookmarkStart w:id="2" w:name="_Toc231196998"/>
      <w:r>
        <w:rPr>
          <w:rFonts w:ascii="Times New Roman" w:hAnsi="Times New Roman"/>
          <w:kern w:val="0"/>
        </w:rPr>
        <w:lastRenderedPageBreak/>
        <w:t>重要提示</w:t>
      </w:r>
      <w:bookmarkEnd w:id="0"/>
      <w:bookmarkEnd w:id="1"/>
      <w:bookmarkEnd w:id="2"/>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交银施罗德趋势优先混合型证券投资基金由交银施罗德趋势优先股票证券投资基金变更而来，交银施罗德趋势优先股票证券投资基金经</w:t>
      </w:r>
      <w:r>
        <w:rPr>
          <w:rFonts w:ascii="Times New Roman" w:hAnsi="Times New Roman"/>
          <w:kern w:val="0"/>
          <w:sz w:val="24"/>
        </w:rPr>
        <w:t>2010</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日中国证券监督管理委员会证监许可【</w:t>
      </w:r>
      <w:r>
        <w:rPr>
          <w:rFonts w:ascii="Times New Roman" w:hAnsi="Times New Roman"/>
          <w:kern w:val="0"/>
          <w:sz w:val="24"/>
        </w:rPr>
        <w:t>2010</w:t>
      </w:r>
      <w:r>
        <w:rPr>
          <w:rFonts w:ascii="Times New Roman" w:hAnsi="Times New Roman"/>
          <w:kern w:val="0"/>
          <w:sz w:val="24"/>
        </w:rPr>
        <w:t>】</w:t>
      </w:r>
      <w:r>
        <w:rPr>
          <w:rFonts w:ascii="Times New Roman" w:hAnsi="Times New Roman"/>
          <w:kern w:val="0"/>
          <w:sz w:val="24"/>
        </w:rPr>
        <w:t>1477</w:t>
      </w:r>
      <w:r>
        <w:rPr>
          <w:rFonts w:ascii="Times New Roman" w:hAnsi="Times New Roman"/>
          <w:kern w:val="0"/>
          <w:sz w:val="24"/>
        </w:rPr>
        <w:t>号文核准募集。其基金《基金合同》于</w:t>
      </w:r>
      <w:r>
        <w:rPr>
          <w:rFonts w:ascii="Times New Roman" w:hAnsi="Times New Roman"/>
          <w:kern w:val="0"/>
          <w:sz w:val="24"/>
        </w:rPr>
        <w:t>2010</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基金管理人保证招募说明书的内容真实、准确、完整。本招募说明书经中国证监会核准，但中国证监会对交银施罗德趋势优先股票证券投资基金募集的核准，并不表明其对本基金的价值和收益作出实质性判断或保证，也不表明投资于本基金没有风险。</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本基金投资债券引发的信用风险，本基金投资科创板股票的特定风险，以及本基金投资策略所特有的风险等等。</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者在投资本基金前应认真阅读本基金的《招募说明书》和《基金合同》、基金产品资料概要。基金的过往业绩并不代表其未来表现。基金管理人管理的其他基金的业绩并不构成对本基金业绩表现的保证。</w:t>
      </w:r>
    </w:p>
    <w:p w:rsidR="00613206" w:rsidRDefault="00141FE1">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613206" w:rsidRDefault="00613206">
      <w:pPr>
        <w:autoSpaceDE w:val="0"/>
        <w:autoSpaceDN w:val="0"/>
        <w:adjustRightInd w:val="0"/>
        <w:snapToGrid w:val="0"/>
        <w:spacing w:before="51" w:line="360" w:lineRule="auto"/>
        <w:ind w:left="120" w:rightChars="6" w:right="13" w:firstLine="480"/>
        <w:rPr>
          <w:rFonts w:ascii="宋体" w:hAnsi="宋体"/>
          <w:kern w:val="0"/>
          <w:szCs w:val="24"/>
        </w:rPr>
        <w:sectPr w:rsidR="00613206">
          <w:headerReference w:type="default" r:id="rId14"/>
          <w:pgSz w:w="11920" w:h="16840"/>
          <w:pgMar w:top="1440" w:right="1680" w:bottom="280" w:left="1680" w:header="0" w:footer="1073" w:gutter="0"/>
          <w:pgNumType w:start="1"/>
          <w:cols w:space="720"/>
        </w:sectPr>
      </w:pPr>
    </w:p>
    <w:p w:rsidR="008B761F" w:rsidRPr="008B761F" w:rsidRDefault="00141FE1" w:rsidP="008B761F">
      <w:pPr>
        <w:pStyle w:val="ad"/>
        <w:snapToGrid w:val="0"/>
        <w:spacing w:after="240" w:line="360" w:lineRule="auto"/>
        <w:jc w:val="center"/>
        <w:rPr>
          <w:rFonts w:ascii="宋体" w:hAnsi="宋体"/>
          <w:noProof/>
          <w:sz w:val="24"/>
        </w:rPr>
      </w:pPr>
      <w:r w:rsidRPr="008B761F">
        <w:rPr>
          <w:rFonts w:ascii="宋体" w:hAnsi="宋体"/>
          <w:color w:val="000000"/>
          <w:position w:val="-4"/>
          <w:sz w:val="24"/>
          <w:szCs w:val="30"/>
        </w:rPr>
        <w:lastRenderedPageBreak/>
        <w:t>目</w:t>
      </w:r>
      <w:r w:rsidRPr="008B761F">
        <w:rPr>
          <w:rFonts w:ascii="宋体" w:hAnsi="宋体"/>
          <w:color w:val="000000"/>
          <w:position w:val="-4"/>
          <w:sz w:val="24"/>
          <w:szCs w:val="30"/>
        </w:rPr>
        <w:tab/>
        <w:t>录</w:t>
      </w:r>
      <w:r w:rsidR="008B761F" w:rsidRPr="008B761F">
        <w:rPr>
          <w:rFonts w:ascii="宋体" w:hAnsi="宋体"/>
          <w:color w:val="000000"/>
          <w:position w:val="-4"/>
          <w:sz w:val="24"/>
          <w:szCs w:val="30"/>
        </w:rPr>
        <w:fldChar w:fldCharType="begin"/>
      </w:r>
      <w:r w:rsidR="008B761F" w:rsidRPr="008B761F">
        <w:rPr>
          <w:rFonts w:ascii="宋体" w:hAnsi="宋体"/>
          <w:color w:val="000000"/>
          <w:position w:val="-4"/>
          <w:sz w:val="24"/>
          <w:szCs w:val="30"/>
        </w:rPr>
        <w:instrText xml:space="preserve"> TOC \o "1-3" \f - \h \t "-1" </w:instrText>
      </w:r>
      <w:r w:rsidR="008B761F" w:rsidRPr="008B761F">
        <w:rPr>
          <w:rFonts w:ascii="宋体" w:hAnsi="宋体"/>
          <w:color w:val="000000"/>
          <w:position w:val="-4"/>
          <w:sz w:val="24"/>
          <w:szCs w:val="30"/>
        </w:rPr>
        <w:fldChar w:fldCharType="separate"/>
      </w:r>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6998" w:history="1">
        <w:r w:rsidRPr="008B761F">
          <w:rPr>
            <w:rStyle w:val="aa"/>
            <w:rFonts w:ascii="宋体" w:hAnsi="宋体" w:hint="eastAsia"/>
            <w:noProof/>
            <w:kern w:val="0"/>
            <w:sz w:val="24"/>
          </w:rPr>
          <w:t>重要提示</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_Toc231196998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6999" w:history="1">
        <w:r w:rsidRPr="008B761F">
          <w:rPr>
            <w:rStyle w:val="aa"/>
            <w:rFonts w:ascii="宋体" w:hAnsi="宋体" w:hint="eastAsia"/>
            <w:noProof/>
            <w:sz w:val="24"/>
          </w:rPr>
          <w:t>一、绪言</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_Toc231196999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4</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0" w:history="1">
        <w:r w:rsidRPr="008B761F">
          <w:rPr>
            <w:rStyle w:val="aa"/>
            <w:rFonts w:ascii="宋体" w:hAnsi="宋体" w:hint="eastAsia"/>
            <w:noProof/>
            <w:sz w:val="24"/>
          </w:rPr>
          <w:t>二、释义</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_Toc231197000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5</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1" w:history="1">
        <w:r w:rsidRPr="008B761F">
          <w:rPr>
            <w:rStyle w:val="aa"/>
            <w:rFonts w:ascii="宋体" w:hAnsi="宋体" w:hint="eastAsia"/>
            <w:noProof/>
            <w:sz w:val="24"/>
          </w:rPr>
          <w:t>三、基金管理人</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_Toc231197001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10</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2" w:history="1">
        <w:r w:rsidRPr="008B761F">
          <w:rPr>
            <w:rStyle w:val="aa"/>
            <w:rFonts w:ascii="宋体" w:hAnsi="宋体" w:hint="eastAsia"/>
            <w:noProof/>
            <w:sz w:val="24"/>
          </w:rPr>
          <w:t>四、基金托管人</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_Toc231197002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17</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3" w:history="1">
        <w:r w:rsidRPr="008B761F">
          <w:rPr>
            <w:rStyle w:val="aa"/>
            <w:rFonts w:ascii="宋体" w:hAnsi="宋体" w:hint="eastAsia"/>
            <w:noProof/>
            <w:sz w:val="24"/>
          </w:rPr>
          <w:t>五、相关服务机构</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_Toc231197003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22</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4" w:history="1">
        <w:r w:rsidRPr="008B761F">
          <w:rPr>
            <w:rStyle w:val="aa"/>
            <w:rFonts w:ascii="宋体" w:hAnsi="宋体" w:hint="eastAsia"/>
            <w:noProof/>
            <w:sz w:val="24"/>
          </w:rPr>
          <w:t>六、基金的历史沿革</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_Toc231197004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64</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5" w:history="1">
        <w:r w:rsidRPr="008B761F">
          <w:rPr>
            <w:rStyle w:val="aa"/>
            <w:rFonts w:ascii="宋体" w:hAnsi="宋体" w:hint="eastAsia"/>
            <w:noProof/>
            <w:sz w:val="24"/>
          </w:rPr>
          <w:t>七、基金的存续</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_Toc231197005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65</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6" w:history="1">
        <w:r w:rsidRPr="008B761F">
          <w:rPr>
            <w:rStyle w:val="aa"/>
            <w:rFonts w:ascii="宋体" w:hAnsi="宋体" w:hint="eastAsia"/>
            <w:noProof/>
            <w:sz w:val="24"/>
          </w:rPr>
          <w:t>八、基金份额的申购与赎回</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_Toc231197006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66</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7" w:history="1">
        <w:r w:rsidRPr="008B761F">
          <w:rPr>
            <w:rStyle w:val="aa"/>
            <w:rFonts w:ascii="宋体" w:hAnsi="宋体" w:hint="eastAsia"/>
            <w:noProof/>
            <w:sz w:val="24"/>
          </w:rPr>
          <w:t>九、基金的转换</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_Toc231197007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82</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8" w:history="1">
        <w:r w:rsidRPr="008B761F">
          <w:rPr>
            <w:rStyle w:val="aa"/>
            <w:rFonts w:ascii="宋体" w:hAnsi="宋体" w:hint="eastAsia"/>
            <w:noProof/>
            <w:sz w:val="24"/>
          </w:rPr>
          <w:t>十、基金的投资</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_Toc231197008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89</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09" w:history="1">
        <w:r w:rsidRPr="008B761F">
          <w:rPr>
            <w:rStyle w:val="aa"/>
            <w:rFonts w:ascii="宋体" w:hAnsi="宋体" w:hint="eastAsia"/>
            <w:noProof/>
            <w:sz w:val="24"/>
          </w:rPr>
          <w:t>十一、基金的业绩</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_Toc231197009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103</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0" w:history="1">
        <w:r w:rsidRPr="008B761F">
          <w:rPr>
            <w:rStyle w:val="aa"/>
            <w:rFonts w:ascii="宋体" w:hAnsi="宋体" w:hint="eastAsia"/>
            <w:noProof/>
            <w:sz w:val="24"/>
          </w:rPr>
          <w:t>十二、基金的财产</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_Toc231197010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106</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1" w:history="1">
        <w:r w:rsidRPr="008B761F">
          <w:rPr>
            <w:rStyle w:val="aa"/>
            <w:rFonts w:ascii="宋体" w:hAnsi="宋体" w:hint="eastAsia"/>
            <w:noProof/>
            <w:sz w:val="24"/>
          </w:rPr>
          <w:t>十三、基金资产的估值</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_Toc231197011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108</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2" w:history="1">
        <w:r w:rsidRPr="008B761F">
          <w:rPr>
            <w:rStyle w:val="aa"/>
            <w:rFonts w:ascii="宋体" w:hAnsi="宋体" w:hint="eastAsia"/>
            <w:noProof/>
            <w:sz w:val="24"/>
          </w:rPr>
          <w:t>十四、基金的收益与分配</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_Toc231197012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113</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3" w:history="1">
        <w:r w:rsidRPr="008B761F">
          <w:rPr>
            <w:rStyle w:val="aa"/>
            <w:rFonts w:ascii="宋体" w:hAnsi="宋体" w:hint="eastAsia"/>
            <w:noProof/>
            <w:sz w:val="24"/>
          </w:rPr>
          <w:t>十五、基金的费用与税收</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_Toc231197013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115</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4" w:history="1">
        <w:r w:rsidRPr="008B761F">
          <w:rPr>
            <w:rStyle w:val="aa"/>
            <w:rFonts w:ascii="宋体" w:hAnsi="宋体" w:hint="eastAsia"/>
            <w:noProof/>
            <w:sz w:val="24"/>
          </w:rPr>
          <w:t>十六、基金的会计与审计</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_Toc231197014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118</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5" w:history="1">
        <w:r w:rsidRPr="008B761F">
          <w:rPr>
            <w:rStyle w:val="aa"/>
            <w:rFonts w:ascii="宋体" w:hAnsi="宋体" w:hint="eastAsia"/>
            <w:noProof/>
            <w:sz w:val="24"/>
          </w:rPr>
          <w:t>十七、基金的信息披露</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_Toc231197015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119</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6" w:history="1">
        <w:r w:rsidRPr="008B761F">
          <w:rPr>
            <w:rStyle w:val="aa"/>
            <w:rFonts w:ascii="宋体" w:hAnsi="宋体" w:hint="eastAsia"/>
            <w:noProof/>
            <w:sz w:val="24"/>
          </w:rPr>
          <w:t>十八、侧袋机制</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_Toc231197016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125</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7" w:history="1">
        <w:r w:rsidRPr="008B761F">
          <w:rPr>
            <w:rStyle w:val="aa"/>
            <w:rFonts w:ascii="宋体" w:hAnsi="宋体" w:hint="eastAsia"/>
            <w:noProof/>
            <w:sz w:val="24"/>
          </w:rPr>
          <w:t>十九、风险揭示</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_Toc231197017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128</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8" w:history="1">
        <w:r w:rsidRPr="008B761F">
          <w:rPr>
            <w:rStyle w:val="aa"/>
            <w:rFonts w:ascii="宋体" w:hAnsi="宋体" w:hint="eastAsia"/>
            <w:noProof/>
            <w:sz w:val="24"/>
          </w:rPr>
          <w:t>二十、基金合同的终止与基金财产的清算</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_Toc231197018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135</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19" w:history="1">
        <w:r w:rsidRPr="008B761F">
          <w:rPr>
            <w:rStyle w:val="aa"/>
            <w:rFonts w:ascii="宋体" w:hAnsi="宋体" w:hint="eastAsia"/>
            <w:noProof/>
            <w:sz w:val="24"/>
          </w:rPr>
          <w:t>二十一、基金合同的内容摘要</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_Toc231197019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137</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20" w:history="1">
        <w:r w:rsidRPr="008B761F">
          <w:rPr>
            <w:rStyle w:val="aa"/>
            <w:rFonts w:ascii="宋体" w:hAnsi="宋体" w:hint="eastAsia"/>
            <w:noProof/>
            <w:sz w:val="24"/>
          </w:rPr>
          <w:t>二十二、托管协议的内容摘要</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_Toc231197020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153</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21" w:history="1">
        <w:r w:rsidRPr="008B761F">
          <w:rPr>
            <w:rStyle w:val="aa"/>
            <w:rFonts w:ascii="宋体" w:hAnsi="宋体" w:hint="eastAsia"/>
            <w:noProof/>
            <w:sz w:val="24"/>
          </w:rPr>
          <w:t>二十三、对基金份额持有人的服务</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_Toc231197021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170</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22" w:history="1">
        <w:r w:rsidRPr="008B761F">
          <w:rPr>
            <w:rStyle w:val="aa"/>
            <w:rFonts w:ascii="宋体" w:hAnsi="宋体" w:hint="eastAsia"/>
            <w:noProof/>
            <w:sz w:val="24"/>
          </w:rPr>
          <w:t>二十四、其他应披露事项</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_Toc231197022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172</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23" w:history="1">
        <w:r w:rsidRPr="008B761F">
          <w:rPr>
            <w:rStyle w:val="aa"/>
            <w:rFonts w:ascii="宋体" w:hAnsi="宋体" w:hint="eastAsia"/>
            <w:noProof/>
            <w:sz w:val="24"/>
          </w:rPr>
          <w:t>二十五、招募说明书的存放及查阅方式</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_Toc231197023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174</w:t>
        </w:r>
        <w:r w:rsidRPr="008B761F">
          <w:rPr>
            <w:rFonts w:ascii="宋体" w:hAnsi="宋体"/>
            <w:noProof/>
            <w:sz w:val="24"/>
          </w:rPr>
          <w:fldChar w:fldCharType="end"/>
        </w:r>
      </w:hyperlink>
    </w:p>
    <w:p w:rsidR="008B761F" w:rsidRPr="008B761F" w:rsidRDefault="008B761F" w:rsidP="008B761F">
      <w:pPr>
        <w:pStyle w:val="10"/>
        <w:tabs>
          <w:tab w:val="right" w:leader="dot" w:pos="8550"/>
        </w:tabs>
        <w:spacing w:line="360" w:lineRule="auto"/>
        <w:rPr>
          <w:rFonts w:ascii="宋体" w:hAnsi="宋体" w:cstheme="minorBidi"/>
          <w:noProof/>
          <w:sz w:val="24"/>
        </w:rPr>
      </w:pPr>
      <w:hyperlink w:anchor="_Toc231197024" w:history="1">
        <w:r w:rsidRPr="008B761F">
          <w:rPr>
            <w:rStyle w:val="aa"/>
            <w:rFonts w:ascii="宋体" w:hAnsi="宋体" w:hint="eastAsia"/>
            <w:noProof/>
            <w:sz w:val="24"/>
          </w:rPr>
          <w:t>二十六、备查文件</w:t>
        </w:r>
        <w:r w:rsidRPr="008B761F">
          <w:rPr>
            <w:rFonts w:ascii="宋体" w:hAnsi="宋体"/>
            <w:noProof/>
            <w:sz w:val="24"/>
          </w:rPr>
          <w:tab/>
        </w:r>
        <w:r w:rsidRPr="008B761F">
          <w:rPr>
            <w:rFonts w:ascii="宋体" w:hAnsi="宋体"/>
            <w:noProof/>
            <w:sz w:val="24"/>
          </w:rPr>
          <w:fldChar w:fldCharType="begin"/>
        </w:r>
        <w:r w:rsidRPr="008B761F">
          <w:rPr>
            <w:rFonts w:ascii="宋体" w:hAnsi="宋体"/>
            <w:noProof/>
            <w:sz w:val="24"/>
          </w:rPr>
          <w:instrText xml:space="preserve"> PAGEREF _Toc231197024 \h </w:instrText>
        </w:r>
        <w:r w:rsidRPr="008B761F">
          <w:rPr>
            <w:rFonts w:ascii="宋体" w:hAnsi="宋体"/>
            <w:noProof/>
            <w:sz w:val="24"/>
          </w:rPr>
        </w:r>
        <w:r w:rsidRPr="008B761F">
          <w:rPr>
            <w:rFonts w:ascii="宋体" w:hAnsi="宋体"/>
            <w:noProof/>
            <w:sz w:val="24"/>
          </w:rPr>
          <w:fldChar w:fldCharType="separate"/>
        </w:r>
        <w:r w:rsidRPr="008B761F">
          <w:rPr>
            <w:rFonts w:ascii="宋体" w:hAnsi="宋体"/>
            <w:noProof/>
            <w:sz w:val="24"/>
          </w:rPr>
          <w:t>175</w:t>
        </w:r>
        <w:r w:rsidRPr="008B761F">
          <w:rPr>
            <w:rFonts w:ascii="宋体" w:hAnsi="宋体"/>
            <w:noProof/>
            <w:sz w:val="24"/>
          </w:rPr>
          <w:fldChar w:fldCharType="end"/>
        </w:r>
      </w:hyperlink>
    </w:p>
    <w:p w:rsidR="00613206" w:rsidRPr="008B761F" w:rsidRDefault="008B761F" w:rsidP="008B761F">
      <w:pPr>
        <w:pStyle w:val="ad"/>
        <w:snapToGrid w:val="0"/>
        <w:spacing w:after="240" w:line="360" w:lineRule="auto"/>
        <w:jc w:val="center"/>
        <w:rPr>
          <w:rFonts w:ascii="宋体" w:hAnsi="宋体"/>
          <w:color w:val="000000"/>
          <w:sz w:val="24"/>
        </w:rPr>
      </w:pPr>
      <w:r w:rsidRPr="008B761F">
        <w:rPr>
          <w:rFonts w:ascii="宋体" w:hAnsi="宋体"/>
          <w:color w:val="000000"/>
          <w:position w:val="-4"/>
          <w:sz w:val="24"/>
          <w:szCs w:val="30"/>
        </w:rPr>
        <w:fldChar w:fldCharType="end"/>
      </w:r>
      <w:bookmarkStart w:id="3" w:name="_GoBack"/>
      <w:bookmarkEnd w:id="3"/>
    </w:p>
    <w:p w:rsidR="00613206" w:rsidRDefault="00613206">
      <w:pPr>
        <w:autoSpaceDE w:val="0"/>
        <w:autoSpaceDN w:val="0"/>
        <w:adjustRightInd w:val="0"/>
        <w:snapToGrid w:val="0"/>
        <w:spacing w:line="360" w:lineRule="auto"/>
        <w:ind w:left="120" w:rightChars="6" w:right="13"/>
        <w:rPr>
          <w:rFonts w:ascii="宋体" w:hAnsi="宋体"/>
          <w:kern w:val="0"/>
          <w:szCs w:val="24"/>
        </w:rPr>
        <w:sectPr w:rsidR="00613206">
          <w:pgSz w:w="11920" w:h="16840"/>
          <w:pgMar w:top="1480" w:right="1680" w:bottom="280" w:left="1680" w:header="0" w:footer="1073" w:gutter="0"/>
          <w:cols w:space="720"/>
        </w:sectPr>
      </w:pPr>
    </w:p>
    <w:p w:rsidR="00613206" w:rsidRDefault="00141FE1">
      <w:pPr>
        <w:pStyle w:val="1"/>
        <w:snapToGrid w:val="0"/>
        <w:spacing w:beforeLines="0" w:before="240" w:after="240"/>
        <w:rPr>
          <w:rFonts w:ascii="宋体" w:hAnsi="宋体"/>
          <w:szCs w:val="30"/>
        </w:rPr>
      </w:pPr>
      <w:bookmarkStart w:id="4" w:name="_Toc231196999"/>
      <w:r>
        <w:rPr>
          <w:rFonts w:ascii="Times New Roman" w:hAnsi="Times New Roman"/>
          <w:sz w:val="30"/>
        </w:rPr>
        <w:lastRenderedPageBreak/>
        <w:t>一、绪言</w:t>
      </w:r>
      <w:bookmarkEnd w:id="4"/>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趋势优先混合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趋势优先混合型证券投资基金基金合同》（以下简称“《基金合同》”）编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5" w:name="_Toc231197000"/>
      <w:r>
        <w:rPr>
          <w:rFonts w:ascii="Times New Roman" w:hAnsi="Times New Roman"/>
          <w:sz w:val="30"/>
        </w:rPr>
        <w:lastRenderedPageBreak/>
        <w:t>二、释义</w:t>
      </w:r>
      <w:bookmarkEnd w:id="5"/>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中华人民共和国</w:t>
            </w:r>
            <w:r>
              <w:rPr>
                <w:rFonts w:ascii="Times New Roman" w:hAnsi="Times New Roman"/>
                <w:color w:val="000000"/>
                <w:kern w:val="0"/>
                <w:sz w:val="25"/>
                <w:szCs w:val="24"/>
              </w:rPr>
              <w:t>(</w:t>
            </w:r>
            <w:r>
              <w:rPr>
                <w:rFonts w:ascii="Times New Roman" w:hAnsi="Times New Roman"/>
                <w:color w:val="000000"/>
                <w:kern w:val="0"/>
                <w:sz w:val="25"/>
                <w:szCs w:val="24"/>
              </w:rPr>
              <w:t>仅为《基金合同》目的不包括香港特别行政区、澳门特别行政区及台湾地区</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中国现时有效并公布实施的法律、行政法规、部门规章及规范性文件</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《中华人民共和国证券投资基金法》</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《证券投资基金销售管理办法》</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《证券投资基金运作管理办法》</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指《公开募集证券投资基金信息披露管理办法》及颁布机关对其不时做出的修订</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中国法定货币人民币元</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依据《基金合同》所募集的交银施罗德趋势优先混合型证券投资基金</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《交银施罗德趋势优先混合型证券投资基金基金合同》及对本合同的任何有效的修订和补充</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本招募说明书或《招募说明书》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招募说明书》，即用于公开披露本基金的基金管理人及基金托管人、相关服务机构、基金的募集、基金合同的生效、基金份额的申购和赎回、基金的投资、基金的业绩、基金的财产、基金资产的估值、基金收益与分配、基金的费用与税收、基金的会计与审计、基金的信息披露、风险揭示、基金的终止与清算、基金合同的内容摘要、托管协议的内容摘要、对基金份额持有人的服务、其他应披露事项、招募说明书的存放及查阅方式、备查文件等涉及本基金的信息，供基金投资者选择并决定是否提出基金认购或申购申请的要约邀请文件，及其更新</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基金管理人与基金托管人签订的《交银施罗德趋势优先混合型证券投资基金托管协议》及其任何有效修订和补充</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《交银施罗德趋势优先混合型证券投资基金基金产品资料概要》及其更新</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《交银施罗德趋势优先股票证券投资基金基金份额发售公告》</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开放式基金业务规则》，是规范基金管理人所管理的开放式证券投资基金注册登记方面的业务规则，由基金管理人制订、解释与修订；投资者通过场内认购、申购、赎回等业务须遵守上海证券交易所及中国证券登记结算有限责任公司场内业务的有关规则</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中国证券监督管理委员会</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银行监管机构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中国银行业监督管理委员会或其他经国务院授权的机构</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中国工商银行股份有限公司</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根据《基金合同》及相关文件合法取得本基金基金份额的投资者</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基金销售机构宣传推介基金，发售基金份额，办理基金份额的申购、赎回、转换、转托管及定期定额投资等业务</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基金代销机构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销售办法》和中国证监会规定的其他条件，取得基金代销业务资格，并与基金管理人签订基金销售与服务代理协议，代为办理基金销售业务的代理机构，以及可通过上海证券交易所交易系统办理基金销售业务的会员单位</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具有开放式基金代销资格，经上海证券交易所和中国证券登记结算有限责任公司认可的、可通过上海证券交易所交易系统办理开放式基金的认购、申购、赎回和转托管等业务的上海证券交易所会员单位</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基金管理人及基金代销机构</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基金管理人的直销网点及基金代销机构的代销网点</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基金登记、存管、清算和交收业务，具体内容包括投资者基金账户管理、基金份额注册登记、清算及基金交易确认、发放红利、建立并保管基金份额持有人名册、办理非交易过户业务等</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交银施罗德基金管理有限公司或其委托的其他符合条件的办理基金注册登记业务的机构</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受《基金合同》约束，根据《基金合同》享有权利并承担义务的法律主体，包括基金管理人、基金托管人和基金份额持有人</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符合法律法规规定的条件可以投资开放式证券投资基金的自然人</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符合法律法规规定可以投资开放式证券投资基金的在中国合法注册登记并存续或经政府有关部门批准设立的并存续的企业法人、事业法人、社会团体和其他组织</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符合《合格境外机构投资者境内证券投资管理办法》及相关法律法规规定的可投资于中国境内合法募集的证券投资基金的中国境外的基金管理机构、保险公司、证券公司以及其他资产管理机构</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投资者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个人投资者、机构投资者、合格境外机构投资者和法律法规或中国证监会允许购买开放式证券投资基金的其他投资者的总称</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基金募集达到法律法规规定及《基金合同》约定的条件，基金管理人聘请法定机构验资并办理完毕基金备案手续，获得中国证监会书面确认之日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募集期</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自基金份额发售之日起至发售结束之日止的期间，最长不超过</w:t>
            </w:r>
            <w:r>
              <w:rPr>
                <w:rFonts w:ascii="Times New Roman" w:hAnsi="Times New Roman"/>
                <w:color w:val="000000"/>
                <w:kern w:val="0"/>
                <w:sz w:val="25"/>
                <w:szCs w:val="24"/>
              </w:rPr>
              <w:t>3</w:t>
            </w:r>
            <w:r>
              <w:rPr>
                <w:rFonts w:ascii="Times New Roman" w:hAnsi="Times New Roman"/>
                <w:color w:val="000000"/>
                <w:kern w:val="0"/>
                <w:sz w:val="25"/>
                <w:szCs w:val="24"/>
              </w:rPr>
              <w:t>个月的期限</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基金存续期</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《基金合同》生效后合法存续的不定期之期间</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公历日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公历月</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上海证券交易所和深圳证券交易所的正常交易日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销售机构办理本基金份额申购、赎回等业务的工作日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申购、赎回或办理其他基金业务的申请日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个工作日（不包含</w:t>
            </w:r>
            <w:r>
              <w:rPr>
                <w:rFonts w:ascii="Times New Roman" w:hAnsi="Times New Roman"/>
                <w:color w:val="000000"/>
                <w:kern w:val="0"/>
                <w:sz w:val="25"/>
                <w:szCs w:val="24"/>
              </w:rPr>
              <w:t>T</w:t>
            </w:r>
            <w:r>
              <w:rPr>
                <w:rFonts w:ascii="Times New Roman" w:hAnsi="Times New Roman"/>
                <w:color w:val="000000"/>
                <w:kern w:val="0"/>
                <w:sz w:val="25"/>
                <w:szCs w:val="24"/>
              </w:rPr>
              <w:t>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在本基金募集期内投资者购买本基金基金份额的行为</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在本基金募集期内，销售机构向投资者销售本基金份额的行为</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《基金合同》生效后，基金投资者根据《基金合同》和《招募说明书》及基金销售网点规定的手续，向基金管理人购买基金份额的行为。本基金的日常申购自《基金合同》生效后不超过</w:t>
            </w:r>
            <w:r>
              <w:rPr>
                <w:rFonts w:ascii="Times New Roman" w:hAnsi="Times New Roman"/>
                <w:color w:val="000000"/>
                <w:kern w:val="0"/>
                <w:sz w:val="25"/>
                <w:szCs w:val="24"/>
              </w:rPr>
              <w:t>3</w:t>
            </w:r>
            <w:r>
              <w:rPr>
                <w:rFonts w:ascii="Times New Roman" w:hAnsi="Times New Roman"/>
                <w:color w:val="000000"/>
                <w:kern w:val="0"/>
                <w:sz w:val="25"/>
                <w:szCs w:val="24"/>
              </w:rPr>
              <w:t>个月的时间开始办理</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《基金合同》生效后，基金份额持有人根据《基金合同》和《招募说明书》及基金销售网点规定的手续，向基金管理人卖出基金份额的行为。本基金的日常赎回自《基金合同》生效后不超过</w:t>
            </w:r>
            <w:r>
              <w:rPr>
                <w:rFonts w:ascii="Times New Roman" w:hAnsi="Times New Roman"/>
                <w:color w:val="000000"/>
                <w:kern w:val="0"/>
                <w:sz w:val="25"/>
                <w:szCs w:val="24"/>
              </w:rPr>
              <w:t>3</w:t>
            </w:r>
            <w:r>
              <w:rPr>
                <w:rFonts w:ascii="Times New Roman" w:hAnsi="Times New Roman"/>
                <w:color w:val="000000"/>
                <w:kern w:val="0"/>
                <w:sz w:val="25"/>
                <w:szCs w:val="24"/>
              </w:rPr>
              <w:t>个月的时间开始办理</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在单个开放日，本基金的基金份额净赎回申请（赎回申请份额总数加上基金转换中转出申请份额总数后扣除申购份额申请总数及基金转换中转入申请份额总数后的余额）超过上一日本基金总份额的</w:t>
            </w:r>
            <w:r>
              <w:rPr>
                <w:rFonts w:ascii="Times New Roman" w:hAnsi="Times New Roman"/>
                <w:color w:val="000000"/>
                <w:kern w:val="0"/>
                <w:sz w:val="25"/>
                <w:szCs w:val="24"/>
              </w:rPr>
              <w:t>10%</w:t>
            </w:r>
            <w:r>
              <w:rPr>
                <w:rFonts w:ascii="Times New Roman" w:hAnsi="Times New Roman"/>
                <w:color w:val="000000"/>
                <w:kern w:val="0"/>
                <w:sz w:val="25"/>
                <w:szCs w:val="24"/>
              </w:rPr>
              <w:t>时的情形</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不通过上海证券交易所的交易系统办理基金份额认购、申购和赎回等业务的销售机构和场所</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通过上海证券交易所的交易系统办理基金份额认购、申购和赎回等业务的销售机构和场所</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注册登记系统</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中国证券登记结算有限责任公司开放式基金登记结算系统</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证券登记结算系统</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中国证券登记结算有限责任公司上海分公司证券登记结算系统</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基金注册登记机构给投资者开立的用于记录投资者持有基金管理人管理的开放式基金份额情况的账户</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交易账户</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各销售机构为投资者开立的记录投资者通过该销售机构办理认购、申购、赎回、转换、定期定额投资及转托管等业务所引起的基金份额的变动及结余情况的账户</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系统内转托管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基金份额持有人将持有的基金份额在注册登记系统内不同销售机构（网点）之间或证券登记结算系统内不同会员单位（席位或交易单元）之间进行转登记的行为</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跨系统转托管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基金份额持有人将持有的</w:t>
            </w:r>
            <w:r>
              <w:rPr>
                <w:rFonts w:ascii="Times New Roman" w:hAnsi="Times New Roman"/>
                <w:color w:val="000000"/>
                <w:kern w:val="0"/>
                <w:sz w:val="25"/>
                <w:szCs w:val="24"/>
              </w:rPr>
              <w:t>A</w:t>
            </w:r>
            <w:r>
              <w:rPr>
                <w:rFonts w:ascii="Times New Roman" w:hAnsi="Times New Roman"/>
                <w:color w:val="000000"/>
                <w:kern w:val="0"/>
                <w:sz w:val="25"/>
                <w:szCs w:val="24"/>
              </w:rPr>
              <w:t>类基金份额在注册登记系统和证券登记结算系统间进行转登记的行为。除经基金管理人另行公告，</w:t>
            </w:r>
            <w:r>
              <w:rPr>
                <w:rFonts w:ascii="Times New Roman" w:hAnsi="Times New Roman"/>
                <w:color w:val="000000"/>
                <w:kern w:val="0"/>
                <w:sz w:val="25"/>
                <w:szCs w:val="24"/>
              </w:rPr>
              <w:t>C</w:t>
            </w:r>
            <w:r>
              <w:rPr>
                <w:rFonts w:ascii="Times New Roman" w:hAnsi="Times New Roman"/>
                <w:color w:val="000000"/>
                <w:kern w:val="0"/>
                <w:sz w:val="25"/>
                <w:szCs w:val="24"/>
              </w:rPr>
              <w:t>类基金份额不能进行跨系统转托管</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基金份额持有人在本基金的不同销售机构之间实施的变更所持基金份额销售机构的行为，包括系统内转托管及跨系统转托管</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按照《基金合同》和基金管理人届时有效公告规定的条件，向基金管理人提出申请将其所持有的基金管理人管理的某一开放式基金（转出基金）的全部或部分基金份额转换为该基金其他份额（如有）或基金管理人管理的其他开放式基金（转入基金）的基金份额的行为</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投资者通过有关销售机构提出申请，约定每期申购日、扣款金额及扣款方式，由指定的销售机构在投资者指定银行账户内自动完成扣款并于每期约定的申购日提交基金申购申请的一种投资方式</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基金投资所得红利、股息、债券利息、证券投资收益、证券持有期间的公允价值变动、银行存款利息以及其他收入</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基金所拥有的各类证券及票据价值、银行存款本息和本基金应收的申购基金款以及其他投资所形成的价值总和</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基金资产总值扣除负债后的净资产值</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计算日基金资产净值除以计算日基金份额总数</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计算评估基金资产和负债的价值，以确定基金资产净值的过程</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从基金财产中计提的，用于本基金市场推广、销售以及基金份额持有人服务的费用</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对投资人收取申购费用且不从本类别基金资产中计提销售服务费的基金份额</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在投资人申购时不收取申购费用，并从本类别基金资产中计提销售服务费的基金份额</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现金；一年以内</w:t>
            </w:r>
            <w:r>
              <w:rPr>
                <w:rFonts w:ascii="Times New Roman" w:hAnsi="Times New Roman"/>
                <w:color w:val="000000"/>
                <w:kern w:val="0"/>
                <w:sz w:val="25"/>
                <w:szCs w:val="24"/>
              </w:rPr>
              <w:t>(</w:t>
            </w:r>
            <w:r>
              <w:rPr>
                <w:rFonts w:ascii="Times New Roman" w:hAnsi="Times New Roman"/>
                <w:color w:val="000000"/>
                <w:kern w:val="0"/>
                <w:sz w:val="25"/>
                <w:szCs w:val="24"/>
              </w:rPr>
              <w:t>含一年</w:t>
            </w:r>
            <w:r>
              <w:rPr>
                <w:rFonts w:ascii="Times New Roman" w:hAnsi="Times New Roman"/>
                <w:color w:val="000000"/>
                <w:kern w:val="0"/>
                <w:sz w:val="25"/>
                <w:szCs w:val="24"/>
              </w:rPr>
              <w:t>)</w:t>
            </w:r>
            <w:r>
              <w:rPr>
                <w:rFonts w:ascii="Times New Roman" w:hAnsi="Times New Roman"/>
                <w:color w:val="000000"/>
                <w:kern w:val="0"/>
                <w:sz w:val="25"/>
                <w:szCs w:val="24"/>
              </w:rPr>
              <w:t>的银行定期存款、大额存单；剩余期限在三百九十七天以内</w:t>
            </w:r>
            <w:r>
              <w:rPr>
                <w:rFonts w:ascii="Times New Roman" w:hAnsi="Times New Roman"/>
                <w:color w:val="000000"/>
                <w:kern w:val="0"/>
                <w:sz w:val="25"/>
                <w:szCs w:val="24"/>
              </w:rPr>
              <w:t>(</w:t>
            </w:r>
            <w:r>
              <w:rPr>
                <w:rFonts w:ascii="Times New Roman" w:hAnsi="Times New Roman"/>
                <w:color w:val="000000"/>
                <w:kern w:val="0"/>
                <w:sz w:val="25"/>
                <w:szCs w:val="24"/>
              </w:rPr>
              <w:t>含三百九十七天</w:t>
            </w:r>
            <w:r>
              <w:rPr>
                <w:rFonts w:ascii="Times New Roman" w:hAnsi="Times New Roman"/>
                <w:color w:val="000000"/>
                <w:kern w:val="0"/>
                <w:sz w:val="25"/>
                <w:szCs w:val="24"/>
              </w:rPr>
              <w:t>)</w:t>
            </w:r>
            <w:r>
              <w:rPr>
                <w:rFonts w:ascii="Times New Roman" w:hAnsi="Times New Roman"/>
                <w:color w:val="000000"/>
                <w:kern w:val="0"/>
                <w:sz w:val="25"/>
                <w:szCs w:val="24"/>
              </w:rPr>
              <w:t>的债券；期限在一年以内</w:t>
            </w:r>
            <w:r>
              <w:rPr>
                <w:rFonts w:ascii="Times New Roman" w:hAnsi="Times New Roman"/>
                <w:color w:val="000000"/>
                <w:kern w:val="0"/>
                <w:sz w:val="25"/>
                <w:szCs w:val="24"/>
              </w:rPr>
              <w:t>(</w:t>
            </w:r>
            <w:r>
              <w:rPr>
                <w:rFonts w:ascii="Times New Roman" w:hAnsi="Times New Roman"/>
                <w:color w:val="000000"/>
                <w:kern w:val="0"/>
                <w:sz w:val="25"/>
                <w:szCs w:val="24"/>
              </w:rPr>
              <w:t>含一年</w:t>
            </w:r>
            <w:r>
              <w:rPr>
                <w:rFonts w:ascii="Times New Roman" w:hAnsi="Times New Roman"/>
                <w:color w:val="000000"/>
                <w:kern w:val="0"/>
                <w:sz w:val="25"/>
                <w:szCs w:val="24"/>
              </w:rPr>
              <w:t>)</w:t>
            </w:r>
            <w:r>
              <w:rPr>
                <w:rFonts w:ascii="Times New Roman" w:hAnsi="Times New Roman"/>
                <w:color w:val="000000"/>
                <w:kern w:val="0"/>
                <w:sz w:val="25"/>
                <w:szCs w:val="24"/>
              </w:rPr>
              <w:t>的债券回购；期限在一年以内</w:t>
            </w:r>
            <w:r>
              <w:rPr>
                <w:rFonts w:ascii="Times New Roman" w:hAnsi="Times New Roman"/>
                <w:color w:val="000000"/>
                <w:kern w:val="0"/>
                <w:sz w:val="25"/>
                <w:szCs w:val="24"/>
              </w:rPr>
              <w:t>(</w:t>
            </w:r>
            <w:r>
              <w:rPr>
                <w:rFonts w:ascii="Times New Roman" w:hAnsi="Times New Roman"/>
                <w:color w:val="000000"/>
                <w:kern w:val="0"/>
                <w:sz w:val="25"/>
                <w:szCs w:val="24"/>
              </w:rPr>
              <w:t>含一年</w:t>
            </w:r>
            <w:r>
              <w:rPr>
                <w:rFonts w:ascii="Times New Roman" w:hAnsi="Times New Roman"/>
                <w:color w:val="000000"/>
                <w:kern w:val="0"/>
                <w:sz w:val="25"/>
                <w:szCs w:val="24"/>
              </w:rPr>
              <w:t>)</w:t>
            </w:r>
            <w:r>
              <w:rPr>
                <w:rFonts w:ascii="Times New Roman" w:hAnsi="Times New Roman"/>
                <w:color w:val="000000"/>
                <w:kern w:val="0"/>
                <w:sz w:val="25"/>
                <w:szCs w:val="24"/>
              </w:rPr>
              <w:t>的中央银行票据；中国证监会、中国人民银行认可的其他具有良好流动性的金融工具</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中国证监会指定的用以进行信息披露的全国性报刊及指定互联网网站（包括基金管理人网站、基金托管人网站、中国证监会基金电子披露网站）等媒介</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本合同当事人不能预见、不能避免且不能克服的客观事件</w:t>
            </w:r>
          </w:p>
        </w:tc>
      </w:tr>
    </w:tbl>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6" w:name="_Toc231197001"/>
      <w:r>
        <w:rPr>
          <w:rFonts w:ascii="Times New Roman" w:hAnsi="Times New Roman"/>
          <w:sz w:val="30"/>
        </w:rPr>
        <w:lastRenderedPageBreak/>
        <w:t>三、基金管理人</w:t>
      </w:r>
      <w:bookmarkEnd w:id="6"/>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金金先生:基金经理。复旦大学金融学硕士、华东理工大学材料工程学士，12年证券投资行业从业经验。2014年至2015年任长江证券研究部高级分析师，2015年至2017年华泰柏瑞基金管理有限公司研究员。2017年加入交银施罗德基金管理有限公司，曾任研究部行业分析师，现任权益部基金经理。现任交银施罗德趋势优先混合型证券投资基金(2020年05月06日至今)、交银施罗德启诚混合型证券投资基金(2021年12月08日至今)、交银施罗德瑞元三年定期开放混合型证券投资基金(2023年10月27日至今)的基金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管华雨先生(2010年12月22日至2012年03月12日)；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张迎军先生(2011年05月03日至2013年09月02日)；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管华雨先生(2013年08月08日至2014年10月21日)；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曹文俊先生(2013年08月08日至2017年06月12日)；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韩威俊先生(2017年06月03日至2020年05月26日)。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2、办理基金备案手续；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w:t>
      </w:r>
      <w:r>
        <w:rPr>
          <w:rFonts w:ascii="宋体" w:hAnsi="宋体"/>
          <w:sz w:val="24"/>
        </w:rPr>
        <w:lastRenderedPageBreak/>
        <w:t>有人谋取最大利益；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w:t>
      </w:r>
      <w:r>
        <w:rPr>
          <w:rFonts w:ascii="宋体" w:hAnsi="宋体"/>
          <w:sz w:val="24"/>
        </w:rPr>
        <w:lastRenderedPageBreak/>
        <w:t>法性、合规性和风险状况进行检查和评估，对公司监察稽核制度的有效性进行评价，监督检查公司财务状况，审计公司的财务报表，评估公司的财务表现，保证公司的财务运作符合法律的要求和通行的会计标准。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公司建立、健全了内控体系，通过高管人员关于内控的明确分工，确保各项业务活动有恰当的组织和授权，确保监察活动独立，并得到高管人员的支持，同时置备操作手册，并定期更新。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7" w:name="_Toc231197002"/>
      <w:r>
        <w:rPr>
          <w:rFonts w:ascii="Times New Roman" w:hAnsi="Times New Roman"/>
          <w:sz w:val="30"/>
        </w:rPr>
        <w:lastRenderedPageBreak/>
        <w:t>四、基金托管人</w:t>
      </w:r>
      <w:bookmarkEnd w:id="7"/>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注册资本：人民币35,640,625.7089万元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联系电话：010-66105799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截至2026年3月，中国工商银行资产托管部共有员工209人，平均年龄38岁，99%以上员工拥有大学本科以上学历，高管人员均拥有研究生以上学历或高级技术职称。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3月，中国工商银行共托管证券投资基金1577只。自2003年以来，本行连续二十二年获得香港《亚洲货币》、英国《全球托管人》、香港《财资》、美国《环球金融》、内地《证券时报》、《上海证券报》等境内外权威财经媒体评选的113项最佳托管银行大奖；是获得奖项最多的国内托管银行，优良的服务品质获得国内外金融领域的持续认可和广泛好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（四）基金托管人的内部控制情况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（1）资产托管业务经营管理合法合规；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（2）促进实现资产托管业务发展战略和经营目标；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（3）资产托管业务风险管理的有效性和资产安全；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（4）提高资产托管经营效率和效果；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（5）业务记录、会计信息和其他经营管理相关信息的真实、准确、完整、及时。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（1）全面性原则。资产托管业务内部控制应贯穿决策、执行和监督全过程，覆盖资产托管业务各项业务流程和管理活动，覆盖所有机构、部门和从业人员。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（2）重要性原则。资产托管业务内部控制应在全面控制基础上，关注重要业务事项、重点业务环节和高风险领域。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（3）制衡性原则。资产托管业务内部控制应在机构设置、权责分配及业务流程等方面形成相互制约、相互监督的机制，同时兼顾运营效率。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（4）适应性原则。资产托管业务内部控制应当与经营规模、业务范围和风险</w:t>
      </w:r>
      <w:r>
        <w:rPr>
          <w:rFonts w:ascii="宋体" w:hAnsi="宋体"/>
          <w:sz w:val="24"/>
        </w:rPr>
        <w:lastRenderedPageBreak/>
        <w:t>特点相适应，并进行动态调整，以合理成本实现内部控制目标。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（5）审慎性原则。资产托管业务内部控制应坚持风险为本、审慎经营的理念，设立机构或开展各项经营管理活动均应坚持内控优先。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（6）成本效益原则。资产托管业务内部控制应权衡实施成本与预期效益，以合理成本实现有效控制。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资产托管业务内部控制纳入全行统一的内部控制体系。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（2）总行内控合规部负责托管业务的内控管理工作再监督，根据年度工作重点，定期或不定期在全行开展相关业务监督检查，将托管业务检查项目整合到全行业务监督检查工作中。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（3）总行内部审计局负责对资产托管业务的审计与评价工作。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（4）一级（直属）分行资产托管业务部门作为内部控制的执行机构，负责组织开展本机构内部控制的日常运行及自查工作，及时整改、纠正、处理存在的问题。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5.风险控制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6.业务连续性保障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8" w:name="_Toc231197003"/>
      <w:r>
        <w:rPr>
          <w:rFonts w:ascii="Times New Roman" w:hAnsi="Times New Roman"/>
          <w:sz w:val="30"/>
        </w:rPr>
        <w:lastRenderedPageBreak/>
        <w:t>五、相关服务机构</w:t>
      </w:r>
      <w:bookmarkEnd w:id="8"/>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（2）名称：中国邮政储蓄银行股份有限公司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（5）名称：北京银行股份有限公司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（6）名称：中国光大银行股份有限公司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（7）名称：中国民生银行股份有限公司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（9）名称：中国农业银行股份有限公司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传真：010-68121816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（10）名称：江苏常熟农村商业银行股份有限公司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（11）名称：上海银行股份有限公司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（12）名称：中国建设银行股份有限公司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（13）名称：交通银行股份有限公司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（14）名称：东莞农村商业银行股份有限公司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（15）名称：招商银行股份有限公司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（16）名称：宁波银行股份有限公司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电话：（021）63586210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（17）名称：兴业银行股份有限公司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（18）名称：江苏银行股份有限公司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网址：bank.ecitic.com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（20）名称：平安银行股份有限公司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（21）名称：上海浦东发展银行股份有限公司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（22）名称：中国工商银行股份有限公司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（23）名称：东吴证券股份有限公司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联系人：陆晓</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（24）名称：国都证券股份有限公司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（25）名称：东北证券股份有限公司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（26）名称：华福证券股份有限公司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（27）名称：东兴证券股份有限公司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联系人：汤漫川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（28）名称：中国民族证券有限责任公司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（29）名称：国元证券股份有限公司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（30）名称：国信证券股份有限公司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（31）名称：金融街证券股份有限公司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办公地址：内蒙古自治区呼和浩特市新城区海拉尔东街满世尚都办公商业综合楼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（32）名称：湘财证券股份有限公司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（33）名称：兴业证券股份有限公司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（34）名称：大同证券有限责任公司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 真：（0351）7219891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（35）名称：爱建证券有限责任公司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（36）名称：长江证券股份有限公司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（37）名称：粤开证券股份有限公司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（38）名称：西南证券股份有限公司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法定代表人：吴坚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（39）名称：信达证券股份有限公司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（40）名称：渤海证券股份有限公司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（41）名称：长城证券有限责任公司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客户服务电话：（0755）33680000，400-6666-888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（42）名称：瑞银证券有限责任公司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（43）名称：中国国际金融股份有限公司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（44）名称：华鑫证券有限责任公司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（45）名称：江海证券有限公司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网址：www.jhzq.com.cn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（46）名称：中泰证券股份有限公司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（47）名称：国联民生证券股份有限公司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（48）名称：联储证券有限责任公司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（49）名称：东方财富证券股份有限公司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（50）名称：德邦证券股份有限公司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（51）名称：西部证券股份有限公司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（52）名称：申万宏源证券有限公司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（53）名称：申万宏源西部证券有限公司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住所：新疆乌鲁木齐市建设路2号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（54）名称：中信证券（山东）有限责任公司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（56）名称：中信证券华南股份有限公司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联系人：郭杏燕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（57）名称：财通证券股份有限公司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（58）名称：长城国瑞证券有限公司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（59）名称：东莞证券股份有限公司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（60）名称：中国中金财富证券有限公司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（61）名称：华泰证券股份有限公司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（62）名称：中信建投证券股份有限公司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（63）名称：国金证券股份有限公司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电话：（028）86690057，（028）86690058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（64）名称：平安证券股份有限公司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（65）名称：广发证券股份有限公司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（66）名称：中航证券有限公司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客户服务电话：400-8895-335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（67）名称：华宝证券股份有限公司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（68）名称：方正证券股份有限公司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（69）名称：中邮证券有限责任公司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（70）名称：开源证券股份有限公司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注册地址：陕西省西安市高新区锦业路一号都市之门B座5层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（71）名称：山西证券股份有限公司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（72）名称：中国银河证券股份有限公司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（73）名称：国新证券股份有限公司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客户服务电话：（010）58568118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（74）名称：华龙证券股份有限公司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（75）名称：国泰海通证券股份有限公司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（76）名称：国投证券股份有限公司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（77）名称：海通证券股份有限公司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办公地址：上海市广东路689号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（78）名称：第一创业证券股份有限公司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（79）名称：中原证券股份有限公司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（80）名称：华西证券股份有限公司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联系人：周志茹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（81）名称：南京证券股份有限公司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（82）名称：招商证券股份有限公司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（83）名称：东方证券股份有限公司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（84）名称：华安证券股份有限公司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住所：安徽省合肥市政务文化新区天鹅湖路198号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办公地址：安徽省合肥市政务文化新区天鹅湖路198号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法定代表人：章宏韬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电话：0551-65161963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传真：0551-65161825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联系人：范超、孙懿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网址：www.hazq.com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（85）名称：光大证券股份有限公司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（86）名称：万联证券股份有限公司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（87）名称：民生证券股份有限公司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传真：（010）85127641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（88）名称：北京广源达信基金销售有限公司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（89）名称：天相投资顾问有限公司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（90）名称：中国人寿保险股份有限公司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（91）名称：深圳市新兰德证券投资咨询有限公司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办公地址：北京市西城区金融大街35号国际企业大厦C座9层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（92）名称：大连网金基金销售有限公司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（93）名称：阳光人寿保险股份有限公司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（94）名称：玄元保险代理有限公司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传真：（021）50701053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（95）名称：京东肯特瑞基金销售有限公司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（96）名称：上海大智慧基金销售有限公司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（97）名称：和耕传承基金销售有限公司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客户服务电话：4000555671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（98）名称：腾安基金销售（深圳）有限公司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（99）名称：珠海盈米基金销售有限公司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（100）名称：上海华夏财富投资管理有限公司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（101）名称：北京度小满基金销售有限公司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（102）名称：南京苏宁基金销售有限公司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（103）名称：嘉实财富管理有限公司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（104）名称：北京汇成基金销售有限公司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电话：（010）56282140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（105）名称：上海利得基金销售有限公司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（106）名称：北京虹点基金销售有限公司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（107）名称：上海陆金所基金销售有限公司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客户服务电话：4008219031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（108）名称：上海挖财基金销售有限公司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（109）名称：万家财富基金销售（天津）有限公司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（110）名称：上海万得基金销售有限公司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（111）名称：格上富信投资顾问有限公司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（112）名称：深圳市金斧子基金销售有限公司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（113）名称：北京雪球基金销售有限公司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（114）名称：北京新浪仓石基金销售有限公司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办公地址：北京市海淀区东北旺西路中关村软件园二期（西扩）N-1、N-2地块新浪总部科研楼5层518室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（115）名称：中证金牛（北京）基金销售有限公司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（116）名称：上海证达通基金销售有限公司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（117）名称：北京创金启富基金销售有限公司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（118）名称：奕丰基金销售有限公司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（119）名称：上海天天基金销售有限公司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（120）名称：和讯信息科技有限公司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（121）名称：诺亚正行基金销售有限公司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（122）名称：上海好买基金销售有限公司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（123）名称：上海长量基金销售有限公司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（124）名称：深圳众禄基金销售股份有限公司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（125）名称：蚂蚁（杭州）基金销售有限公司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（126）名称：上海基煜基金销售有限公司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（127）名称：浙江同花顺基金销售有限公司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电话：（0571）88911818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（128）名称：宜信普泽（北京）基金销售有限公司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（129）名称：上海联泰基金销售有限公司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（130）名称：泛华普益基金销售有限公司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客户服务电话：400-080-3388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（131）名称：北京展恒基金销售股份有限公司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（132）名称：中信期货有限公司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（133）名称：济安财富（北京）基金销售有限公司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（134）名称：中信百信银行股份有限公司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（135）名称：博时财富基金销售有限公司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（136）名称：上海中欧财富基金销售有限公司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（137）名称：深圳前海微众银行股份有限公司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w:t>
      </w:r>
      <w:r>
        <w:rPr>
          <w:rFonts w:ascii="宋体" w:hAnsi="宋体"/>
          <w:sz w:val="24"/>
        </w:rPr>
        <w:lastRenderedPageBreak/>
        <w:t>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代销机构是指由中国证监会核准的具有开放式基金代销资格，并经上海证券交易所和中国证券登记结算有限责任公司认可的上海证券交易所会员(以下简称“有资格的上证所会员”)，名单详见上海证券交易所网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（四）审计基金财产的会计师事务所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9" w:name="_Toc231197004"/>
      <w:r>
        <w:rPr>
          <w:rFonts w:ascii="Times New Roman" w:hAnsi="Times New Roman"/>
          <w:sz w:val="30"/>
        </w:rPr>
        <w:lastRenderedPageBreak/>
        <w:t>六、基金的历史沿革</w:t>
      </w:r>
      <w:bookmarkEnd w:id="9"/>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趋势优先混合型证券投资基金由交银施罗德趋势优先股票证券投资基金变更而来，交银施罗德趋势优先股票证券投资基金由基金管理人依照《基金法》、《运作办法》、《基金合同》及其他有关规定，并经中国证监会证监许可[2010]1477号文核准募集发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本基金自2010年11月18日至2010年12月15日进行发售。本基金设立募集期共募集2,659,781,045.37份基金份额，有效认购户数为26,912户。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人民共和国证券投资基金法》、《公开募集证券投资基金运作管理办法》、《关于实施&lt;公开募集证券投资基金运作管理办法&gt;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趋势优先混合型证券投资基金，由《交银施罗德趋势优先股票证券投资基金基金合同》修订而成的《交银施罗德趋势优先混合型证券投资基金基金合同》自该日起生效。</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0" w:name="_Toc231197005"/>
      <w:r>
        <w:rPr>
          <w:rFonts w:ascii="Times New Roman" w:hAnsi="Times New Roman"/>
          <w:sz w:val="30"/>
        </w:rPr>
        <w:lastRenderedPageBreak/>
        <w:t>七、基金的存续</w:t>
      </w:r>
      <w:bookmarkEnd w:id="10"/>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的，基金管理人应当及时报告中国证监会；连续20个工作日出现前述情形的，基金管理人应当向中国证监会说明原因并报送解决方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1" w:name="_Toc231197006"/>
      <w:r>
        <w:rPr>
          <w:rFonts w:ascii="Times New Roman" w:hAnsi="Times New Roman"/>
          <w:sz w:val="30"/>
        </w:rPr>
        <w:lastRenderedPageBreak/>
        <w:t>八、基金份额的申购与赎回</w:t>
      </w:r>
      <w:bookmarkEnd w:id="11"/>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投资者可通过场外和场内两种方式申购与赎回A类基金份额；C类基金份额不开设场内申购、赎回的方式，投资者只能通过场外方式申购与赎回C类基金份额。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个人投资者可以通过本公司网上直销交易平台办理开户、本基金A类基金份额及C类基金份额的申购、赎回、定期定额投资、转换等业务，具体交易细则请参阅本公司网站。网上直销交易平台网址：www.fund001.com。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2、不通过上海证券交易所交易系统办理相关业务的场外代销机构的代销网点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3、通过上海证券交易所交易系统办理相关业务的上海证券交易所会员单位，目前场内交易只支持前端A类基金份额的申购。具体名单详见上海证券交易所网站。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投资者可通过上述场所按照规定的方式进行申购或赎回。本基金管理人可根据情况变更或增减基金代销机构，并在管理人网站公示。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（二）申购和赎回的开放日及时间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和赎回的开放日为证券交易所交易日（基金管理人公告暂停申购或赎回时除外），投资者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者在《基金合同》约定之外的日期和时间提出申购、赎回或转换申请的，若该申请被成功确认，则其基金份额申购、赎回、转换价格为下次办理基金份额申购、赎回、转换业务时间所在开放日的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本基金A类基金份额已于2011年2月24日起开放场内、场外申购业务。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本基金C类基金份额已于2021年8月27日起开放场外申购业务。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本基金A类基金份额已于2011年2月24日起开放场内、场外赎回业务。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本基金C类基金份额已于2021年8月27日起开放场外赎回业务。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4、投资者申购基金份额时，必须全额交付申购款项，投资者交付款项后，申购申请方为有效；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5、赎回遵循“先进先出”原则，即按照投资者认购、申购和红利再投的的先后次序进行顺序赎回；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6、基金管理人可根据基金运作的实际情况并在不影响基金份额持有人实质利益的前提下调整上述原则。基金管理人必须在新规则开始实施前按照《信息披露办</w:t>
      </w:r>
      <w:r>
        <w:rPr>
          <w:rFonts w:ascii="宋体" w:hAnsi="宋体"/>
          <w:sz w:val="24"/>
        </w:rPr>
        <w:lastRenderedPageBreak/>
        <w:t>法》的有关规定在指定媒介公告并报中国证监会备案。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场外申购时，代销网点每个账户单笔申购的最低金额为单笔1元，如果代销机构业务规则规定的最低单笔申购金额高于1元，以代销机构的规定为准。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场外赎回时，赎回的最低份额为1份基金份额，如果销售机构业务规则规定的最低单笔赎回份额高于1份，以该销售机构的规定为准；场内赎回时，赎回的最低份额为50 份基金份额，同时赎回份额必须是整数份额，并且单笔赎回最多不超过99,999,999份基金份额。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媒介上刊登公告并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投资者必须根据基金销售机构规定的程序，在开放日的业务办理时间向基金销售机构提出申购或赎回的申请。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投资者在申购本基金时须按销售机构规定的方式备足申购资金，否则所提交的申购申请无效而不予成交。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投资者在提交赎回申请时，必须持有足够的基金份额余额，否则所提交的赎回申请无效而不予成交。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基金注册登记机构应以交易时间结束前受理申购和赎回申请的当天作为申购或赎回申请日(T日)，正常情况下，本基金注册登记机构在T+1日内对该交易的有效性进行确认。T日提交的有效申请，投资者可在T+2日后（包括该日）及时到销售网点柜台或以销售机构规定的其他方式查询申请的确认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基金销售机构申购、赎回申请的受理并不代表该申请一定成功，而仅代表销售机构确实接收到申购、赎回申请。申购、赎回申请的确认以基金注册登记机构的确认结果为准。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基金管理人可以在法律法规允许的范围内，依法对上述申购和赎回申请的确认时间进行调整，并必须在调整实施日前按照《信息披露办法》的有关规定在指定媒介上公告并报中国证监会备案。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申购采用全额缴款方式，若申购资金在规定时间内未全额到账，则申购不成功，若申购不成功或无效，基金管理人或基金管理人指定的代销机构将投资者已缴付的申购款项本金退还给投资者。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申请成功后，基金管理人将指示基金托管人在T＋7日（包括该日）内从托管账户将赎回款项划出，经销售机构划往基金份额持有人银行账户。在发生巨额赎回时，款项的支付办法参照《基金合同》的有关条款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投资者申购基金成功后，基金注册登记机构在T+1日为投资者登记权益并办理份额注册登记手续，投资者自T+2日（含该日）后有权赎回该部分基金份额。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投资者赎回基金成功后，基金注册登记机构在T+1日为投资者办理扣除权益的份额注册登记手续。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基金管理人可以在法律法规允许的范围内，依法对上述注册登记办理时间进行调整，但必须在调整实施日前按照《信息披露办法》的有关规定在指定媒介公告并报中国证监会备案。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本基金基金份额分为A类基金份额和C类基金份额。投资人申购A类基金份额需支付申购费用；申购C类基金份额不支付申购费用，并从该类别基金资产中计提销售服务费。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提供两种申购费用的支付模式。投资者可以选择前端收费模式，即在申购时支付申购费用；也可以选择后端收费模式，即在赎回时才支付相应的申购费用，该费用随A类基金份额的持有时间递减。场外申购可以采取前端收费模式和后端收费模式，场内申购目前只支持前端收费模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本基金A类基金份额的申购费用由申购A类基金份额的申购人承担，不列入基金财产，主要用于本基金的市场推广、销售、注册登记等各项费用。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320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61320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本基金自2013年4月11日起，对通过本公司直销柜台申购前端A类基金份额的养老金客户实施特定申购费率。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w:t>
      </w:r>
      <w:r>
        <w:rPr>
          <w:rFonts w:ascii="宋体" w:hAnsi="宋体"/>
          <w:sz w:val="24"/>
        </w:rPr>
        <w:lastRenderedPageBreak/>
        <w:t>的新的养老基金类型，本公司将发布临时公告将其纳入养老金客户范围，并按规定向中国证监会备案。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通过本公司直销柜台申购前端A类基金份额的养老金客户特定申购费率如下表：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61320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赎回费用的25%归基金财产，其余用于支付注册登记费和其他必要的手续费。其中，对持续持有期少于7日的基金份额持有人收取不低于1.5%的赎回费并全额计入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320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13206">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13206">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13206" w:rsidRDefault="00613206">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w:t>
      </w:r>
      <w:r>
        <w:rPr>
          <w:rFonts w:ascii="宋体" w:hAnsi="宋体"/>
          <w:sz w:val="24"/>
        </w:rPr>
        <w:lastRenderedPageBreak/>
        <w:t>计入基金财产。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3、基金管理人可以在《基金合同》约定的范围内调整费率或收费方式，并应于新的费率或收费方式实施日前依照《信息披露办法》的有关规定在指定媒介上公告。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形下根据市场情况制定基金促销计划，针对特定地域范围、特定行业、特定职业的投资者以及以特定交易方式（如网上交易、电话交易等）等进行基金交易的投资者定期或不定期地开展基金促销活动。在基金促销活动期间，按相关监管部门要求履行相关手续后基金管理人可以适当调低基金申购费率和基金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A类基金份额或C类基金份额的有效份额为按实际确认的申购金额在扣除相应的费用（如有）后，以当日该类基金份额的基金份额净值为基准计算，场外申购份额计算结果保留到小数点后2位，小数点后两位以后的部分四舍五入，由此产生的误差计入基金财产。场内申购有效份额的计算截位保留到整数位，剩余部分折回金额返还投资者，折回金额的计算保留到小数点后两位，小数点两位以后的部分四舍五入，由此产生的误差计入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和C类基金份额有效赎回份额乘以当日该类基金份额的基金份额净值并扣除相应的费用（如有），赎回金额计算结果保留到小数点后2位，小数点后两位以后的部分四舍五入，由此产生的误差计入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A类基金份额的场外申购可以采取前端收费模式和后端收费模式，场内申购目前只支持前端收费模式。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（注：对于适用固定金额申购费用的申购，净申购金额＝申购总金额－固定申购费金额）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场内申购金额的有效份额保留到整数位，剩余部分对应申购资金返还投资者。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对应返还申购金额=净申购金额-取整数位后确认的申购份额×T日A类基金份额净值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例一：某投资者投资40,000元申购本基金的A类基金份额，假设申购当日A类基金份额净值为1.0400元，如果其选择前端收费方式，申购费率为1.5%，则其可得到的申购份额为：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如果投资者是场内申购，申购份额为37,893份，则：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对应返还申购金额=39,408.87-37,893×1.0400=0.15元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即其余0.14份对应金额0.15元返回给投资者。如果投资者是场外申购，申购份额为37,893.14份。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后端申购费用＝赎回份额×申购日A类基金份额净值×后端申购费率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例二：某投资者投资40,000元申购本基金A类基金份额，假设申购当日A类基金份额净值为1.0400元，如果其选择后端收费方式，则其可得到的申购份额为：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40,000元申购本基金的A类基金份额，假设申购当日A类基金份额净值为1.0400元，则可得到38,461.54份A类基金份额，但其在赎回时需根据其持有时间按对应的A类基金份额后端申购费率交纳后端申购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赎回金额为按实际确认的A类基金份额和C类基金份额有效赎回份额乘以当日该类基金份额的基金份额净值并扣除相应的费用（如有），赎回金额单位为元，计算结果保留到小数点后两位，第三位四舍五入。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1）如果投资者在认（申）购时选择交纳前端认（申）购费用，则赎回金额的计算方法如下：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例四：某投资者赎回通过前端认购（申购）持有的10,000份A类基金份额，持有期限为30日，对应的赎回费率为0.5%，假设赎回当日A类基金份额净值是1.0160元，则其可得到的赎回金额为：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即：投资者赎回本基金10,000份A类基金份额，假设赎回当日A类基金份额净值是1.0160元，则其可得到的赎回金额为10,109.20元。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2）如果投资者在认（申）购时选择交纳后端认（申）购费用，则赎回金额的计算方法如下：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后端认（申）购费用＝赎回份额×认（申）购日A类基金份额净值×后端认（申）购费率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例五：某投资者赎回通过后端认购持有的10,000份A类基金份额，对应的后端认购费率为1.6%，赎回费率为0.5%，假设赎回当日A类基金份额净值是1.0160元，则其可得到的赎回金额为：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后端认购费用 = 10,000×1.0000×1.6% = 160.00元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10,000×1.0160-160.00-50.80 ＝ 9,949.20元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通过后端认购所得本基金10,000份A类基金份额，对应的赎回费率为0.5%，假设赎回当日A类基金份额净值是1.0160元，投资者对应的后端认购费率是1.6%，认购时的A类基金份额初始面值为1.0000元，则其可得到的赎回金额为9,949.20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通过后端申购持有的10,000份A类基金份额，持有期限为30日，对应的后端申购费率是1.8%，赎回费率为0.5%，假设赎回当日A类基金份额净值是1.0160元，申购时的A类基金份额净值为1.0100元，则其可得到的赎回金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对应的赎回费率为0.5%，假设赎回当日A类基金份额净值是1.0160元，投资者对应的后端申购费率是1.8%，申购时的A类基金份额净值为1.0100元，则其可得到的赎回金额为9,927.40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例七：某投资者赎回10,000份C类基金份额，持有期限为20日，对应的赎回费率为0.5%，假设赎回当日C类基金份额净值是1.0160元，则其可得到的赎回金额为：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即：投资者赎回10,000份C类基金份额，持有期限为20日，对应的赎回费率为0.5%，假设赎回当日C类基金份额净值是1.0160元，则其可得到的赎回金额为10,109.20元。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除非出现如下情形，基金管理人不得暂停或拒绝基金投资者的申购申请：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（1）不可抗力的原因导致基金无法正常运作；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（2）证券交易场所在交易时间非正常停市，导致当日基金资产净值无法计算；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（4）基金资产规模过大，使基金管理人无法找到合适的投资品种，或可能对基金业绩产生负面影响，从而损害现有基金份额持有人的利益；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（5）当前一估值日基金资产净值50%以上的资产出现无可参考的活跃市场价格且采用估值技术仍导致公允价值存在重大不确定性时，经与基金托管人协商确认后，基金管理人应当暂停接受基金申购申请。；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（6）基金管理人接受某笔或者某些申购申请有可能导致单一投资者持有基金份额的比例超过50%，或者变相规避50%集中度的情形。法律法规或中国证监会另有规定的除外；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（7）法律法规规定或中国证监会认定的其他可暂停申购的情形；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（8）基金管理人认为会有损于现有基金份额持有人利益的某笔申购。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发生上述情形之一的，申购款项将全额退还投资者。发生上述（1）到（5）、（7）项暂停申购情形时，基金管理人应当在指定媒介刊登暂停申购公告。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如果投资者的申购申请被拒绝，被拒绝的申购款项将全额退还投资者。在暂停申购的情况消除时，基金管理人应及时恢复申购业务的办理。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（九）暂停赎回或者延缓支付赎回款项的情形及处理方式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除非出现如下情形，基金管理人不得拒绝接受或暂停基金份额持有人的赎回申请或者延缓支付赎回款项：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（1）不可抗力的原因导致基金管理人不能支付赎回款项；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（2）证券交易场所依法决定临时停市，导致基金管理人无法计算当日基金资产净值；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（3）因市场剧烈波动或其他原因而出现连续2个或2个以上开放日巨额赎回，导致本基金的现金支付出现困难；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（5）发生《基金合同》规定的暂停基金资产估值情况；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的，基金管理人应在当日立即向中国证监会备案。已确认成功的赎回申请，基金管理人将足额支付赎回款项；如暂时不能足额支付的，则处理办法参照基金发生巨额赎回时部分顺延赎回的处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同时，在出现上述第（3）款的情形时，对已接受的赎回申请可延期支付赎回款项，最长不超过20个工作日，并在指定媒介公告。投资者在申请赎回时可事先选择将当日可能未获受理部分予以撤销。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暂停基金的赎回，基金管理人应及时在指定媒介刊登暂停赎回公告。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在暂停赎回的情况消除时，基金管理人应及时恢复赎回业务的办理，并依照有关规定在指定媒介公告。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份额净赎回申请份额（赎回申请份额总数加上基金转换中转出申请份额总数扣除申购申请份额总数及基金转换中转入申请份额总数后的余额）超过上一日基金总份额的10%时，即认为发生了巨额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（1）全额赎回：当基金管理人认为有能力支付投资者的全部赎回申请时，按正常赎回程序执行。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者的赎回申请有困难或认为支付投资者的赎回申请可能会对基金的资产净值造成较大波动时，基金管理人在当日接受赎回比例不低于上一日基金总份额的10%的前提下，对其余赎回申请延期予以办理。对于基金份额持有人提交的的单笔赎回申请，应当按照其申请赎回份额占当日申请赎回总份额的比例，确定该笔赎回申请当日部分确认的赎回份额；投资者未能赎回部分，除投资者在提交赎回申请时选择将当日未获办理部分予以撤销外，延迟至下一个开放日办理，赎回价格为下一个开放日的价格。依照上述规定转入下一个开放日的赎回不享有赎回优先权，并以此类推，直到全部赎回为止。部分顺延赎回不受单笔赎回最低份额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本基金连续2个或2个开放日以上发生巨额赎回，如基金管理人认为有必要，可暂停接受赎回申请；已经确认成功的赎回申请可以延缓支付赎回款项，但不得超过20个工作日，并应当在指定媒介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3、巨额赎回的公告：当发生巨额赎回并顺延赎回时，基金管理人应在2日内在指定媒介上刊登公告。同时以邮寄、传真、刊登公告或者通知代销机构代为告知等方式通知基金份额持有人，并说明有关处理方法。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（十一）重新开放申购或赎回的公告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1、如果发生暂停的时间为一天，基金管理人应于重新开放日在指定媒介刊登基金重新开放申购或赎回的公告并公布最近一个开放日各类基金份额的基金份额净值。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发生暂停的时间超过一天但少于两周，暂停结束基金重新开放申购或赎回时，基金管理人应提前2日在指定媒介刊登基金重新开放申购或赎回的公告，并在重新开始办理申购或赎回的开放日公告最近一个工作日各类基金份额的基金份</w:t>
      </w:r>
      <w:r>
        <w:rPr>
          <w:rFonts w:ascii="宋体" w:hAnsi="宋体"/>
          <w:sz w:val="24"/>
        </w:rPr>
        <w:lastRenderedPageBreak/>
        <w:t>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发生暂停的时间超过两周，暂停期间，基金管理人应每两周至少重复刊登暂停公告一次。暂停结束基金重新开放申购或赎回时，基金管理人应提前2日在指定媒介连续刊登基金重新开放申购或赎回的公告，并在重新开放申购或赎回日公告最近一个工作日各类基金份额的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本基金的份额采用分系统登记的原则。场外认购或申购的基金注册登记在注册登记系统基金份额持有人开放式基金账户下；场内认购、申购的基金注册登记在证券登记结算系统基金份额持有人证券账户下。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（1）系统内转托管是指基金份额持有人将持有的基金份额在注册登记系统内不同代销机构之间或证券登记结算系统内不同会员单位之间进行转登记的行为。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（2）基金注册登记在注册登记系统的基金份额持有人在变更办理基金赎回业务的销售机构（网点）时，销售机构（网点）之间不能通存通兑的，可办理已持有基金份额的系统内转托管。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（1）跨系统转托管是指基金份额持有人将持有的A类基金份额在注册登记系统和证券登记结算系统之间进行转登记的行为。除经基金管理人另行公告，C类基金份额不能进行跨系统转托管。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（2）本基金跨系统转托管具体业务按照中国证券登记结算有限责任公司的相关规定办理。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2011年2月21日刊登公告自2011年2月24日起开通A类基金份额的定期定额投资计划业务，本基金2021年8月27日刊登公告自2021年8月27日起增设C类基金份额并开通C类基金份额的定期定额投资计划业务，具体开通销售机构名单和业务规则参见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（十四）定时不定额投资计划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自2012年1月1日起，投资者可通过中国工商银行股份有限公司的“基智定投”办理本基金A类基金份额的定时不定额投资业务。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（十五）基金的非交易过户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非交易过户是指不采用申购、赎回等基金交易方式，将一定数量的基金份额按照一定规则从某一投资者基金账户转移到另一投资者基金账户的行为。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继承、捐赠、司法强制执行和经基金注册登记机构认可的其他情况下的非交易过户。其中，“继承”指基金份额持有人死亡，其持有的基金份额由其合法的继承人继承；“捐赠”指基金份额持有人将其合法持有的基金份额捐赠给福利性质的基金会或社会团体的情形；“司法强制执行”是指司法机构依据生效司法文书将基金份额持有人持有的基金份额强制划转给其他自然人、法人、社会团体或其他组织。无论在上述何种情况下，接受划转的主体应符合相关法律法规和《基金合同》规定的可持有本基金份额的投资者的条件。办理非交易过户必须提供基金注册登记机构要求提供的相关资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基金注册登记机构受理上述情况下的非交易过户，其他销售机构不得办理该项业务。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对于符合条件的非交易过户申请按《业务规则》的有关规定办理。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的基金份额的冻结与解冻，以及基金注册登记机构认可、符合法律法规的其他情况下的基金份额的冻结与解冻。基金份额被冻结的，被冻结部分产生的权益按照法律法规以及国家有权机关的要求来决定是否冻结。被冻结部分份额仍然参与收益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w:t>
      </w:r>
      <w:r>
        <w:rPr>
          <w:rFonts w:ascii="宋体" w:hAnsi="宋体"/>
          <w:sz w:val="24"/>
        </w:rPr>
        <w:lastRenderedPageBreak/>
        <w:t>制”部分的规定或相关公告。</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2" w:name="_Toc231197007"/>
      <w:r>
        <w:rPr>
          <w:rFonts w:ascii="Times New Roman" w:hAnsi="Times New Roman"/>
          <w:sz w:val="30"/>
        </w:rPr>
        <w:lastRenderedPageBreak/>
        <w:t>九、基金的转换</w:t>
      </w:r>
      <w:bookmarkEnd w:id="12"/>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2011年5月27日刊登公告自2011年5月31日起开放A类基金份额的日常转换业务。本基金2021年12月24日刊登公告自2021年12月27日起开放C类基金份额的日常转换业务。本基金2025年8月26日刊登公告自2025年8月26日起开放开通同一基金不同类别基金份额转换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3" w:name="_Toc231197008"/>
      <w:r>
        <w:rPr>
          <w:rFonts w:ascii="Times New Roman" w:hAnsi="Times New Roman"/>
          <w:sz w:val="30"/>
        </w:rPr>
        <w:lastRenderedPageBreak/>
        <w:t>十、基金的投资</w:t>
      </w:r>
      <w:bookmarkEnd w:id="13"/>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投资理念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坚持一贯的价值投资理念基础上，通过专业化的研究分析，积极挖掘非完全有效市场及不断变化的市场环境中的投资机会，注重以人口变化趋势这一影响经济结构调整和增长方式的重要外生变量为视角，优选战略性优势行业和领先企业。该理念至少包含以下两方面的含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1、证券市场并非完全有效，通过专业研究可以获得信息优势，把握市场环境变化的契机，积极投资，可以获得较高的超额收益。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2、人口具有超越诸多经济变量的外生性，其变化趋势会对一国中长期经济走势、结构调整和增长方式产生重大影响，从而进一步影响经济发展不同阶段特征下的行业投资机会。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本基金力图通过把握中国人口变化的重大趋势，精选受益其中的优势行业和个股，在控制风险并保持基金资产良好的流动性的前提下，力争实现基金资产的长期稳定增值。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如法律法规或监管机构以后允许本基金投资其他品种，基金管理人在履行适当程序后，可以将其纳入投资范围，并可依据届时有效的法律法规适时合理地调整投资范围。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60%-95%；债券、货币市场工具、现金、权证、资产支持证券以及法律法规或中国证监会允许基金投资的其他证券品种占基金资产的5%-40%，其中基金持有的权证不超过基金资产净值的3%，基金保留的现金和投资于到期日在一年以内的政府债券的比例合计不低于基金资产净值的5%，现金不包括结算备付金、存出保证金和应收申购款等。在基金实际管理过程中，基金管理人将根据中国宏观经济情况和证券市场的阶段性变</w:t>
      </w:r>
      <w:r>
        <w:rPr>
          <w:rFonts w:ascii="宋体" w:hAnsi="宋体"/>
          <w:sz w:val="24"/>
        </w:rPr>
        <w:lastRenderedPageBreak/>
        <w:t>化，在上述组合比例范围内，适时调整基金资产在股票、债券及货币市场工具等之间的配置比例。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75%×沪深300指数收益率+25%×中证综合债券指数收益率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本基金股票投资部分的业绩比较基准是沪深300指数，债券投资部分的业绩比较基准是中证综合债券指数。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本基金采用沪深300指数作为股票投资部分的业绩比较基准主要基于以下原因：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2.该指数样本对沪深市场的覆盖度高，具有良好的市场代表性，投资者可以方便地从报纸、互联网等财经媒体中获取。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3.沪深300指数引进国际指数编制和管理的经验，编制方法清晰透明，具有独立性和良好的市场流动性；与市场整体表现具有较高的相关度，且指数历史表现强于市场平均收益水平。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因此，沪深300指数是目前衡量本基金股票投资业绩的理想基准。同时，根据本基金的目标资产配置比例来分配权重，本基金的业绩比较基准中加入了中证综合债券指数并按照本基金的目标资产配置比例来安排。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或者有更权威的、更能为市场普遍接受的业绩比较基准推出，或者是市场上出现更加适合用于本基金的业绩基准的指数时，则基金管理人将视情况经与基金托管人协商同意并经履行相关程序后调整本基金的业绩比较基准，及时公告并在更新的招募说明书中列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（六）投资策略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在分析和判断未来人口趋势的重大转变对国民消费倾向、国家收入分配政策、产业升级和区域发展方向等战略决策的重要影响以及其中所蕴涵的行业投资机会的基础上，挖掘受益其中的优势行业，精选个股，以谋求超额收</w:t>
      </w:r>
      <w:r>
        <w:rPr>
          <w:rFonts w:ascii="宋体" w:hAnsi="宋体"/>
          <w:sz w:val="24"/>
        </w:rPr>
        <w:lastRenderedPageBreak/>
        <w:t>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自上而下”的定性分析和定量分析相结合形成对不同资产市场表现的预测和判断，确定基金资产在股票、债券及货币市场工具等各类别资产间的分配比例，并随着各类证券风险收益特征的相对变化，动态调整组合中各类资产的比例，以规避或控制市场风险，提高基金收益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基金管理人采用经济周期理论下的资产配置模型，通过对宏观经济运行指标、利率和货币政策等相关因素的分析，对中国的宏观经济运行情况进行判断和预测，然后利用经济周期理论确定基金资产在各类别资产间的战略配置策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（1）行业配置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1）人口趋势研究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中国工业化、城市化和世界经济分工的大背景下，以人口为视角，通过分析未来中国人口变化的重大趋势，积极把握中国经济增长的阶段特征及其相应对资本市场产生的影响和蕴涵的投资机会。其中在未来一段时间重点关注的中国人口重大趋势转变包括但不限于：与人口年龄结构相关的加速老龄化及进入后人口红利时代、与人口教育结构相关的低高端劳动力供应变化、与人口迁移和分布相关的区域发展和城市化、与人口产业结构相关的产业升级和转型等等。上述未来人口趋势的重大转变将直接影响国民消费倾向、国家收入分配政策、产业升级和区域发展方向等战略决策，从而直接或间接对国民经济不同行业产生重要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把握未来中国人口重大趋势转变，本基金将通过密切跟踪来自权威机构的有关人口统计数据和研究报告，进一步分析和判断相关数据和研究结果以确定未来可能遭遇的人口重大趋势转变的速度和深度。具体涉及指标包括：中国人口总量变化和增速变化、抚养率、劳动人口比例、储蓄人口比例、MY比例（中年人口和年轻人口的比例）、大学生入学及毕业人数、中高端和低端劳动力供应量变化、劳动人口按产业分类变化、劳动人口按区域分类变化、城镇化率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过对上述定量指标的分析确定人口重大趋势和特点后，本基金对受益行业的把握主要基于定性的研究分析。人口趋势是个长周期问题，但结合当前中国所处人口结构来看，最大的趋势转变在于人口老龄化和人口红利对经济的驱动已由投资</w:t>
      </w:r>
      <w:r>
        <w:rPr>
          <w:rFonts w:ascii="宋体" w:hAnsi="宋体"/>
          <w:sz w:val="24"/>
        </w:rPr>
        <w:lastRenderedPageBreak/>
        <w:t>转向消费，而其衰减将始于低端劳动力环节，进而推动劳动力特别是低端劳动力价格持续上涨。由此，当前受益于该人口重大变化趋势的行业可能包括但不限于受益于人口老龄化趋势的医药、保险及其他有关行业；受益于低端劳动力供应的大幅下降的自动化设备行业；受益于劳动力特别是低端劳动力收入的系统性上升的大众消费品行业；受益于劳动生产率的提升以及大学生等中高端劳动力供应增加的部分技术密集性制造业和新兴产业，等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2）行业配置与动态调整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从分析和判断重大人口趋势对不同行业可能造成的长期影响后，本基金将结合交银施罗德行业研究体系，进一步通过对当前经济周期、产业环境、产业政策和行业竞争格局的分析和预测，确定宏观经济变量、行业景气度的变动对具体行业的潜在影响，得出各行业的相对投资价值与投资时机，并据此对行业分布进行动态调整。具体而言，通过以下几方面的分析对行业进行配置来优化投资组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宏观经济环境分析：通过对宏观经济数据如季度GDP增长率、每月CPI</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数据、M2增长速度、每月工业增加值增长速度等的跟踪研究，对宏观经济环境变动趋势进行预测分析，并深入跟踪研究国家宏观政策和监管政策对市场和各个行业的影响，从而判断宏观经济周期和政策导向对行业的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行业景气度分析：对行业的景气状况、行业财务表现和竞争力格局和优势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进行综合研究，通过对行业主营业务收入、收入增长率、毛利率、净资产利润率等数据进行分析，寻找财务稳健、景气度良好的领先行业作为投资的重点；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行业估值和动量分析：通过对市场及各个行业估值水平PE、PB等数据的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横向、纵向分析，进行估值比较，并跟踪各个行业的资金流向、分析师盈利预测指数、机构持仓特征等，进行阶段性行业轮动配置。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（2）股票选择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交银施罗德股票研究分析方法和其它投资分析工具，采用自下而上方式精选具有投资潜力的股票，尤其是受益于人口重大趋势转变的优势行业中具有投资潜力的股票构建股票投资组合。具体分以下两个层次进行股票挑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品质筛选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筛选出在公司治理、财务及管理品质上符合基本品质要求的上市公司，构建备选股票池，主要筛选指标包括：盈利能力指标（如P/E、P/Cash Flow、P/FCF、P/S、P/EBIT等）、经营效率指标（如ROE、ROA、Return on operating assets等）</w:t>
      </w:r>
      <w:r>
        <w:rPr>
          <w:rFonts w:ascii="宋体" w:hAnsi="宋体"/>
          <w:sz w:val="24"/>
        </w:rPr>
        <w:lastRenderedPageBreak/>
        <w:t>和财务状况指标（如D/A、流动比率等）。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多元化价值评估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在备选股票池基础上结合前述行业分析，根据下述标准优先从受益于人口重大趋势转变的战略性优势行业中挑选出具有投资潜力的优质上市公司构建股票组合：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公司治理结构良好，管理规范，信息透明；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主营业务鲜明，盈利能力强，收入和利润稳定增长；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公司具有质量优良的成长性；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公司财务状况良好，具备一定的规模优势和较好的抗风险能力；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公司在管理制度、产品开发、技术进步方面具有相当的核心竞争优势，有良好的市场知名度和较好的品牌效应，处于行业龙头地位。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对上述重点上市公司进行内在价值的评估和成长性跟踪研究，在明确的价值评估基础上选择定价相对合理且成长性可持续的投资标的构建股票组合。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存托凭证的投资策略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金融债、央行票据、地方政府债、企业债、公司债、短期融资券、可转换债券及可分离转债、中期票据、资产支持证券、次级债和债券回购等债券品种。本基金的债券投资采取主动的投资管理方式，获得与风险相匹配的投资收益，以实现在一定程度上规避股票市场的系统性风险和保证基金资产的流动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w:t>
      </w:r>
      <w:r>
        <w:rPr>
          <w:rFonts w:ascii="宋体" w:hAnsi="宋体"/>
          <w:sz w:val="24"/>
        </w:rPr>
        <w:lastRenderedPageBreak/>
        <w:t>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（七）投资决策依据和投资程序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（2）宏观经济发展态势、证券市场运行环境和走势，以及上市公司的基本面；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本基金实行投资决策委员会领导下的基金经理负责制，投资总监、固定收益部总经理是投资决策委员会的执行代表。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w:t>
      </w:r>
      <w:r>
        <w:rPr>
          <w:rFonts w:ascii="宋体" w:hAnsi="宋体"/>
          <w:sz w:val="24"/>
        </w:rPr>
        <w:lastRenderedPageBreak/>
        <w:t>票、债券的投资重点等；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（2）研究部策略分析师、股票分析师、固定收益产品分析师、定量分析师各自独立完成相应的研究报告，为投资决策提供依据；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（3）投资总监每周召集投资例会，根据投资决策委员会的决定，结合市场运行变化，决定具体的投资策略；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具体的投资组合方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本基金投资组合遵循如下投资限制：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1、持有一家上市公司的股票，其市值不得超过基金资产净值的10%；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2、本基金与由本基金管理人管理的其他基金共同持有一家公司发行的证券，不得超过该证券的10%；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在任何交易日买入权证的总金额，不超过上一交易日基金资产净值的0.5%，基金持有的全部权证的市值不超过基金资产净值的3%，基金管理人管理的全部基金持有同一权证的比例不超过该权证的10%。法律法规或中国证监会另有规定的，遵从其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5、现金和到期日不超过1年的政府债券合计不低于基金资产净值的5%，其中现金不包括结算备付金、存出保证金和应收申购款等；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7、本基金持有的同一原始权益人的各类资产支持证券的比例，不得超过基金资产净值的10%；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8、本基金持有的同一（指同一信用级别）资产支持证券的比例，不得超过该资产支持证券规模的10%；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10、本基金财产参与股票发行申购，所申报的金额不得超过本基金的总资产，所申报的股票数量不得超过拟发行股票公司本次发行股票的总量；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14、本基金不得违反《基金合同》关于投资范围和投资比例的约定；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15、本基金投资存托凭证的比例限制依照境内上市交易的股票执行；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16、相关法律法规以及监管部门规定的其它投资限制。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如果法律法规或监管部门对上述约定的投资组合比例规定进行变更的，以变更后的规定为准。如法律法规或监管部门取消上述限制性规定，履行适当程序后，本基金不受上述规定的限制。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5、12、13项以外，由于证券市场波动、上市公司合并或基金规模变动等基金管理人之外的原因导致的投资组合不符合上述约定的比例不在限制之内，但基金管理人应在10个交易日内进行调整，以达到标准。法律法规另有规定的从其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基金管理人应当自《基金合同》生效日起6个月内使基金的投资组合比例符合《基金合同》的有关约定。除投资资产配置比例外，基金托管人对基金的投资比例的监督与检查自本《基金合同》生效日起开始。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（九）禁止行为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2、向他人贷款或提供担保；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4、买卖其他基金份额，但法律法规或中国证监会另有规定的除外；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5、向基金管理人、基金托管人出资或者买卖其基金管理人、基金托管人发行的股票或债券；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7、从事内幕交易、操纵证券价格及其他不正当的证券交易活动；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8、当时有效的法律法规、中国证监会及《基金合同》规定禁止从事的其他行为。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如法律法规或监管部门取消上述禁止性规定，本基金管理人在履行适当程序后可不受上述规定的限制。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（十）风险收益特征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（十一）基金管理人代表基金行使股东及债权人权利的处理原则及方法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1、不谋求对上市公司的控股，不参与所投资上市公司的经营管理；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2、有利于基金资产的安全与增值；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3、基金管理人按照国家有关规定代表基金独立行使股东权利，保护基金份额持有人的利益；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4、基金管理人按照国家有关规定代表基金独立行使债权人权利，保护基金份额持有人的利益。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（十二）基金的融资、融券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本基金可以根据届时有效的有关法律法规和政策的规定进行融资融券。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（十三）侧袋机制的实施和投资运作安排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（十四）基金投资组合报告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本基金托管人中国工商银行根据本基金合同规定，于2026年04月20日复核了本报告中的财务指标、净值表现和投资组合报告等内容，保证复核内容不存在虚假记载、误导性陈述或者重大遗漏。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3,367,745,864.87</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74.42</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3,367,745,864.87</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74.42</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243,890,821.28</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5.39</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243,890,821.28</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5.39</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831,068,370.01</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18.36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82,800,316.07</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1.83</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4,525,505,372.23</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73,018,893.00</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1.62</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313,597,750.39</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6.97</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2,245,165,344.42</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49.90</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21,292,014.70</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151,277,562.92</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74,966,561.70</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203,927,935.15</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4.53</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278,318.16</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183,442,385.00</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4.08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27,967,867.09</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72,811,232.34</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1.62</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3,367,745,864.87</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74.86</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301035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润丰股份</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5,523,667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421,124,372.08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9.36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002271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东方雨虹</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15,315,100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234,474,181.00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5.21</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3,805,805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223,324,637.40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4.96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603345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1,439,521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134,249,728.46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2.98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002078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太阳纸业</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7,093,430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105,195,566.90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2.34</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海大集团</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2,013,228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100,278,886.68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2.23</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002043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兔</w:t>
            </w:r>
            <w:r>
              <w:rPr>
                <w:rFonts w:ascii="Times New Roman" w:hAnsi="Times New Roman"/>
                <w:color w:val="000000"/>
                <w:kern w:val="0"/>
                <w:sz w:val="25"/>
                <w:szCs w:val="24"/>
              </w:rPr>
              <w:t xml:space="preserve"> </w:t>
            </w:r>
            <w:r>
              <w:rPr>
                <w:rFonts w:ascii="Times New Roman" w:hAnsi="Times New Roman"/>
                <w:color w:val="000000"/>
                <w:kern w:val="0"/>
                <w:sz w:val="25"/>
                <w:szCs w:val="24"/>
              </w:rPr>
              <w:t>宝</w:t>
            </w:r>
            <w:r>
              <w:rPr>
                <w:rFonts w:ascii="Times New Roman" w:hAnsi="Times New Roman"/>
                <w:color w:val="000000"/>
                <w:kern w:val="0"/>
                <w:sz w:val="25"/>
                <w:szCs w:val="24"/>
              </w:rPr>
              <w:t xml:space="preserve"> </w:t>
            </w:r>
            <w:r>
              <w:rPr>
                <w:rFonts w:ascii="Times New Roman" w:hAnsi="Times New Roman"/>
                <w:color w:val="000000"/>
                <w:kern w:val="0"/>
                <w:sz w:val="25"/>
                <w:szCs w:val="24"/>
              </w:rPr>
              <w:t>宝</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6,369,150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97,830,144.00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600970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中材国际</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8,194,119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84,645,249.27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1.88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603737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三棵树</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1,367,967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69,355,926.90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1.54</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689009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九号公司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1,506,572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66,620,613.84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1.48</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243,220,087.68</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5.41</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243,220,087.68</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5.41</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670,733.60</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243,890,821.28</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5.42</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092404001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农发清发绿债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101,543,506.85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2202001QF</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国开绿债</w:t>
            </w:r>
            <w:r>
              <w:rPr>
                <w:rFonts w:ascii="Times New Roman" w:hAnsi="Times New Roman"/>
                <w:color w:val="000000"/>
                <w:kern w:val="0"/>
                <w:sz w:val="25"/>
                <w:szCs w:val="24"/>
              </w:rPr>
              <w:t>01</w:t>
            </w:r>
            <w:r>
              <w:rPr>
                <w:rFonts w:ascii="Times New Roman" w:hAnsi="Times New Roman"/>
                <w:color w:val="000000"/>
                <w:kern w:val="0"/>
                <w:sz w:val="25"/>
                <w:szCs w:val="24"/>
              </w:rPr>
              <w:t>清发</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50,684,931.51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250431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40,361,019.18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210315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进出绿色债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30,449,605.48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20,181,024.66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12日,北京证监局给予北京东方雨虹防水技术股份有限公司责令改正的行政监管措施。本基金管理人对证券投资决策程序的说明如下：本基金管理人对证券投资特别是重仓证券的投资有严格的投资决策流程控制，对上述主体发行证券的投资决策程序符合公司投资制度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11.2 基金投资的前十名股票是否超出基金合同规定的备选股票库</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1,043,470.38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76,319,076.47</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5,437,769.22</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82,800,316.07</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国微转债</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670,733.60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4" w:name="_Toc231197009"/>
      <w:r>
        <w:rPr>
          <w:rFonts w:ascii="Times New Roman" w:hAnsi="Times New Roman"/>
          <w:sz w:val="30"/>
        </w:rPr>
        <w:lastRenderedPageBreak/>
        <w:t>十一、基金的业绩</w:t>
      </w:r>
      <w:bookmarkEnd w:id="14"/>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（1）交银趋势A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5.10%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24.35%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10.92%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4.62%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-8.80%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-8.39%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-7.43%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-5.98%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9.72%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81.45%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83.84%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61.53%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21.26%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40.27%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年度半年</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32.39%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20.61%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11.78%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-22.13%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-17.72%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-4.41%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21.76%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16.11%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5.65%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5.13%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-7.69%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12.82%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70.38%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63.14%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21.28%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40.22%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-18.94%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0.195%</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5.69%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-4.97%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10.66%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7.06%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-6.26%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-25.22%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-18.35%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-6.87%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r>
              <w:rPr>
                <w:rFonts w:ascii="Times New Roman" w:hAnsi="Times New Roman"/>
                <w:color w:val="000000"/>
                <w:kern w:val="0"/>
                <w:sz w:val="25"/>
                <w:szCs w:val="24"/>
              </w:rPr>
              <w:t>2010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w:t>
            </w:r>
            <w:r>
              <w:rPr>
                <w:rFonts w:ascii="Times New Roman" w:hAnsi="Times New Roman"/>
                <w:color w:val="000000"/>
                <w:kern w:val="0"/>
                <w:sz w:val="25"/>
                <w:szCs w:val="24"/>
              </w:rPr>
              <w:t>2010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-2.83%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（2）交银趋势C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4.95%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7.63%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23.61%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10.18%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3.99%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-9.43%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-8.94%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-7.43%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9.16%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61320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10.91%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8.75%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bl>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注：本基金业绩比较基准为“75%×沪深300指数收益率+25%×中证综合债券指数收益率”，每日进行再平衡过程。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（1）交银趋势A</w:t>
      </w:r>
    </w:p>
    <w:p w:rsidR="00613206" w:rsidRDefault="00141FE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交银施罗德趋势优先混合型证券投资基金</w:t>
      </w:r>
    </w:p>
    <w:p w:rsidR="00613206" w:rsidRDefault="00141FE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613206" w:rsidRDefault="00141FE1">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（2010年12月22日至2026年03月31日）</w:t>
      </w:r>
    </w:p>
    <w:p w:rsidR="00613206" w:rsidRDefault="008B76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（2）交银趋势C：</w:t>
      </w:r>
    </w:p>
    <w:p w:rsidR="00613206" w:rsidRDefault="008B76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 1、本基金建仓期为自基金合同生效日起的6个月。截至建仓期结束，本基金各项资产配置比例符合基金合同及招募说明书有关投资比例的约定。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2、本基金自2021年08月27日起，开始销售C类份额，投资者提交的申购申请于2021年8月30日被确认并将有效份额登记在册。</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5" w:name="_Toc231197010"/>
      <w:r>
        <w:rPr>
          <w:rFonts w:ascii="Times New Roman" w:hAnsi="Times New Roman"/>
          <w:sz w:val="30"/>
        </w:rPr>
        <w:lastRenderedPageBreak/>
        <w:t>十二、基金的财产</w:t>
      </w:r>
      <w:bookmarkEnd w:id="15"/>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基金资产总值是指购买的各类证券及票据价值、银行存款本息和基金应收的申购基金款以及其他投资所形成的价值总和。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其构成主要有：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1、银行存款及其应计利息；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2、结算备付金及其应计利息；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3、根据有关规定缴纳的保证金及其应收利息；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4、应收证券交易清算款；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5、应收申购款；</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6、股票投资及其估值调整；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7、债券投资及其估值调整和应计利息；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8、权证投资及其估值调整；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9、其他投资及其估值调整；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10、其他资产等。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基金托管人的名义开立资金结算账户和托管专户用于基金的资金结算业务，并以基金托管人和本基金联名的方式开立基金证券账户、以本基金的名义开立银行间债券托管账户并报中国人民银行备案。开立的基金专用账户与基金管理人、基金托管人、基金代销机构和基金注册登记机构自有的财产账户以及其他基金财产账户相独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代销机构的财产，并由基金托管人保管。基金管理人、基金托管人不得将基金财产归入其固有财产；基金管理人、基金托管人因基金财产的管理、运用或其他情形而取得的财产和收益，归入基金财产。基金管理人、基金托管人、基金注册登记机构和基金代销机构以其自有的财产承担其自身的法律责任，其债权人不得对本基金财产行使请求冻结、扣押或其</w:t>
      </w:r>
      <w:r>
        <w:rPr>
          <w:rFonts w:ascii="宋体" w:hAnsi="宋体"/>
          <w:sz w:val="24"/>
        </w:rPr>
        <w:lastRenderedPageBreak/>
        <w:t>他权利。除依法律法规和《基金合同》的规定处分外，基金财产不得被处分。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基金管理人管理运作基金财产所产生的债权，不得与其固有财产产生的债务相互抵销；基金管理人管理运作不同基金的基金财产所产生的债权债务不得相互抵销。</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6" w:name="_Toc231197011"/>
      <w:r>
        <w:rPr>
          <w:rFonts w:ascii="Times New Roman" w:hAnsi="Times New Roman"/>
          <w:sz w:val="30"/>
        </w:rPr>
        <w:lastRenderedPageBreak/>
        <w:t>十三、基金资产的估值</w:t>
      </w:r>
      <w:bookmarkEnd w:id="16"/>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基金资产估值的目的是客观、准确地反映基金资产是否保值、增值，依据经基金资产估值后确定的基金资产净值而计算出的基金份额净值，是计算基金申购与赎回价格的基础。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本基金的估值日为相关的证券交易场所的正常工作日以及国家法律法规规定需要对外披露基金净值的非工作日。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基金所拥有的股票、债券、权证和银行存款本息等资产和负债。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管理人完成估值后，将估值结果以双方认可的方式加密传真至基金托管人，基金托管人按法律法规、《基金合同》规定的估值方法、时间、程序进行复核，复核无误后，以双方认可的方式发送给基金管理人；月末、年中和年末估值复核与基金会计账目的核对同时进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本基金按以下方式进行估值：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w:t>
      </w:r>
      <w:r>
        <w:rPr>
          <w:rFonts w:ascii="宋体" w:hAnsi="宋体"/>
          <w:sz w:val="24"/>
        </w:rPr>
        <w:lastRenderedPageBreak/>
        <w:t>似投资品种的现行市价及重大变化因素，调整最近交易市价，确定公允价格；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（1）送股、转增股、配股和公开增发的新股，按估值日在证券交易所挂牌的同一股票的市价（收盘价）估值；该日无交易的，以最近一日的市价（收盘价）估值；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（3）首次公开发行有明确锁定期的股票，同一股票在交易所上市后，按交易所上市的同一股票的市价（收盘价）估值；非公开发行有明确锁定期的股票，按监管机构或行业协会有关规定确定公允价值。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3、因持有股票而享有的配股权，采用估值技术确定公允价值。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4、全国银行间债券市场交易的债券、资产支持证券等固定收益品种，采用估值技术确定公允价值。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净值信息，基金托管人复核、审查基金管理人计算的基金资产净值。因此，就与本基金有关的会计问题，如经相关各方在平等基础上充分讨论后，仍无法达成一致的意见，按照基金管理人对基金资产净值的计算结果对外予以公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（六）基金份额净值的确认和估值错误的处理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各类基金份额的基金份额净值的计算均保留到小数点后4位，小数点后第5位四舍五入。当估值或份额净值计价错误实际发生时，基金管理人应当立即纠正，并采</w:t>
      </w:r>
      <w:r>
        <w:rPr>
          <w:rFonts w:ascii="宋体" w:hAnsi="宋体"/>
          <w:sz w:val="24"/>
        </w:rPr>
        <w:lastRenderedPageBreak/>
        <w:t>取合理的措施防止损失进一步扩大。当错误达到或超过基金份额净值的0.25%时，基金管理人应报中国证监会备案；当估值错误偏差达到基金份额净值的0.5%时，基金管理人应当公告，并报中国证监会备案。因基金估值错误给投资者造成损失的，应先由基金管理人承担，基金管理人对不应由其承担的责任，有权向过错人追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关于差错处理，本合同的当事人按照以下约定处理：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基金注册登记机构、或代理销售机构、或投资者自身的过错造成差错，导致其他当事人遭受损失的，过错的责任人应当对由于该差错遭受损失的当事人（“受损方”）按下述“差错处理原则”承担赔偿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无法预见、无法避免、无法抗拒，则属不可抗力，按照下述规定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w:t>
      </w:r>
      <w:r>
        <w:rPr>
          <w:rFonts w:ascii="宋体" w:hAnsi="宋体"/>
          <w:sz w:val="24"/>
        </w:rPr>
        <w:lastRenderedPageBreak/>
        <w:t>利的权利；如果获得不当得利的当事人已经将此部分不当得利返还给受损方，则受损方应当将其已经获得的赔偿额加上已经获得的不当得利返还的总和超过其实际损失的差额部分支付给差错责任方。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行政法规、《基金合同》或其他规定，基金管理人自行或依据法院判决、仲裁裁决对受损方承担了赔偿责任，则基金管理人有权向出现过错的当事人进行追索，并有权要求其赔偿或补偿由此发生的费用和遭受的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（4）根据差错处理的方法，需要修改基金注册登记机构的交易数据的，由基金注册登记机构进行更正，并就差错的更正向有关当事人进行确认；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及基金托管人基金份额净值计算错误偏差达到基金份额净值的0.25%时，基金管理人应当报告中国证监会；基金管理人及基金托管人基金份额净值计算错误偏差达到基金份额净值的0.5%时，基金管理人应当公告并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1、与本基金投资有关的证券交易场所遇法定节假日或因其他原因暂停营业时；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2、因不可抗力或其他情形致使基金管理人无法准确评估基金资产价值时；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3、占基金相当比例的投资品种的估值出现重大转变，而基金管理人为保障基金份额持有人的利益，已决定延迟估值；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5、中国证监会认定的其他情形。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1、基金管理人按估值方法的第6项进行估值时，所造成的误差不作为基金资产估值错误处理；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管理人、基金托管人应当积极采取必要的措施消除由此造成的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7" w:name="_Toc231197012"/>
      <w:r>
        <w:rPr>
          <w:rFonts w:ascii="Times New Roman" w:hAnsi="Times New Roman"/>
          <w:sz w:val="30"/>
        </w:rPr>
        <w:lastRenderedPageBreak/>
        <w:t>十四、基金的收益与分配</w:t>
      </w:r>
      <w:bookmarkEnd w:id="17"/>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1、在符合有关基金分红条件的前提下，本基金每年收益分配次数最多为10次，每次收益分配比例不得低于该次可供分配利润的10%，若《基金合同》生效不满3个月可不进行收益分配；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（六）收益分配中发生的费用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采用红利再投资方式免收再投资的费用。基金收益分配时所发生的银行转账或其他手续费用由投资者自行承担。当投资者的现金红利小于一定金额，不足于支付银行转账或其他手续费用时，基金注册登记机构可将基金份额持有人的现金红利自动转为相应类别的基金份额。红利再投资的计算方法，依照《业务规则》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投资者同一日多次申报分红方式变更的，按照《业务规则》执行，最终确认的分红方式以基金注册登记机构记录为准。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8" w:name="_Toc231197013"/>
      <w:r>
        <w:rPr>
          <w:rFonts w:ascii="Times New Roman" w:hAnsi="Times New Roman"/>
          <w:sz w:val="30"/>
        </w:rPr>
        <w:lastRenderedPageBreak/>
        <w:t>十五、基金的费用与税收</w:t>
      </w:r>
      <w:bookmarkEnd w:id="18"/>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8、本基金从C类基金份额的基金财产中计提的销售服务费；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本基金终止清算时所发生费用，按实际支出额从基金财产总值中扣除。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2个工作日内从基金财产中一次性支付给基金管理人。若遇法定节假日、公休假等,支付日期顺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2个工作日内从基金财产中一次性支取。若遇法定节假日、公休假等,支付日期顺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销售服务费划款指令，经基金托管人复核后于次月首日起5个工作日内从基金财产中一次性支付给基金管理人，由基金管理人代付给销售机构。若遇法定节假日、公休假等，支付日期顺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（4）上述一、基金费用的种类中第3－7项、第9项费用，根据有关法规及相应协议规定，按费用实际支出金额列入当期费用，由基金托管人从基金财产中支付。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3、《基金合同》生效前的相关费用，包括但不限于验资费、会计师和律师费、信息披露费用等费用；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基金管理人和基金托管人协商一致后，可根据基金发展情况调整基金管理费率、基金托管费率、销售服务费率等相关费率。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基金管理人必须最迟于新的费率实施日前依照《信息披露办法》的有关规定在指定媒介上公告。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19" w:name="_Toc231197014"/>
      <w:r>
        <w:rPr>
          <w:rFonts w:ascii="Times New Roman" w:hAnsi="Times New Roman"/>
          <w:sz w:val="30"/>
        </w:rPr>
        <w:lastRenderedPageBreak/>
        <w:t>十六、基金的会计与审计</w:t>
      </w:r>
      <w:bookmarkEnd w:id="19"/>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0" w:name="_Toc231197015"/>
      <w:r>
        <w:rPr>
          <w:rFonts w:ascii="Times New Roman" w:hAnsi="Times New Roman"/>
          <w:sz w:val="30"/>
        </w:rPr>
        <w:lastRenderedPageBreak/>
        <w:t>十七、基金的信息披露</w:t>
      </w:r>
      <w:bookmarkEnd w:id="20"/>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基金募集申请经中国证监会核准后，基金管理人在基金份额发售的3日前，将《招募说明书》、《基金合同》摘要登载在指定媒介上；基金管理人、基金托管人应当将《基金合同》、《托管协议》登载在网站上。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（2）《基金合同》是界定《基金合同》当事人的各项权利、义务关系，明确基金份额持有人大会召开的规则及具体程序，说明基金产品的特性等涉及基金投资者重大利益的事项的法律文件。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2、《发售公告》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基金管理人应当在《基金合同》生效的次日在指定媒介上登载《基金合同》生效公告。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分别披露开放日的A类基金份额和C类基金份额所对应的基金份额净值和基金份额累计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w:t>
      </w:r>
      <w:r>
        <w:rPr>
          <w:rFonts w:ascii="宋体" w:hAnsi="宋体"/>
          <w:sz w:val="24"/>
        </w:rPr>
        <w:lastRenderedPageBreak/>
        <w:t>重大影响的下列事件：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（19）本基金连续发生巨额赎回并暂停接受赎回申请或延缓支付赎回款项；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国务院证券监督管理机构核准或者备案，并予以公告。召开基金份额持有人大会的，召集人应当至少提前30日公告基金份额持有人大会的召开时间、会议形式、审议事项、议事程序和表决方式等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基金管理人、基金托管人应当建立健全信息披露管理制度，指定专门部门及高级管理人员负责管理信息披露事务。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1" w:name="_Toc231197016"/>
      <w:r>
        <w:rPr>
          <w:rFonts w:ascii="Times New Roman" w:hAnsi="Times New Roman"/>
          <w:sz w:val="30"/>
        </w:rPr>
        <w:lastRenderedPageBreak/>
        <w:t>十八、侧袋机制</w:t>
      </w:r>
      <w:bookmarkEnd w:id="21"/>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13206" w:rsidRDefault="00141FE1">
      <w:pPr>
        <w:pStyle w:val="1"/>
        <w:snapToGrid w:val="0"/>
        <w:spacing w:beforeLines="0" w:before="240" w:after="240"/>
        <w:rPr>
          <w:rFonts w:ascii="宋体" w:hAnsi="宋体"/>
          <w:szCs w:val="30"/>
        </w:rPr>
      </w:pPr>
      <w:bookmarkStart w:id="22" w:name="_Toc231197017"/>
      <w:r>
        <w:rPr>
          <w:rFonts w:ascii="Times New Roman" w:hAnsi="Times New Roman"/>
          <w:sz w:val="30"/>
        </w:rPr>
        <w:lastRenderedPageBreak/>
        <w:t>十九、风险揭示</w:t>
      </w:r>
      <w:bookmarkEnd w:id="22"/>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者的申购和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份额净赎回申请份额（赎回申请份额总数加上基金转换中转出申请份额总数扣除申购申请份额总数及基金转换中转入申请份额总数后的余额）超过上一日基金总份额的10%时，即认为发生了巨额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（1）全额赎回：当基金管理人认为有能力支付投资者的全部赎回申请时，按正常赎回程序执行。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者的赎回申请有困难或认为支付投资者的赎回申请可能会对基金的资产净值造成较大波动时，基金管理人在当日接受赎回比例不低于上一日基金总份额的10%的前提下，对其余赎回申请延期予以办理。对于基金份额持有人提交的的单笔赎回申请，应当按照其申请赎回份额占当日申请赎回总份额的比例，确定该笔赎回申请当日部分确认的赎回份额；投资者未能赎回部分，除投资者在提交赎回申请时选择将当日未获办理部分予以撤销外，延迟至下一个开放日办理，赎回价格为下一个开放日的价格。依照上述规定转入下一个开放日的赎回不享有赎回优先权，并以此类推，直到全部赎回为止。部分顺延赎回不受单笔赎回最低份额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w:t>
      </w:r>
      <w:r>
        <w:rPr>
          <w:rFonts w:ascii="宋体" w:hAnsi="宋体"/>
          <w:sz w:val="24"/>
        </w:rPr>
        <w:lastRenderedPageBreak/>
        <w:t>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本基金连续2个或2个开放日以上发生巨额赎回，如基金管理人认为有必要，可暂停接受赎回申请；已经确认成功的赎回申请可以延缓支付赎回款项，但不得超过20个工作日，并应当在指定媒介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1、本基金属于混合型基金，将维持较高的股票持仓比例。如果股票市场出现整体下跌，本基金的净值表现将受到影响。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力图通过把握中国人口变化的重大趋势，精选受益其中的优势行业和个股。在选股策略上本基金特有的风险主要来自两个方面：一是对行业及上市公司的基本面研究是否准确、深入，二是对行业和股票的优选和判断是否科学、准确。基本面研究及上市企业分析的错误均可能导致所选择的证券不能完全符合本基金的预期目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（六）投资科创板股票的特定风险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科创板整体投资门槛较高，二级市场上个人投资者参与度相对较低，机构持有个股大量流通盘导致个股流动性较差，基金组合存在无法及时变现及其他相关流动性风险。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（七）投资存托凭证的特定风险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w:t>
      </w:r>
      <w:r>
        <w:rPr>
          <w:rFonts w:ascii="宋体" w:hAnsi="宋体"/>
          <w:sz w:val="24"/>
        </w:rPr>
        <w:lastRenderedPageBreak/>
        <w:t>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（九）其他风险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3" w:name="_Toc231197018"/>
      <w:r>
        <w:rPr>
          <w:rFonts w:ascii="Times New Roman" w:hAnsi="Times New Roman"/>
          <w:sz w:val="30"/>
        </w:rPr>
        <w:lastRenderedPageBreak/>
        <w:t>二十、基金合同的终止与基金财产的清算</w:t>
      </w:r>
      <w:bookmarkEnd w:id="23"/>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（二）基金财产的清算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（1）《基金合同》终止后，由基金财产清算小组统一接管基金财产；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（7）对基金财产进行分配。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（三）清算费用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w:t>
      </w:r>
      <w:r>
        <w:rPr>
          <w:rFonts w:ascii="宋体" w:hAnsi="宋体"/>
          <w:sz w:val="24"/>
        </w:rPr>
        <w:lastRenderedPageBreak/>
        <w:t>清算费用由基金财产清算小组优先从基金财产中支付。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（四）基金财产清算剩余资产的分配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（五）基金财产清算的公告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合同》终止并报中国证监会备案后5个工作日内由基金财产清算小组进行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（六）基金财产清算账册及文件的保存</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4" w:name="_Toc231197019"/>
      <w:r>
        <w:rPr>
          <w:rFonts w:ascii="Times New Roman" w:hAnsi="Times New Roman"/>
          <w:sz w:val="30"/>
        </w:rPr>
        <w:lastRenderedPageBreak/>
        <w:t>二十一、基金合同的内容摘要</w:t>
      </w:r>
      <w:bookmarkEnd w:id="24"/>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（一）《基金合同》当事人的权利与义务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依法募集基金；</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自《基金合同》生效日起，根据法律法规和《基金合同》独立运用并管理基金财产；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依照《基金合同》收取基金管理费以及法律法规规定或中国证监会批准的其他收入；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销售基金份额；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召集基金份额持有人大会；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依据《基金合同》及有关法律规定监督基金托管人，如认为基金托管人违反了《基金合同》及国家有关法律规定，应呈报中国证监会和其他监管部门，并采取必要措施保护基金投资者的利益；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在基金托管人更换时，提名新的基金托管人；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选择、委托、更换基金代销机构，对基金代销机构的相关行为进行监督和处理；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担任或委托其他符合条件的机构担任基金注册登记机构办理基金注册登记业务并获得《基金合同》规定的费用；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在《基金合同》约定的范围内，拒绝或暂停受理申购与赎回申请；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（12）在符合有关法律法规和《基金合同》的前提下，制订和调整《业务规则》，决定和调整除调高管理费率和托管费率之外的基金相关费率结构和收费方式；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（13）依照法律法规为基金的利益对被投资公司行使股东权利，为基金的利益行使因基金财产投资于证券所产生的权利；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在法律法规允许的前提下，为基金的利益依法为基金进行融资融券；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（15）以基金管理人的名义，代表基金份额持有人的利益行使诉讼权利或者实</w:t>
      </w:r>
      <w:r>
        <w:rPr>
          <w:rFonts w:ascii="宋体" w:hAnsi="宋体"/>
          <w:sz w:val="24"/>
        </w:rPr>
        <w:lastRenderedPageBreak/>
        <w:t>施其他法律行为；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（16）选择、更换律师事务所、会计师事务所、证券经纪商或其他为基金提供服务的外部机构；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（17）法律法规和《基金合同》规定的其他权利。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法募集基金，办理或者委托经中国证监会认定的其他机构代为办理基金份额的发售、申购、赎回和登记事宜；如认为基金代销机构违反《基金合同》、基金销售与服务代理协议及有关法律法规规定，应呈报中国证监会和其他监管部门，并采取必要措施保护投资者的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办理基金备案手续；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自《基金合同》生效日起,以诚实信用、谨慎尽责的原则管理和运用基金财产；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配备足够的具有专业资格的人员进行基金投资分析、决策，以专业化的经营方式管理和运作基金财产；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建立健全内部风险控制、监察与稽核、财务管理及人事管理等制度，保证所管理的基金财产和基金管理人的财产相互独立,对所管理的不同基金分别管理，分别记账，进行证券投资；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除依据《基金法》、《基金合同》及其他有关规定外,不得利用基金财产为自己及任何第三人谋取利益，不得委托第三人运作基金财产；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依法接受基金托管人的监督；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采取适当合理的措施使计算基金份额认购、申购、赎回和注销价格的方法符合《基金合同》等法律文件的规定，按有关规定计算并公告基金净值信息，确定基金份额申购、赎回的价格；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进行基金会计核算并编制基金财务会计报告；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编制季度报告、中期报告和年度报告；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严格按照《基金法》、《基金合同》及其他有关规定，履行信息披露及报告义务；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保守基金商业秘密，不泄露基金投资计划、投资意向等。除《基金法》、《基金合同》及其他有关规定另有规定外，在基金信息公开披露前应予保密，</w:t>
      </w:r>
      <w:r>
        <w:rPr>
          <w:rFonts w:ascii="宋体" w:hAnsi="宋体"/>
          <w:sz w:val="24"/>
        </w:rPr>
        <w:lastRenderedPageBreak/>
        <w:t>不向他人泄露；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按《基金合同》的约定确定基金收益分配方案，及时向基金份额持有人分配基金收益；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按规定受理申购与赎回申请，及时、足额支付赎回款项；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依据《基金法》、《基金合同》及其他有关规定召集基金份额持有人大会或配合基金托管人、基金份额持有人依法召集基金份额持有人大会；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按规定保存基金财产管理业务活动的会计账册、报表、记录和其他相关资料15年以上；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 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组织并参加基金财产清算小组,参与基金财产的保管、清理、估价、变现和分配；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 面临解散、依法被撤销或者被依法宣告破产时，及时报告中国证监会并通知基金托管人；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 因违反《基金合同》导致基金财产的损失或损害基金份额持有人合法权益时，应当承担赔偿责任，其赔偿责任不因其退任而免除；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当基金管理人将其义务委托第三方处理时，应当对第三方处理有关基金事务的行为承担责任；但因第三方责任导致基金财产或基金份额持有人利益受到损失，而基金管理人首先承担了责任的情况下，基金管理人有权向第三方追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（26）建立并保存基金份额持有人名册，定期或不定期向基金托管人提供基金</w:t>
      </w:r>
      <w:r>
        <w:rPr>
          <w:rFonts w:ascii="宋体" w:hAnsi="宋体"/>
          <w:sz w:val="24"/>
        </w:rPr>
        <w:lastRenderedPageBreak/>
        <w:t>份额持有人名册；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 法律法规及中国证监会规定的和《基金合同》约定的其他义务。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基金托管人的权利与义务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自《基金合同》生效日起，依法律法规和《基金合同》的规定安全保管基金财产；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依《基金合同》约定获得基金托管费以及法律法规规定或监管部门批准的其他收入；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以基金托管人和基金联名的方式在中国证券登记结算有限公司上海分公司和深圳分公司开设证券账户；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以基金托管人名义开立证券交易资金账户，用于证券交易资金清算；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以基金的名义在中央国债登记结算有限公司开设银行间债券托管账户，负责基金投资债券的后台匹配及资金的清算；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提议召开或召集基金份额持有人大会；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在基金管理人更换时，提名新的基金管理人；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法律法规和《基金合同》规定的其他权利。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以诚实信用、勤勉尽责的原则持有并安全保管基金财产；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设立专门的基金托管部门，具有符合要求的营业场所，配备足够的、合格的熟悉基金托管业务的专职人员，负责基金财产托管事宜；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名册登记、账户设置、资金划拨、账册记录等方面相互独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除依据《基金法》、《基金合同》及其他有关规定外，不得利用基金财产</w:t>
      </w:r>
      <w:r>
        <w:rPr>
          <w:rFonts w:ascii="宋体" w:hAnsi="宋体"/>
          <w:sz w:val="24"/>
        </w:rPr>
        <w:lastRenderedPageBreak/>
        <w:t>为自己及任何第三人谋取利益，不得委托第三人托管基金财产；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保管由基金管理人代表基金签订的与基金有关的重大合同及有关凭证；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按规定开设基金财产的资金账户和证券账户,按照《基金合同》的约定，根据基金管理人的投资指令，及时办理清算、交割事宜；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保守基金商业秘密，除《基金法》、《基金合同》及其他有关规定另有规定外，在基金信息公开披露前予以保密，不得向他人泄露；</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复核、审查基金管理人计算的基金资产净值、各类基金份额净值、基金份额申购、赎回价格；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办理与基金托管业务活动有关的信息披露事项；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保存基金托管业务活动的记录、账册、报表和其他相关资料15年以上；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建立并保存基金份额持有人名册；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按规定制作相关账册并与基金管理人核对；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依据基金管理人的指令或有关规定向基金份额持有人支付基金收益和赎回款项；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按照规定召集基金份额持有人大会或配合基金管理人、基金份额持有人依法召集基金份额持有人大会；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按照法律法规和《基金合同》的规定监督基金管理人的投资运作；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 参加基金财产清算小组，参与基金财产的保管、清理、估价、变现和分配；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面临解散、依法被撤销或者被依法宣告破产时，及时报告中国证监会和银行监管机构，并通知基金管理人；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 因违反《基金合同》导致基金财产损失时，应承担赔偿责任，其赔偿责任不因其退任而免除；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 按规定监督基金管理人按法律法规和《基金合同》规定履行自己的义务，基金管理人因违反《基金合同》造成基金财产损失时，应为基金利益向基金管</w:t>
      </w:r>
      <w:r>
        <w:rPr>
          <w:rFonts w:ascii="宋体" w:hAnsi="宋体"/>
          <w:sz w:val="24"/>
        </w:rPr>
        <w:lastRenderedPageBreak/>
        <w:t>理人追偿；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执行生效的基金份额持有人大会的决定；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法律法规及中国证监会规定的和《基金合同》约定的其他义务。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购买本基金基金份额的行为即视为对《基金合同》的承认和接受，基金投资者自取得依据《基金合同》募集的基金份额，即成为本基金份额持有人和《基金合同》的当事人，直至其不再持有本基金的基金份额。基金份额持有人作为《基金合同》当事人并不以在《基金合同》上书面签章或签字为必要条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分享基金财产收益；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参与分配清算后的剩余基金财产；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依法申请赎回其持有的基金份额；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按照规定要求召开基金份额持有人大会；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出席或者委派代表出席基金份额持有人大会，对基金份额持有人大会审议事项行使表决权；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查阅或者复制公开披露的基金信息资料；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监督基金管理人的投资运作；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对基金管理人、基金托管人、基金销售机构损害其合法权益的行为依法提起诉讼；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法律法规和《基金合同》规定的其他权利。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遵守《基金合同》；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缴纳基金认购、申购款项及法律法规和《基金合同》所规定的费用；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在其持有的基金份额范围内，承担基金亏损或者《基金合同》终止的有限责任；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不从事任何有损基金及其他《基金合同》当事人合法权益的活动；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返还在基金交易过程中因任何原因，自基金管理人、基金托管人及代销</w:t>
      </w:r>
      <w:r>
        <w:rPr>
          <w:rFonts w:ascii="宋体" w:hAnsi="宋体"/>
          <w:sz w:val="24"/>
        </w:rPr>
        <w:lastRenderedPageBreak/>
        <w:t>机构、其他基金份额持有人处获得的不当得利；</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执行生效的基金份额持有人大会的决定；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法律法规及中国证监会规定的和《基金合同》约定的其他义务。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1、基金份额持有人大会由基金份额持有人组成，基金份额持有人的合法授权代表有权代表基金份额持有人出席会议并表决。基金份额持有人持有的每一基金份额拥有平等的投票权。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2、当出现或需要决定下列事由之一的，应当召开基金份额持有人大会：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（8）变更基金投资目标、范围或策略（法律法规和中国证监会另有规定的除外）；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以下情况可由基金管理人和基金托管人协商后修改，不需召开基金份额持有人大会：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w:t>
      </w:r>
      <w:r>
        <w:rPr>
          <w:rFonts w:ascii="宋体" w:hAnsi="宋体"/>
          <w:sz w:val="24"/>
        </w:rPr>
        <w:lastRenderedPageBreak/>
        <w:t>赎回费率及销售服务费率；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（4）调整基金份额类别设置、对基金份额分类办法及规则进行调整；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（5）因相应的法律法规发生变动而应当对《基金合同》进行修改；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（6）对《基金合同》的修改对基金份额持有人利益无实质性不利影响或修改不涉及《基金合同》当事人权利义务关系发生变化；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（7）除按照法律法规和《基金合同》规定应当召开基金份额持有人大会的以外的其他情形。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w:t>
      </w:r>
      <w:r>
        <w:rPr>
          <w:rFonts w:ascii="宋体" w:hAnsi="宋体"/>
          <w:sz w:val="24"/>
        </w:rPr>
        <w:lastRenderedPageBreak/>
        <w:t>益登记日。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召开基金份额持有人大会，召集人应于会议召开前30天，在至少一家指定媒介公告。基金份额持有人大会通知应至少载明以下内容：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（2）会议拟审议的事项、议事程序和表决形式；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开会方式并进行表决的情况下，由会议召集人决定通讯方式和书面表决方式，并在会议通知中说明本次基金份额持有人大会所采取的具体通讯方式、委托的公证机关及其联系方式和联系人、书面表决意见寄交的截止时间和收取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 不影响表决意见的计票效力。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会议的召开方式由会议召集人确定，但更换基金管理人和基金托管人必须以现场开会方式召开。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托管人不派代表列席的，不影响表决效力。现场开会同时符合以下条件时，可以进行基金份额持有人大会议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1）会议召集人按《基金合同》规定公布会议通知后，在2个工作日内连续公布相关提示性公告；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规定通知基金托管人（如果基金托管人为召集人，则基金托管人应该按《基金合同》规定通知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注册机构记录相符，并且委托人出具的代理投票授权委托证明符合法律法规、《基金合同》和会议通知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（3）在法律法规和监管机关允许的情况下，本基金亦可采用网络、电话等其他非书面方式由基金份额持有人向其授权代表进行授权。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6、议事内容与程序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单独或合并持有权益登记日基金总份额10%（含10%）以上的基金份额持有人可以在大会召集人发出会议通知前向大会召集人提交需由基金份额持有人大会审议表决的提案；也可以在会议通知发出后向大会召集人提交临时提案，临时提案应当在大会召开日至少35天前提交召集人并由召集人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基金份额持有人大会的召集人发出召集会议的通知后，对原有提案的修改应当在基金份额持有人大会召开日30天前公告。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召集人对于基金管理人、基金托管人和基金份额持有人提交的临时提案进行审核，符合条件的应当在大会召开日30天前公告。大会召集人应当按照以下原则对提案进行审核：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关联性。大会召集人对于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程序性。大会召集人可以对提案涉及的程序性问题做出决定。如将提案进行分拆或合并表决，需征得原提案人同意；原提案人不同意变更的，大会主持人可以就程序性问题提请基金份额持有人大会做出决定，并按照基金份额持有人大会决定的程序进行审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独或合并持有权益登记日基金总份额10%（含10%）以上的基金份额持有人提交基金份额持有人大会审议表决的提案，或基金管理人或基金托管人提交基金份额持有人大会审议表决的提案，未获基金份额持有人大会审议通过，就同一提案再次提请基金份额持有人大会审议，其时间间隔不少于6个月。法律法规另有规定除</w:t>
      </w:r>
      <w:r>
        <w:rPr>
          <w:rFonts w:ascii="宋体" w:hAnsi="宋体"/>
          <w:sz w:val="24"/>
        </w:rPr>
        <w:lastRenderedPageBreak/>
        <w:t>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基金份额持有人大会的召集人发出召开会议的通知后，如果需要对原有提案进行修改，应当最迟在基金份额持有人大会召开前30日公告。否则，会议的召开日期应当顺延并保证至少与公告日期有30日的间隔期。</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不出席或主持基金份额持有人大会，不影响基金份额持有人大会作出的决议的效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会议召集人应当制作出席会议人员的签名册。签名册载明参加会议人员姓名（或单位名称）、身份证号码、持有或代表有表决权的基金份额、委托人姓名（或单位名称）等事项。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以特别决议通过方为有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提交符合会议通知中规定的确认投资者身份文件的表决视为有效出席的投资者，符合会议通知规定的书面表决意见视为有效表决，表决意见模糊不清或相互矛盾的视为弃权表决，但应当计入出具书面意见的基金份额持有人所代表的基金份额总数。</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9、生效与公告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w:t>
      </w:r>
      <w:r>
        <w:rPr>
          <w:rFonts w:ascii="宋体" w:hAnsi="宋体"/>
          <w:sz w:val="24"/>
        </w:rPr>
        <w:lastRenderedPageBreak/>
        <w:t>准或者备案。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基金份额持有人大会的决议自中国证监会依法核准或者出具无异议意见之日起生效。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基金份额持有人大会决议自生效日起2日内在至少一家指定媒介上公告。如果采用通讯方式进行表决，在公告基金份额持有人大会决议时，必须将公证书全文、公证机构、公证员姓名等一同公告。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生效的基金份额持有人大会决议对全体基金份额持有人、基金管理人、基金托管人均有约束力。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（3）通讯开会的直接出具书面意见或授权他人代表出具书面意见的基金份额持有人所持有的基金份额不小于在权益登记日相关基金份额的二分之一（含二分之一）；</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（5）现场开会由出席大会的基金份额持有人和代理人所持表决权的50%以上（含50%）选举产生一名基金份额持有人作为该次基金份额持有人大会的主持人；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w:t>
      </w:r>
      <w:r>
        <w:rPr>
          <w:rFonts w:ascii="宋体" w:hAnsi="宋体"/>
          <w:sz w:val="24"/>
        </w:rPr>
        <w:lastRenderedPageBreak/>
        <w:t>之一以上（含二分之一）通过；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（三）《基金合同》的变更与终止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（1）以下变更《基金合同》的事项应经基金份额持有人大会决议通过：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1）更换基金管理人；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2）更换基金托管人；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4）提高基金管理人、基金托管人的报酬标准或提高销售服务费率；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5）变更基金类别；</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6）变更基金投资目标、范围或策略（法律法规和中国证监会另有规定的除外）；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8）变更基金份额持有人大会召开程序；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9）其他可能对基金当事人权利和义务产生重大影响的事项。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但出现下列情况时，可不经基金份额持有人大会决议，由基金管理人和基金托管人同意后变更并公告，并报中国证监会备案：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3）在法律法规和《基金合同》规定的范围内调整本基金的申购费率、调低赎回费率及销售服务费率；</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4）调整基金份额类别设置、对基金份额分类办法及规则进行调整；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5）因相应的法律法规发生变动而应当对《基金合同》进行修改；</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6）对《基金合同》的修改对基金份额持有人利益无实质性不利影响或修改不涉及《基金合同》当事人权利义务关系发生变化；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7）除按照法律法规和《基金合同》规定应当召开基金份额持有人大会的以外的其他情形。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（2）关于《基金合同》变更的基金份额持有人大会决议经中国证监会核准生</w:t>
      </w:r>
      <w:r>
        <w:rPr>
          <w:rFonts w:ascii="宋体" w:hAnsi="宋体"/>
          <w:sz w:val="24"/>
        </w:rPr>
        <w:lastRenderedPageBreak/>
        <w:t>效后方可执行，基金管理人应自中国证监会核准之日起在指定媒介公告。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应提交中国国际经济贸易仲裁委员会根据该会当时有效的仲裁规则进行仲裁，仲裁地点为北京，仲裁裁决是终局性的并对各方当事人具有约束力，仲裁费由败诉方承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《基金合同》可印制成册，供投资者在基金管理人、基金托管人、代销机构的办公场所和营业场所查阅；投资者也可按工本费购买《基金合同》复制件或复印件，但内容应以《基金合同》正本为准。</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5" w:name="_Toc231197020"/>
      <w:r>
        <w:rPr>
          <w:rFonts w:ascii="Times New Roman" w:hAnsi="Times New Roman"/>
          <w:sz w:val="30"/>
        </w:rPr>
        <w:lastRenderedPageBreak/>
        <w:t>二十二、托管协议的内容摘要</w:t>
      </w:r>
      <w:bookmarkEnd w:id="25"/>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注册资本：人民币2亿元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 有限责任公司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联系人：郭佳敏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住所：北京市西城区复兴门内大街55号（100032）</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电话：（010）66105799</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传真：（010）66105798</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联系人：洪渊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注册资本：人民币35,640,625.71万元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批准设立机关和设立文号：国务院《关于中国人民银行专门行使中央银行职能的决定》（国发[1983]146号）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经营范围：办理人民币存款、贷款、同业拆借业务；国内外结算；办理票据承</w:t>
      </w:r>
      <w:r>
        <w:rPr>
          <w:rFonts w:ascii="宋体" w:hAnsi="宋体"/>
          <w:sz w:val="24"/>
        </w:rPr>
        <w:lastRenderedPageBreak/>
        <w:t>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如法律法规或监管机构以后允许本基金投资其他品种，基金管理人在履行适当程序后，可以将其纳入投资范围，并可依据届时有效的法律法规适时合理地调整投资范围。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本基金不得投资于相关法律法规及《基金合同》禁止投资的投资工具。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60%-95%；债券、货币市场工具、现金、权证、资产支持证券以及法律法规或中国证监会允许基金投资的其他证券品种占基金资产的5%-40%，其中基金持有的权证不超过基金资产净值的3%，基金保留的现金以及投资于到期日在一年以内的政府债券的比例合计不低于基金资产净值的</w:t>
      </w:r>
      <w:r>
        <w:rPr>
          <w:rFonts w:ascii="宋体" w:hAnsi="宋体"/>
          <w:sz w:val="24"/>
        </w:rPr>
        <w:lastRenderedPageBreak/>
        <w:t>5%，现金不包括结算备付金、存出保证金和应收申购款等。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在基金实际管理过程中，基金管理人将根据中国宏观经济情况和证券市场的阶段性变化，在上述组合比例范围内，适时调整基金资产在股票、债券及货币市场工具等投资品种之间的配置比例。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因基金规模或市场变化等因素导致投资组合不符合上述规定的，基金管理人应在合理的期限内调整基金的投资组合，以符合上述比例限定。法律法规另有规定时，从其规定。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如法律法规或监管机构以后允许本基金投资其他品种，基金管理人在履行适当程序后，可以将其纳入投资范围，并可依据届时有效的法律法规适时合理地调整投资范围。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a、持有一家上市公司的股票，其市值不得超过基金资产净值的10%；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b、本基金进入全国银行间同业市场进行债券回购的资金余额不得超过基金资产净值的40%；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c、本基金在任何交易日买入权证的总金额，不超过上一交易日基金资产净值的0.5%，基金持有的全部权证的市值不超过基金资产净值的3%。法律法规或中国证监会另有规定的，遵从其规定；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d、现金和到期日不超过1年的政府债券合计不低于基金资产净值的5%，其中现金不包括结算备付金、存出保证金和应收申购款等；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e、本基金持有的全部资产支持证券，其市值不得超过基金资产净值的20%；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f、本基金持有的同一原始权益人的各类资产支持证券的比例，不得超过基金资产净值的10%；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g、本基金持有的同一（指同一信用级别）资产支持证券的比例，不得超过该资产支持证券规模的10%；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h、本基金财产参与股票发行申购，所申报的金额不得超过本基金的总资产，所申报的股票数量不得超过拟发行股票公司本次发行股票的总量；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w:t>
      </w:r>
      <w:r>
        <w:rPr>
          <w:rFonts w:ascii="宋体" w:hAnsi="宋体"/>
          <w:sz w:val="24"/>
        </w:rPr>
        <w:lastRenderedPageBreak/>
        <w:t>部投资组合持有一家上市公司发行的可流通股票，不得超过该上市公司可流通股票的30%；</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k、本基金与私募类证券资管产品及中国证监会认定的其他主体为交易对手开展逆回购交易的，可接受质押品的资质要求应当与基金合同约定的投资范围保持一致；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一只基金持有一家公司发行的流通受限证券，其市值不得超过基金资产净值的百分之二；一只基金持有的所有流通受限证券，其市值不得超过该基金资产净值的百分之十；经基金管理人和托管人协商，可对以上比例进行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本基金投资存托凭证的比例限制依照境内上市交易的股票执行。如果法律法规或监管部门对上述约定的投资组合比例规定进行变更的，以变更后的规定为准。如法律法规或监管部门取消上述限制性规定，履行适当程序后，本基金不受上述规定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除投资资产配置外，基金托管人对基金的投资的监督和检查自本《基金合同》生效日起开始。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（3）法规允许的基金投资比例调整期限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d、j、k项以外，由于证券市场波动、上市公司合并或基金规模变动等基金管理人之外的原因导致的投资组合不符合上述约定的比例，不在限制之内，但基金管理人应在10个交易日内进行调整，以达到规定的投资比例限制要求。法律法规另有规定的从其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基金管理人在其可预见资产规模大幅变动的情况下，至少提前2个工作日正式向基金托管人发函说明基金可能变动规模和公司应对措施，便于基金托管人实施交易监督。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（4）本基金可以按照国家的有关规定进行融资融券。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（5）相关法律、法规或部门规章规定的其他比例限制。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基金托管人对基金投资的监督和检查自《基金合同》生效日起开始。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w:t>
      </w:r>
      <w:r>
        <w:rPr>
          <w:rFonts w:ascii="宋体" w:hAnsi="宋体"/>
          <w:sz w:val="24"/>
        </w:rPr>
        <w:lastRenderedPageBreak/>
        <w:t>资禁止行为进行监督：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（2）向他人贷款或提供担保；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（4）买卖其他基金份额，但法律法规或中国证监会另有规定的除外；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（5）向基金管理人、基金托管人出资或者买卖其基金管理人、基金托管人发行的股票或债券；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（7）从事内幕交易、操纵证券价格及其他不正当的证券交易活动；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（8）当时有效的法律法规、中国证监会及《基金合同》规定禁止从事的其他行为。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如法律法规或监管部门取消上述禁止性规定，基金管理人在履行适当程序后可不受上述规定的限制。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禁止从事的关联交易的规定，基金管理人和基金托管人应事先相互提供与本机构有控股关系的股东或与本机构有其他重大利害关系的公司名单及其更新，加盖公章并书面提交，并确保所提供的关联交易名单的真实性、完整性、全面性。基金管理人有责任保管真实、完整、全面的关联交易名单，并负责及时更新该名单。名单变更后基金管理人应及时发送基金托管人，基金托管人于2个工作日内进行回函确认已知名单的变更。如果基金托管人在运作中严格遵循了监督流程，基金管理人仍违规进行关联交易，并造成基金财产损失的，由基金管理人承担责任。基金托管人发现基金管理人与关联交易名单中列示的关联方进行法律法规禁止基金从事的关联交易时，基金托管人应及时提醒并协助基金管理人采取必要措施阻止该关联交易的发生，若基金托管人采取必要措施后仍无法阻止关联交易发生时，基金托管人有权向中国证监会报告。对于交易所场内已成交的违规关联交易，基金托管人应按相关法律法规和交易所规则的规定进行结算，同时向中国证监会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5、基金托管人依据有关法律法规的规定和《基金合同》的约定对基金管理人参与银行间债券市场进行监督。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（1）基金托管人根据法律法规规定及《基金合同》的约定，按以下方式对基金管理人参与银行间市场交易的交易对手资信风险控制措施进行监督。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向基金托管人提供符合法律法规及行业标准的银行间市场交易对手的名单，并按照审慎的风险控制原则在该名单中约定各交易对手所适用的交易结算方式。基金托管人在收到名单后2个工作日内确认收到该名单。基金管理人应定期或不定期对银行间市场现券及回购交易对手的名单进行更新，名单中增加或减少银行间市场交易对手时须向基金托管人提出申请，基金托管人确认收到后，对名单进行更新。基金管理人收到基金托管人确认后，被确认调整的名单开始生效，新名单生效前已与本次剔除的交易对手所进行但尚未结算的交易，仍应按照协议进行结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基金托管人有权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（2）基金托管人对于基金管理人参与银行间市场交易的交易方式的控制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银行间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时造成基金资产损失的，基金托管人不承担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参与银行间市场交易的核心交易对手为中国工商银行股份有限公司、中国银行股份有限公司、中国建设银行股份有限公司、中国农业银行股份有限公司、交通银行股份有限公司、招商银行股份有限公司、中国邮政储蓄银行有限责任公司、中信银行股份有限公司和民生银行股份有限公司，基金管理人与基金托管人协商一致后，可以根据当时的市场情况调整核心交易对手名单。基金管理人有责任控制交易对手的资信风险，在与核心交易对手以外的交易对手进行交易时，由于交易对手资信风险引起的损失先由基金管理人承担，其后有权要求相关责任人进行赔偿，如果基金托管人在运作中严格遵循了上述监督流程，则对于由于交易对</w:t>
      </w:r>
      <w:r>
        <w:rPr>
          <w:rFonts w:ascii="宋体" w:hAnsi="宋体"/>
          <w:sz w:val="24"/>
        </w:rPr>
        <w:lastRenderedPageBreak/>
        <w:t>手资信风险引起的损失，不承担赔偿责任。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6、基金托管人对基金管理人选择存款银行进行监督。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的信用风险主要包括存款银行的信用等级、存款银行的支付能力等涉及到存款银行选择方面的风险。本基金核心存款银行名单为中国工商银行股份有限公司、中国银行股份有限公司、中国建设银行股份有限公司、中国农业银行股份有限公司、交通银行股份有限公司、招商银行股份有限公司、中国邮政储蓄银行有限责任公司、中信银行股份有限公司和民生银行股份有限公司，本基金投资除核心存款银行以外的银行存款出现由于存款银行信用风险而造成的损失时，先由基金管理人负责赔偿，之后有权要求相关责任人进行赔偿，如果基金托管人在运作过程中遵循上述监督流程，则对于由于存款银行信用风险引起的损失，不承担赔偿责任。基金管理人与基金托管人协商一致后，可以根据当时的市场情况对于核心存款银行名单进行调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（4）基金投资流通受限证券前，基金管理人应向基金托管人提供符合法律法规要求的有关书面信息，包括但不限于拟发行证券主体的中国证监会批准文件、发</w:t>
      </w:r>
      <w:r>
        <w:rPr>
          <w:rFonts w:ascii="宋体" w:hAnsi="宋体"/>
          <w:sz w:val="24"/>
        </w:rPr>
        <w:lastRenderedPageBreak/>
        <w:t>行证券数量、发行价格、锁定期，基金拟认购的数量、价格、总成本、总成本占基金资产净值的比例、已持有流通受限证券市值占基金资产净值的比例、资金划付时间等。基金管理人应保证上述信息的真实、完整，并应至少于拟执行投资指令前两个工作日将上述信息书面发至基金托管人，保证基金托管人有足够的时间进行审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已切实履行监督职责，则不承担任何责任。如果基金托管人没有切实履行监督职责，导致本基金出现风险，基金托管人应承担连带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基金托管人发现基金管理人的投资指令违反关法律法规规定或者违反《基金合同》约定的，应当拒绝执行，立即通知基金管理人，并向中国证监会报告。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w:t>
      </w:r>
      <w:r>
        <w:rPr>
          <w:rFonts w:ascii="宋体" w:hAnsi="宋体"/>
          <w:sz w:val="24"/>
        </w:rPr>
        <w:lastRenderedPageBreak/>
        <w:t>法规和其他有关规定，或者违反《基金合同》约定的，应当立即通知基金管理人，并报告中国证监会。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律法规要求需向中国证监会报送基金监督报告的，基金管理人应积极配合提供相关数据资料和制度等。</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w:t>
      </w:r>
      <w:r>
        <w:rPr>
          <w:rFonts w:ascii="宋体" w:hAnsi="宋体"/>
          <w:sz w:val="24"/>
        </w:rPr>
        <w:lastRenderedPageBreak/>
        <w:t>或采取拖延、欺诈等手段妨碍基金管理人进行有效监督，情节严重或经基金管理人提出警告仍不改正的，基金管理人应报告中国证监会。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 基金财产保管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募集的基金份额总额、基金募集金额、基金份额持有人人数符合《基金法》、《运作办法》等有关规定后，由基金管理人聘请具有从事证券业务资格的会计师事务所进行验资，基金注册登记机构应将募集的属于本基金财产的全部资金划入基金管理人为本基金开立的备付金账户中，再由基金管理人将全部资金划入基金托管人为基金开立的资产托管专户中，基金托管人在收到资金当日出具确认文件，之后由会计师事务所出具验资报告，出具的验资报告应由参加验资的2名以上（含2名）中国注册会计师签字有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其营业机构开设资产托管专户，保管基金的银行存款。该资产托管专户是指基金托管人在集中托管模式下，代表所托管的基金与中国证券登记结算有限责任公司进行一级结算的专用账户。该账户的开设和管理由基金托管人承担。本基金的一切货币收支活动，均需通过基金托管人的资产托管</w:t>
      </w:r>
      <w:r>
        <w:rPr>
          <w:rFonts w:ascii="宋体" w:hAnsi="宋体"/>
          <w:sz w:val="24"/>
        </w:rPr>
        <w:lastRenderedPageBreak/>
        <w:t>专户进行。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资产托管专户的开立和使用，限于满足开展本基金业务的需要。基金托管人和基金管理人不得假借本基金的名义开立其他任何银行账户；亦不得使用基金的任何银行账户进行本基金业务以外的活动。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资产托管专户的管理应符合《人民币银行结算账户管理办法》、《现金管理暂行条例》、《人民币利率管理规定》、《利率管理暂行规定》、《支付结算办法》以及银行业监督管理机构的其他规定。</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基金证券账户的开立和使用，限于满足开展本基金业务的需要。基金托管人和基金管理人不得出借和未经对方同意擅自转让本基金的任何证券账户；亦不得使用本基金的任何账户进行本基金业务以外的活动。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自营账户，并由基金托管人负责本基金的债券的后台匹配及资金的清算。</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（2）基金管理人和基金托管人应一起负责为本基金对外签订全国银行间债券市场债券回购主协议，正本由基金托管人保管，基金管理人保存副本。</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w:t>
      </w:r>
      <w:r>
        <w:rPr>
          <w:rFonts w:ascii="宋体" w:hAnsi="宋体"/>
          <w:sz w:val="24"/>
        </w:rPr>
        <w:lastRenderedPageBreak/>
        <w:t>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本基金签署的与基金有关的重大合同的原件分别应由基金托管人、基金管理人保管。除本协议另有规定外，基金管理人在代表本基金签署与本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（五）基金资产净值计算和会计复核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指计算日该类基金份额的基金资产净值除以该计算日该类基金份额总份额后的数值。各类基金份额的基金份额净值的计算均保留到小数点后4位，小数点后第5位四舍五入，由此产生的误差计入基金财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估值原则应符合《基金合同》、《证券投资基金会计核算办法》及其他法律、法规的规定。用于基金信息披露的各类基金份额的基金资产净值和基金份额净值由基金管理人负责计算，基金托管人复核。基金管理人应于每个工作日交易结束后计算当日各类基金份额的基金份额净值并以双方认可的方式发送给基金托管人。基金托管人对净值计算结果复核后以双方认可的方式发送给基金管理人，由基金管理人对基金净值予以公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国家最新规定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基金所拥有的股票、债券、权证和银行存款本息等资产及负债。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本基金的估值方法为：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④交易所上市不存在活跃市场的有价证券，采用估值技术确定公允价值。交易所上市的资产支持证券，采用估值技术确定公允价值，在估值技术难以可靠计量公允价值的情况下，按成本估值。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①送股、转增股、配股和公开增发的新股，按估值日在证券交易所挂牌的同一股票的市价（收盘价）估值；该日无交易的，以最近一日的市价（收盘价）估值；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②首次公开发行未上市的股票、债券和权证，采用估值技术确定公允价值，在估值技术难以可靠计量公允价值的情况下，按成本估值。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③首次公开发行有明确锁定期的股票，同一股票在交易所上市后，按交易所上市的同一股票的市价（收盘价）估值；非公开发行有明确锁定期的股票，按监管机构或行业协会有关规定确定公允价值。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3）因持有股票而享有的配股权，采用估值技术确定公允价值，在估值技术难</w:t>
      </w:r>
      <w:r>
        <w:rPr>
          <w:rFonts w:ascii="宋体" w:hAnsi="宋体"/>
          <w:sz w:val="24"/>
        </w:rPr>
        <w:lastRenderedPageBreak/>
        <w:t>以可靠计量公允价值的情况下，按成本估值。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4）全国银行间债券市场交易的债券、资产支持证券等固定收益品种，采用估值技术确定公允价值。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8）相关法律法规以及监管部门有强制规定的，从其规定。如有新增事项，按国家最新规定估值。</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3、估值差错处理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证券交易所或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由此造成的影响。</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双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4、基金账册的建立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登录和保管本基金的全套账册，对双方各自的账册定期进行核对，互相监督，以保证基金资产的安全。若双方对会计处理方法存在分歧，应以基金管理人的处理方法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双方的账目存在不符的，基金管理人和基金托管人必须及时查明原因并纠正，保证双方平行登录的账册记录完全相符。若当日核对不符，暂时无法查找到错账的原因而影响到基金资产净值的计算和公告的，以基金管理人的账册为准。</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基金招募说明书、基金产品资料概要。基金管理人在季度结束之日起15个工作日内完成季度报告编制并公告；在上半年终了后两个月内完成中期报告编制并公告；在每年结束后三个月内完成年度报告编制并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对报表加盖公章后，以加密传真方式将有关报表提供基金托管人复核；基金托管人在3个工作日内进行复核，并将复核结果及时书面通知基金管理人。基金管理人在季度报告完成当日，将有关报告提供基金托管人复核，基金托管人在收到后7个工作日内进行复核，并将复核结果书面通知基金管理人。基金管理人在中期报告完成当日，将有关报告提供基金托管人复核，基金托管人在收到后30日内进行复核，并将复核结果书面通知基金管理人。基金管理人在年度报告完成当日，将有关报告提供基金托管人复核，基金托管人在收到后45日内复核，并将复核结果书面通知基金管理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相关各方的报表存在不符时，基金管理人和基金托管人应共同查明原因，进行调整，调整以双方认可的账务处理方式为准。核对无误后，基金托管人在基金管理人提供的报告上加盖业务印鉴或者出具加盖托管业</w:t>
      </w:r>
      <w:r>
        <w:rPr>
          <w:rFonts w:ascii="宋体" w:hAnsi="宋体"/>
          <w:sz w:val="24"/>
        </w:rPr>
        <w:lastRenderedPageBreak/>
        <w:t>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注册登记机构根据基金管理人的指令编制和保管，基金管理人和基金托管人应按照目前相关规则分别保管基金份额持有人名册。保管方式可以采用电子或文档的形式。保管期限为15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基金托管人以电子版形式妥善保管基金份额持有人名册，并定期刻成光盘备份，保存期限为15年。基金托管人不得将所保管的基金份额持有人名册用于基金托管业务以外的其他用途，并应遵守保密义务。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除经友好协商可以解决的，应提交中国国际经济贸易仲裁委员会根据该会当时有效的仲裁规则进行仲裁，仲裁的地点在北京，仲裁裁决是终局性的并对相关各方均有约束力，仲裁费用由败诉方承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w:t>
      </w:r>
      <w:r>
        <w:rPr>
          <w:rFonts w:ascii="宋体" w:hAnsi="宋体"/>
          <w:sz w:val="24"/>
        </w:rPr>
        <w:lastRenderedPageBreak/>
        <w:t>实、勤勉、尽责地履行《基金合同》和托管协议规定的义务，维护基金份额持有人的合法权益。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本协议双方当事人经协商一致，可以对协议的内容进行变更。变更后的托管协议，其内容不得与《基金合同》的规定有任何冲突。基金托管协议的变更报中国证监会核准后生效。</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6" w:name="_Toc231197021"/>
      <w:r>
        <w:rPr>
          <w:rFonts w:ascii="Times New Roman" w:hAnsi="Times New Roman"/>
          <w:sz w:val="30"/>
        </w:rPr>
        <w:lastRenderedPageBreak/>
        <w:t>二十三、对基金份额持有人的服务</w:t>
      </w:r>
      <w:bookmarkEnd w:id="26"/>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交易业务，个人投资者可以直接通过本公司网站的“交银施罗德基金管理有限公司网上直销交易平台”（以下简称“网上直销交易平台”）办理开户和本基金前端A类基金份额的申购、赎回、定期定额投资和转换等业务。本公司暂不开展网上直销交易平台后端基金份额的认/申购业务，通过转托管转入网上直销交易账户的后端收费模式的基金份额只能办理赎回业务。通过网上直销交易平台办理本基金前端A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w:t>
      </w:r>
      <w:r>
        <w:rPr>
          <w:rFonts w:ascii="宋体" w:hAnsi="宋体"/>
          <w:sz w:val="24"/>
        </w:rPr>
        <w:lastRenderedPageBreak/>
        <w:t>证件号码的后6位数字，不足6位数字的，前面加“0”补足。基金查询密码用于投资者通过客户服务电话查询基金账户下的账户和交易信息。投资者请在其知晓基金账号后，及时拨打本基金管理人客户服务电话修改基金查询密码。</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本基金收益分配时，投资人可以选择将当期分配所得的红利再投资于本基金，再投资红利按红利再投日（即除息日）除息后的基金份额净值自动转为相应类别的基金份额，并免收申购费用。</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7" w:name="_Toc231197022"/>
      <w:r>
        <w:rPr>
          <w:rFonts w:ascii="Times New Roman" w:hAnsi="Times New Roman"/>
          <w:sz w:val="30"/>
        </w:rPr>
        <w:lastRenderedPageBreak/>
        <w:t>二十四、其他应披露事项</w:t>
      </w:r>
      <w:bookmarkEnd w:id="27"/>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交银施罗德基金管理有限公司关于交银施罗德趋势优先混合型证券投资基金调整大额申购（转换转入、定期定额投资）业务限额的公告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2025-09-30</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1320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交银施罗德趋势优先混合型证券投资基金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13206" w:rsidRDefault="00141F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8" w:name="_Toc231197023"/>
      <w:r>
        <w:rPr>
          <w:rFonts w:ascii="Times New Roman" w:hAnsi="Times New Roman"/>
          <w:sz w:val="30"/>
        </w:rPr>
        <w:lastRenderedPageBreak/>
        <w:t>二十五、招募说明书的存放及查阅方式</w:t>
      </w:r>
      <w:bookmarkEnd w:id="28"/>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141FE1"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13206" w:rsidRDefault="00141FE1">
      <w:pPr>
        <w:pStyle w:val="1"/>
        <w:snapToGrid w:val="0"/>
        <w:spacing w:beforeLines="0" w:before="240" w:after="240"/>
        <w:rPr>
          <w:rFonts w:ascii="宋体" w:hAnsi="宋体"/>
          <w:szCs w:val="30"/>
        </w:rPr>
      </w:pPr>
      <w:bookmarkStart w:id="29" w:name="_Toc231197024"/>
      <w:r>
        <w:rPr>
          <w:rFonts w:ascii="Times New Roman" w:hAnsi="Times New Roman"/>
          <w:sz w:val="30"/>
        </w:rPr>
        <w:lastRenderedPageBreak/>
        <w:t>二十六、备查文件</w:t>
      </w:r>
      <w:bookmarkEnd w:id="29"/>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（一）中国证监会核准交银施罗德趋势优先股票证券投资基金募集的文件</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（二）《交银施罗德趋势优先混合型证券投资基金基金合同》</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（三）《交银施罗德趋势优先混合型证券投资基金托管协议》</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13206" w:rsidRDefault="00141FE1">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（六）关于申请募集交银施罗德趋势优先股票证券投资基金之法律意见书</w:t>
      </w:r>
    </w:p>
    <w:sectPr w:rsidR="00613206">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89A" w:rsidRDefault="00141FE1">
      <w:r>
        <w:separator/>
      </w:r>
    </w:p>
  </w:endnote>
  <w:endnote w:type="continuationSeparator" w:id="0">
    <w:p w:rsidR="0038089A" w:rsidRDefault="00141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61320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8B761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13206" w:rsidRDefault="00141FE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B761F">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61320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8B761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13206" w:rsidRDefault="00141FE1">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B761F">
                  <w:rPr>
                    <w:rFonts w:ascii="Times New Roman" w:hAnsi="Times New Roman"/>
                    <w:noProof/>
                    <w:kern w:val="0"/>
                    <w:sz w:val="18"/>
                    <w:szCs w:val="18"/>
                  </w:rPr>
                  <w:t>175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89A" w:rsidRDefault="00141FE1">
      <w:r>
        <w:separator/>
      </w:r>
    </w:p>
  </w:footnote>
  <w:footnote w:type="continuationSeparator" w:id="0">
    <w:p w:rsidR="0038089A" w:rsidRDefault="00141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61320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141FE1">
    <w:pPr>
      <w:pStyle w:val="a3"/>
      <w:jc w:val="right"/>
      <w:rPr>
        <w:rFonts w:ascii="宋体" w:hAnsi="宋体"/>
      </w:rPr>
    </w:pPr>
    <w:r>
      <w:rPr>
        <w:rFonts w:ascii="宋体" w:hAnsi="宋体" w:hint="eastAsia"/>
      </w:rPr>
      <w:t>交银施罗德趋势优先混合型证券投资基金招募说明书更新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613206">
    <w:pPr>
      <w:pStyle w:val="10"/>
      <w:jc w:val="right"/>
    </w:pPr>
  </w:p>
  <w:p w:rsidR="00613206" w:rsidRDefault="00613206">
    <w:pPr>
      <w:pStyle w:val="10"/>
      <w:jc w:val="right"/>
    </w:pPr>
  </w:p>
  <w:p w:rsidR="00613206" w:rsidRDefault="00613206">
    <w:pPr>
      <w:pStyle w:val="a3"/>
      <w:jc w:val="right"/>
    </w:pPr>
  </w:p>
  <w:p w:rsidR="00613206" w:rsidRDefault="00141FE1">
    <w:pPr>
      <w:pStyle w:val="a3"/>
      <w:jc w:val="right"/>
      <w:rPr>
        <w:rFonts w:ascii="宋体" w:hAnsi="宋体"/>
      </w:rPr>
    </w:pPr>
    <w:r>
      <w:rPr>
        <w:rFonts w:ascii="宋体" w:hAnsi="宋体" w:hint="eastAsia"/>
      </w:rPr>
      <w:t>交银施罗德趋势优先混合型证券投资基金招募说明书更新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206" w:rsidRDefault="00613206">
    <w:pPr>
      <w:pStyle w:val="a3"/>
      <w:jc w:val="right"/>
    </w:pPr>
  </w:p>
  <w:p w:rsidR="00613206" w:rsidRDefault="00613206">
    <w:pPr>
      <w:pStyle w:val="a3"/>
      <w:jc w:val="right"/>
    </w:pPr>
  </w:p>
  <w:p w:rsidR="00613206" w:rsidRDefault="00613206">
    <w:pPr>
      <w:pStyle w:val="a3"/>
      <w:jc w:val="right"/>
    </w:pPr>
  </w:p>
  <w:p w:rsidR="00613206" w:rsidRDefault="00141FE1">
    <w:pPr>
      <w:pStyle w:val="a3"/>
      <w:jc w:val="right"/>
      <w:rPr>
        <w:rFonts w:ascii="宋体" w:hAnsi="宋体"/>
      </w:rPr>
    </w:pPr>
    <w:r>
      <w:rPr>
        <w:rFonts w:ascii="宋体" w:hAnsi="宋体" w:hint="eastAsia"/>
      </w:rPr>
      <w:t>交银施罗德趋势优先混合型证券投资基金招募说明书更新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1FE1"/>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089A"/>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3206"/>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B761F"/>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4E4343EB-EE02-4A93-B1A8-B6CD1873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176</Pages>
  <Words>17977</Words>
  <Characters>102473</Characters>
  <Application>Microsoft Office Word</Application>
  <DocSecurity>0</DocSecurity>
  <Lines>853</Lines>
  <Paragraphs>240</Paragraphs>
  <ScaleCrop>false</ScaleCrop>
  <Company>Microsoft</Company>
  <LinksUpToDate>false</LinksUpToDate>
  <CharactersWithSpaces>120210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2026-06-01T01:03:00Z</dcterms:created>
  <dcterms:modified xsi:type="dcterms:W3CDTF">2026-06-01T01:03:00Z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