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交银施罗德增利增强债券型证券投资基金（D类份额）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2026-05-14</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2026-06-12</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交银增利增强债券D</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023844</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中国建设银行股份有限公司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2017-06-02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魏玉敏</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2018-11-02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2012-06-28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基金份额持有人数量不满200人或者基金资产净值低于5000万元的，基金管理人应当及时报告中国证监会；连续20个工作日出现前述情形的，基金管理人应当向中国证监会说明原因并报送解决方案。</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本基金以债券投资为主，通过自上而下进行宏观分析，自下而上精选个券，在严格控制风险的前提下，力争实现基金资产的长期稳定增值。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交易的国债、金融债、央行票据、地方政府债、企业债、公司债、短期融资券、中期票据、可转换债券及可分离转债、次级债、债券回购、银行存款、货币市场工具等固定收益类品种，和股票(含中小板、创业板及其他经中国证监会核准上市的股票、存托凭证)、权证等权益类品种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债券的比例不低于基金资产的80%；对股票（含存托凭证）、权证等权益类资产的投资比例不高于基金资产净值的20%；现金或到期日在一年以内的政府债券的投资比例合计不低于基金资产净值的5%，其中现金不包括结算备付金、存出保证金和应收申购款等。</w:t>
            </w:r>
          </w:p>
          <w:p>
            <w:pPr>
              <w:ind w:firstLine="420"/>
              <w:jc w:val="left"/>
              <w:rPr>
                <w:rFonts w:ascii="仿宋_GB2312" w:eastAsia="仿宋_GB2312"/>
                <w:szCs w:val="21"/>
              </w:rPr>
            </w:pPr>
            <w:r>
              <w:rPr>
                <w:rFonts w:hint="eastAsia" w:ascii="仿宋_GB2312" w:eastAsia="仿宋_GB2312"/>
                <w:szCs w:val="21"/>
              </w:rPr>
              <w:t>本基金通过参与一级市场新股申购、股票增发，以及因所持股票进行股票配售及派发所形成的股票不超过基金资产净值的20%，通过二级市场买入股票（含存托凭证）、权证等权益类资产不高于基金资产净值的5%。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将严谨、规范化的基本面研究分析与积极主动的投资风格相结合，在分析和判断宏观经济运行状况和金融市场运行趋势的基础上，动态调整大类资产比例。本基金自上而下决定债券组合久期、期限结构配置及债券类属配置；在严谨深入的信用分析基础上，综合考量信用债券的信用评级，以及各类债券的流动性、供求关系和收益率水平等，自下而上地精选个券。通过综合运用骑乘操作、套利操作等策略，提高投资组合收益。此外，本基金深度关注股票、权证市场的运行状况与相应风险收益特征，在严格控制基金资产运作风险的前提下，有效把握投资机会，适时增强组合收益。</w:t>
            </w:r>
          </w:p>
          <w:p>
            <w:pPr>
              <w:ind w:firstLine="420"/>
              <w:jc w:val="left"/>
              <w:rPr>
                <w:rFonts w:ascii="仿宋_GB2312" w:eastAsia="仿宋_GB2312"/>
                <w:szCs w:val="21"/>
              </w:rPr>
            </w:pPr>
            <w:r>
              <w:rPr>
                <w:rFonts w:hint="eastAsia" w:ascii="仿宋_GB2312" w:eastAsia="仿宋_GB2312"/>
                <w:szCs w:val="21"/>
              </w:rPr>
              <w:t>1、资产配置策略；2、债券投资策略；3、股票投资策略；4、权证投资策略。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中债综合全价指数</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其风险与预期收益高于货币市场基金，低于混合型基金和股票型基金，属于证券投资基金中中等风险的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详见《交银施罗德增利增强债券型证券投资基金招募说明书》“基金的投资”。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249.75pt;width:330.7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59.75pt;width:499.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2、本基金自2025年4月2日起，开始销售D类份额，基金份额类别首次确认当年净值增长率按实际存续期计算。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8"/>
        <w:gridCol w:w="2821"/>
        <w:gridCol w:w="1747"/>
        <w:gridCol w:w="1992"/>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M＜50万元</w:t>
            </w:r>
          </w:p>
        </w:tc>
        <w:tc>
          <w:tcPr>
            <w:tcW w:w="1843" w:type="dxa"/>
            <w:vAlign w:val="center"/>
          </w:tcPr>
          <w:p>
            <w:pPr>
              <w:rPr>
                <w:rFonts w:ascii="仿宋_GB2312" w:eastAsia="仿宋_GB2312"/>
                <w:szCs w:val="21"/>
              </w:rPr>
            </w:pPr>
            <w:r>
              <w:rPr>
                <w:rFonts w:hint="eastAsia" w:ascii="仿宋_GB2312" w:eastAsia="仿宋_GB2312"/>
                <w:szCs w:val="21"/>
              </w:rPr>
              <w:t>0.9%</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50万元≤M＜100万元</w:t>
            </w:r>
          </w:p>
        </w:tc>
        <w:tc>
          <w:tcPr>
            <w:tcW w:w="1843" w:type="dxa"/>
            <w:vAlign w:val="center"/>
          </w:tcPr>
          <w:p>
            <w:pPr>
              <w:rPr>
                <w:rFonts w:ascii="仿宋_GB2312" w:eastAsia="仿宋_GB2312"/>
                <w:szCs w:val="21"/>
              </w:rPr>
            </w:pPr>
            <w:r>
              <w:rPr>
                <w:rFonts w:hint="eastAsia" w:ascii="仿宋_GB2312" w:eastAsia="仿宋_GB2312"/>
                <w:szCs w:val="21"/>
              </w:rPr>
              <w:t>0.7%</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0.6%</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0.4%</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1200元每笔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0.60%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50000.00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0.82%</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（1）政策风险、（2）经济周期风险、（3）利率风险、（4）信用风险、（5）购买力风险、（6）债券收益率曲线变动风险、（7）再投资风险、（8）经营风险、（9）上市公司经营风险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（1）本基金为债券型基金，固定收益类资产的比例不低于基金资产净值的80%，因投资固定收益类资产而面临的固定收益类资产市场的系统性风险和个券风险；</w:t>
      </w:r>
    </w:p>
    <w:p>
      <w:pPr>
        <w:ind w:firstLine="420"/>
        <w:jc w:val="left"/>
        <w:rPr>
          <w:rFonts w:ascii="仿宋_GB2312" w:eastAsia="仿宋_GB2312"/>
          <w:szCs w:val="21"/>
        </w:rPr>
      </w:pPr>
      <w:r>
        <w:rPr>
          <w:rFonts w:hint="eastAsia" w:ascii="仿宋_GB2312" w:eastAsia="仿宋_GB2312"/>
          <w:szCs w:val="21"/>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（3）本基金在主要投资于固定收益类资产的同时也积极关注股票、权证市场的投资机会，会因投资权益类资产而面临的权益类资产市场的系统性风险和个券风险。</w:t>
      </w:r>
    </w:p>
    <w:p>
      <w:pPr>
        <w:ind w:firstLine="420"/>
        <w:jc w:val="left"/>
        <w:rPr>
          <w:rFonts w:ascii="仿宋_GB2312" w:eastAsia="仿宋_GB2312"/>
          <w:szCs w:val="21"/>
        </w:rPr>
      </w:pPr>
      <w:r>
        <w:rPr>
          <w:rFonts w:hint="eastAsia" w:ascii="仿宋_GB2312" w:eastAsia="仿宋_GB2312"/>
          <w:szCs w:val="21"/>
        </w:rPr>
        <w:t>（4）本基金可投资创业板股票，创业板个股上市后的前五个交易日不设价格涨跌幅限制，第六个交易日开始涨跌幅限制比例为20%。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7、本基金法律文件风险收益特征表述与销售机构基金风险评价可能不一致的风险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8、投资存托凭证的特定风险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9、其他风险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●《交银施罗德增利增强债券型证券投资基金基金合同》、</w:t>
      </w:r>
    </w:p>
    <w:p>
      <w:pPr>
        <w:ind w:firstLine="420"/>
        <w:jc w:val="left"/>
        <w:rPr>
          <w:rFonts w:ascii="仿宋_GB2312" w:eastAsia="仿宋_GB2312"/>
          <w:szCs w:val="21"/>
        </w:rPr>
      </w:pPr>
      <w:r>
        <w:rPr>
          <w:rFonts w:hint="eastAsia" w:ascii="仿宋_GB2312" w:eastAsia="仿宋_GB2312"/>
          <w:szCs w:val="21"/>
        </w:rPr>
        <w:t>《交银施罗德增利增强债券型证券投资基金托管协议》、</w:t>
      </w:r>
    </w:p>
    <w:p>
      <w:pPr>
        <w:ind w:firstLine="420"/>
        <w:jc w:val="left"/>
        <w:rPr>
          <w:rFonts w:ascii="仿宋_GB2312" w:eastAsia="仿宋_GB2312"/>
          <w:szCs w:val="21"/>
        </w:rPr>
      </w:pPr>
      <w:r>
        <w:rPr>
          <w:rFonts w:hint="eastAsia" w:ascii="仿宋_GB2312" w:eastAsia="仿宋_GB2312"/>
          <w:szCs w:val="21"/>
        </w:rPr>
        <w:t>《交银施罗德增利增强债券型证券投资基金招募说明书》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20CBF"/>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3E6841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703</Words>
  <Characters>4012</Characters>
  <Lines>33</Lines>
  <Paragraphs>9</Paragraphs>
  <TotalTime>0</TotalTime>
  <ScaleCrop>false</ScaleCrop>
  <LinksUpToDate>false</LinksUpToDate>
  <CharactersWithSpaces>4706</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2026-05-20T01:34:00Z</dcterms:created>
  <dc:creator>Cc</dc:creator>
  <cp:lastModifiedBy>haotingting</cp:lastModifiedBy>
  <dcterms:modified xsi:type="dcterms:W3CDTF">2026-05-22T08:15:13Z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CF7BED3EA87B4E57A039D21C26850784</vt:lpwstr>
  </property>
</Properties>
</file>