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792362">
      <w:pPr>
        <w:rPr>
          <w:sz w:val="32"/>
        </w:rPr>
      </w:pPr>
    </w:p>
    <w:p w:rsidR="00C92FC0" w:rsidRPr="00EB07BC" w:rsidRDefault="00792362">
      <w:pPr>
        <w:rPr>
          <w:sz w:val="32"/>
        </w:rPr>
      </w:pPr>
    </w:p>
    <w:p w:rsidR="00C92FC0" w:rsidRPr="00EB07BC" w:rsidRDefault="00792362">
      <w:pPr>
        <w:rPr>
          <w:sz w:val="32"/>
        </w:rPr>
      </w:pPr>
    </w:p>
    <w:p w:rsidR="00207634" w:rsidRDefault="0020763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07634" w:rsidRDefault="0020763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07634" w:rsidRDefault="00207634">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07634" w:rsidRDefault="000063DC">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交银施罗德主题优选灵活配置混合型证券投资基金</w:t>
      </w:r>
    </w:p>
    <w:p w:rsidR="00207634" w:rsidRDefault="000063DC">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207634" w:rsidRDefault="00207634">
      <w:pPr>
        <w:snapToGrid w:val="0"/>
        <w:spacing w:line="360" w:lineRule="auto"/>
        <w:jc w:val="center"/>
        <w:rPr>
          <w:rFonts w:ascii="宋体" w:hAnsi="宋体"/>
          <w:b/>
          <w:sz w:val="30"/>
          <w:szCs w:val="30"/>
        </w:rPr>
      </w:pPr>
    </w:p>
    <w:p w:rsidR="00207634" w:rsidRDefault="0020763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07634" w:rsidRDefault="0020763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07634" w:rsidRDefault="0020763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07634" w:rsidRDefault="0020763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07634" w:rsidRDefault="0020763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07634" w:rsidRDefault="0020763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07634" w:rsidRDefault="000063D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207634" w:rsidRDefault="000063DC">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207634" w:rsidRDefault="0020763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07634" w:rsidRDefault="00207634">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07634" w:rsidRDefault="000063DC">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207634" w:rsidRDefault="00207634">
      <w:pPr>
        <w:autoSpaceDE w:val="0"/>
        <w:autoSpaceDN w:val="0"/>
        <w:adjustRightInd w:val="0"/>
        <w:snapToGrid w:val="0"/>
        <w:spacing w:line="360" w:lineRule="auto"/>
        <w:ind w:left="1347" w:rightChars="6" w:right="13"/>
        <w:rPr>
          <w:rFonts w:ascii="宋体" w:hAnsi="宋体"/>
          <w:kern w:val="0"/>
          <w:sz w:val="32"/>
          <w:szCs w:val="32"/>
        </w:rPr>
        <w:sectPr w:rsidR="00207634">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207634" w:rsidRDefault="000063DC">
      <w:pPr>
        <w:pStyle w:val="1"/>
        <w:snapToGrid w:val="0"/>
        <w:spacing w:beforeLines="0" w:before="240" w:after="240"/>
        <w:rPr>
          <w:rFonts w:ascii="宋体" w:hAnsi="宋体"/>
          <w:kern w:val="0"/>
        </w:rPr>
      </w:pPr>
      <w:bookmarkStart w:id="0" w:name="_Toc324920538"/>
      <w:bookmarkStart w:id="1" w:name="_Toc496884613"/>
      <w:bookmarkStart w:id="2" w:name="_Toc231982070"/>
      <w:r>
        <w:rPr>
          <w:rFonts w:ascii="Times New Roman" w:hAnsi="Times New Roman"/>
          <w:kern w:val="0"/>
        </w:rPr>
        <w:lastRenderedPageBreak/>
        <w:t>重要提示</w:t>
      </w:r>
      <w:bookmarkEnd w:id="0"/>
      <w:bookmarkEnd w:id="1"/>
      <w:bookmarkEnd w:id="2"/>
    </w:p>
    <w:p w:rsidR="00207634" w:rsidRDefault="000063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交银施罗德主题优选灵活配置混合型证券投资基金（以下简称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2010</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12</w:t>
      </w:r>
      <w:r>
        <w:rPr>
          <w:rFonts w:ascii="Times New Roman" w:hAnsi="Times New Roman"/>
          <w:kern w:val="0"/>
          <w:sz w:val="24"/>
        </w:rPr>
        <w:t>日中国证券监督管理委员会证监许可【</w:t>
      </w:r>
      <w:r>
        <w:rPr>
          <w:rFonts w:ascii="Times New Roman" w:hAnsi="Times New Roman"/>
          <w:kern w:val="0"/>
          <w:sz w:val="24"/>
        </w:rPr>
        <w:t>2010</w:t>
      </w:r>
      <w:r>
        <w:rPr>
          <w:rFonts w:ascii="Times New Roman" w:hAnsi="Times New Roman"/>
          <w:kern w:val="0"/>
          <w:sz w:val="24"/>
        </w:rPr>
        <w:t>】</w:t>
      </w:r>
      <w:r>
        <w:rPr>
          <w:rFonts w:ascii="Times New Roman" w:hAnsi="Times New Roman"/>
          <w:kern w:val="0"/>
          <w:sz w:val="24"/>
        </w:rPr>
        <w:t>624</w:t>
      </w:r>
      <w:r>
        <w:rPr>
          <w:rFonts w:ascii="Times New Roman" w:hAnsi="Times New Roman"/>
          <w:kern w:val="0"/>
          <w:sz w:val="24"/>
        </w:rPr>
        <w:t>号文核准募集。本基金基金合同于</w:t>
      </w:r>
      <w:r>
        <w:rPr>
          <w:rFonts w:ascii="Times New Roman" w:hAnsi="Times New Roman"/>
          <w:kern w:val="0"/>
          <w:sz w:val="24"/>
        </w:rPr>
        <w:t>2010</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日正式生效。</w:t>
      </w:r>
    </w:p>
    <w:p w:rsidR="00207634" w:rsidRDefault="000063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207634" w:rsidRDefault="000063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207634" w:rsidRDefault="000063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政治、经济、社会等因素对证券价格波动产生影响而引发的系统性风险，个别证券特有的非系统性风险，基金管理人在基金管理实施过程中产生的基金管理风险，流动性风险（包括实施侧袋机制时的特定风险），本基金投资债券引发的信用风险，投资科创板股票的特定风险，以及本基金投资策略所特有的风险等等。本基金是一只灵活配置的混合型基金，属于基金中的中高风险品种，本基金的风险与预期收益介于股票型基金和债券型基金之间。</w:t>
      </w:r>
    </w:p>
    <w:p w:rsidR="00207634" w:rsidRDefault="000063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207634" w:rsidRDefault="000063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207634" w:rsidRDefault="000063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w:t>
      </w:r>
      <w:r>
        <w:rPr>
          <w:rFonts w:ascii="Times New Roman" w:hAnsi="Times New Roman"/>
          <w:kern w:val="0"/>
          <w:sz w:val="24"/>
        </w:rPr>
        <w:lastRenderedPageBreak/>
        <w:t>合同、基金产品资料概要。基金的过往业绩并不代表其未来表现。基金管理人管理的其他基金的业绩并不构成对本基金业绩表现的保证。</w:t>
      </w:r>
    </w:p>
    <w:p w:rsidR="00207634" w:rsidRDefault="000063DC">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207634" w:rsidRDefault="00207634">
      <w:pPr>
        <w:autoSpaceDE w:val="0"/>
        <w:autoSpaceDN w:val="0"/>
        <w:adjustRightInd w:val="0"/>
        <w:snapToGrid w:val="0"/>
        <w:spacing w:before="51" w:line="360" w:lineRule="auto"/>
        <w:ind w:left="120" w:rightChars="6" w:right="13" w:firstLine="480"/>
        <w:rPr>
          <w:rFonts w:ascii="宋体" w:hAnsi="宋体"/>
          <w:kern w:val="0"/>
          <w:szCs w:val="24"/>
        </w:rPr>
        <w:sectPr w:rsidR="00207634">
          <w:headerReference w:type="default" r:id="rId14"/>
          <w:pgSz w:w="11920" w:h="16840"/>
          <w:pgMar w:top="1440" w:right="1680" w:bottom="280" w:left="1680" w:header="0" w:footer="1073" w:gutter="0"/>
          <w:pgNumType w:start="1"/>
          <w:cols w:space="720"/>
        </w:sectPr>
      </w:pPr>
    </w:p>
    <w:p w:rsidR="00792362" w:rsidRPr="00792362" w:rsidRDefault="000063DC" w:rsidP="00792362">
      <w:pPr>
        <w:pStyle w:val="ad"/>
        <w:snapToGrid w:val="0"/>
        <w:spacing w:after="240" w:line="360" w:lineRule="auto"/>
        <w:jc w:val="center"/>
        <w:rPr>
          <w:rFonts w:ascii="宋体" w:hAnsi="宋体"/>
          <w:noProof/>
          <w:sz w:val="24"/>
        </w:rPr>
      </w:pPr>
      <w:r w:rsidRPr="00792362">
        <w:rPr>
          <w:rFonts w:ascii="宋体" w:hAnsi="宋体"/>
          <w:color w:val="000000"/>
          <w:position w:val="-4"/>
          <w:sz w:val="24"/>
          <w:szCs w:val="30"/>
        </w:rPr>
        <w:lastRenderedPageBreak/>
        <w:t>目</w:t>
      </w:r>
      <w:r w:rsidRPr="00792362">
        <w:rPr>
          <w:rFonts w:ascii="宋体" w:hAnsi="宋体"/>
          <w:color w:val="000000"/>
          <w:position w:val="-4"/>
          <w:sz w:val="24"/>
          <w:szCs w:val="30"/>
        </w:rPr>
        <w:tab/>
        <w:t>录</w:t>
      </w:r>
      <w:r w:rsidR="00792362" w:rsidRPr="00792362">
        <w:rPr>
          <w:rFonts w:ascii="宋体" w:hAnsi="宋体"/>
          <w:color w:val="000000"/>
          <w:position w:val="-4"/>
          <w:sz w:val="24"/>
          <w:szCs w:val="30"/>
        </w:rPr>
        <w:fldChar w:fldCharType="begin"/>
      </w:r>
      <w:r w:rsidR="00792362" w:rsidRPr="00792362">
        <w:rPr>
          <w:rFonts w:ascii="宋体" w:hAnsi="宋体"/>
          <w:color w:val="000000"/>
          <w:position w:val="-4"/>
          <w:sz w:val="24"/>
          <w:szCs w:val="30"/>
        </w:rPr>
        <w:instrText xml:space="preserve"> TOC \o "1-3" \f - \h \t "-1" </w:instrText>
      </w:r>
      <w:r w:rsidR="00792362" w:rsidRPr="00792362">
        <w:rPr>
          <w:rFonts w:ascii="宋体" w:hAnsi="宋体"/>
          <w:color w:val="000000"/>
          <w:position w:val="-4"/>
          <w:sz w:val="24"/>
          <w:szCs w:val="30"/>
        </w:rPr>
        <w:fldChar w:fldCharType="separate"/>
      </w:r>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70" w:history="1">
        <w:r w:rsidRPr="00792362">
          <w:rPr>
            <w:rStyle w:val="aa"/>
            <w:rFonts w:ascii="宋体" w:hAnsi="宋体" w:hint="eastAsia"/>
            <w:noProof/>
            <w:kern w:val="0"/>
            <w:sz w:val="24"/>
          </w:rPr>
          <w:t>重要提示</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_Toc231982070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71" w:history="1">
        <w:r w:rsidRPr="00792362">
          <w:rPr>
            <w:rStyle w:val="aa"/>
            <w:rFonts w:ascii="宋体" w:hAnsi="宋体" w:hint="eastAsia"/>
            <w:noProof/>
            <w:sz w:val="24"/>
          </w:rPr>
          <w:t>一、绪言</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_Toc231982071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4</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72" w:history="1">
        <w:r w:rsidRPr="00792362">
          <w:rPr>
            <w:rStyle w:val="aa"/>
            <w:rFonts w:ascii="宋体" w:hAnsi="宋体" w:hint="eastAsia"/>
            <w:noProof/>
            <w:sz w:val="24"/>
          </w:rPr>
          <w:t>二、释义</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_Toc231982072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5</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73" w:history="1">
        <w:r w:rsidRPr="00792362">
          <w:rPr>
            <w:rStyle w:val="aa"/>
            <w:rFonts w:ascii="宋体" w:hAnsi="宋体" w:hint="eastAsia"/>
            <w:noProof/>
            <w:sz w:val="24"/>
          </w:rPr>
          <w:t>三、基金管理人</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_Toc231982073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10</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74" w:history="1">
        <w:r w:rsidRPr="00792362">
          <w:rPr>
            <w:rStyle w:val="aa"/>
            <w:rFonts w:ascii="宋体" w:hAnsi="宋体" w:hint="eastAsia"/>
            <w:noProof/>
            <w:sz w:val="24"/>
          </w:rPr>
          <w:t>四、基金托管人</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_Toc231982074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17</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75" w:history="1">
        <w:r w:rsidRPr="00792362">
          <w:rPr>
            <w:rStyle w:val="aa"/>
            <w:rFonts w:ascii="宋体" w:hAnsi="宋体" w:hint="eastAsia"/>
            <w:noProof/>
            <w:sz w:val="24"/>
          </w:rPr>
          <w:t>五、相关服务机构</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_Toc231982075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20</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76" w:history="1">
        <w:r w:rsidRPr="00792362">
          <w:rPr>
            <w:rStyle w:val="aa"/>
            <w:rFonts w:ascii="宋体" w:hAnsi="宋体" w:hint="eastAsia"/>
            <w:noProof/>
            <w:sz w:val="24"/>
          </w:rPr>
          <w:t>六、基金的募集</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_Toc231982076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61</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77" w:history="1">
        <w:r w:rsidRPr="00792362">
          <w:rPr>
            <w:rStyle w:val="aa"/>
            <w:rFonts w:ascii="宋体" w:hAnsi="宋体" w:hint="eastAsia"/>
            <w:noProof/>
            <w:sz w:val="24"/>
          </w:rPr>
          <w:t>七、基金合同的生效</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_Toc231982077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62</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78" w:history="1">
        <w:r w:rsidRPr="00792362">
          <w:rPr>
            <w:rStyle w:val="aa"/>
            <w:rFonts w:ascii="宋体" w:hAnsi="宋体" w:hint="eastAsia"/>
            <w:noProof/>
            <w:sz w:val="24"/>
          </w:rPr>
          <w:t>八、基金份额的申购与赎回</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_Toc231982078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63</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79" w:history="1">
        <w:r w:rsidRPr="00792362">
          <w:rPr>
            <w:rStyle w:val="aa"/>
            <w:rFonts w:ascii="宋体" w:hAnsi="宋体" w:hint="eastAsia"/>
            <w:noProof/>
            <w:sz w:val="24"/>
          </w:rPr>
          <w:t>九、基金的转换</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_Toc231982079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78</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80" w:history="1">
        <w:r w:rsidRPr="00792362">
          <w:rPr>
            <w:rStyle w:val="aa"/>
            <w:rFonts w:ascii="宋体" w:hAnsi="宋体" w:hint="eastAsia"/>
            <w:noProof/>
            <w:sz w:val="24"/>
          </w:rPr>
          <w:t>十、基金的投资</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_Toc231982080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85</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81" w:history="1">
        <w:r w:rsidRPr="00792362">
          <w:rPr>
            <w:rStyle w:val="aa"/>
            <w:rFonts w:ascii="宋体" w:hAnsi="宋体" w:hint="eastAsia"/>
            <w:noProof/>
            <w:sz w:val="24"/>
          </w:rPr>
          <w:t>十一、基金的业绩</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_Toc231982081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99</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82" w:history="1">
        <w:r w:rsidRPr="00792362">
          <w:rPr>
            <w:rStyle w:val="aa"/>
            <w:rFonts w:ascii="宋体" w:hAnsi="宋体" w:hint="eastAsia"/>
            <w:noProof/>
            <w:sz w:val="24"/>
          </w:rPr>
          <w:t>十二、基金的财产</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_Toc231982082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102</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83" w:history="1">
        <w:r w:rsidRPr="00792362">
          <w:rPr>
            <w:rStyle w:val="aa"/>
            <w:rFonts w:ascii="宋体" w:hAnsi="宋体" w:hint="eastAsia"/>
            <w:noProof/>
            <w:sz w:val="24"/>
          </w:rPr>
          <w:t>十三、基金资产的估值</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_Toc231982083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103</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84" w:history="1">
        <w:r w:rsidRPr="00792362">
          <w:rPr>
            <w:rStyle w:val="aa"/>
            <w:rFonts w:ascii="宋体" w:hAnsi="宋体" w:hint="eastAsia"/>
            <w:noProof/>
            <w:sz w:val="24"/>
          </w:rPr>
          <w:t>十四、基金的收益与分配</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_Toc231982084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109</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85" w:history="1">
        <w:r w:rsidRPr="00792362">
          <w:rPr>
            <w:rStyle w:val="aa"/>
            <w:rFonts w:ascii="宋体" w:hAnsi="宋体" w:hint="eastAsia"/>
            <w:noProof/>
            <w:sz w:val="24"/>
          </w:rPr>
          <w:t>十五、基金的费用与税收</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_Toc231982085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111</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86" w:history="1">
        <w:r w:rsidRPr="00792362">
          <w:rPr>
            <w:rStyle w:val="aa"/>
            <w:rFonts w:ascii="宋体" w:hAnsi="宋体" w:hint="eastAsia"/>
            <w:noProof/>
            <w:sz w:val="24"/>
          </w:rPr>
          <w:t>十六、基金的会计与审计</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_Toc231982086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114</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87" w:history="1">
        <w:r w:rsidRPr="00792362">
          <w:rPr>
            <w:rStyle w:val="aa"/>
            <w:rFonts w:ascii="宋体" w:hAnsi="宋体" w:hint="eastAsia"/>
            <w:noProof/>
            <w:sz w:val="24"/>
          </w:rPr>
          <w:t>十七、基金的信息披露</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_Toc231982087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115</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88" w:history="1">
        <w:r w:rsidRPr="00792362">
          <w:rPr>
            <w:rStyle w:val="aa"/>
            <w:rFonts w:ascii="宋体" w:hAnsi="宋体" w:hint="eastAsia"/>
            <w:noProof/>
            <w:sz w:val="24"/>
          </w:rPr>
          <w:t>十八、侧袋机制</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_Toc231982088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121</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89" w:history="1">
        <w:r w:rsidRPr="00792362">
          <w:rPr>
            <w:rStyle w:val="aa"/>
            <w:rFonts w:ascii="宋体" w:hAnsi="宋体" w:hint="eastAsia"/>
            <w:noProof/>
            <w:sz w:val="24"/>
          </w:rPr>
          <w:t>十九、风险揭示</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_Toc231982089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124</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90" w:history="1">
        <w:r w:rsidRPr="00792362">
          <w:rPr>
            <w:rStyle w:val="aa"/>
            <w:rFonts w:ascii="宋体" w:hAnsi="宋体" w:hint="eastAsia"/>
            <w:noProof/>
            <w:sz w:val="24"/>
          </w:rPr>
          <w:t>二十、基金合同的终止与基金财产的清算</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_Toc231982090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131</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91" w:history="1">
        <w:r w:rsidRPr="00792362">
          <w:rPr>
            <w:rStyle w:val="aa"/>
            <w:rFonts w:ascii="宋体" w:hAnsi="宋体" w:hint="eastAsia"/>
            <w:noProof/>
            <w:sz w:val="24"/>
          </w:rPr>
          <w:t>二十一、基金合同的内容摘要</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_Toc231982091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133</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92" w:history="1">
        <w:r w:rsidRPr="00792362">
          <w:rPr>
            <w:rStyle w:val="aa"/>
            <w:rFonts w:ascii="宋体" w:hAnsi="宋体" w:hint="eastAsia"/>
            <w:noProof/>
            <w:sz w:val="24"/>
          </w:rPr>
          <w:t>二十二、托管协议的内容摘要</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_Toc231982092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149</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93" w:history="1">
        <w:r w:rsidRPr="00792362">
          <w:rPr>
            <w:rStyle w:val="aa"/>
            <w:rFonts w:ascii="宋体" w:hAnsi="宋体" w:hint="eastAsia"/>
            <w:noProof/>
            <w:sz w:val="24"/>
          </w:rPr>
          <w:t>二十三、对基金份额持有人的服务</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_Toc231982093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161</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94" w:history="1">
        <w:r w:rsidRPr="00792362">
          <w:rPr>
            <w:rStyle w:val="aa"/>
            <w:rFonts w:ascii="宋体" w:hAnsi="宋体" w:hint="eastAsia"/>
            <w:noProof/>
            <w:sz w:val="24"/>
          </w:rPr>
          <w:t>二十四、其他应披露事项</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_Toc231982094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163</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95" w:history="1">
        <w:r w:rsidRPr="00792362">
          <w:rPr>
            <w:rStyle w:val="aa"/>
            <w:rFonts w:ascii="宋体" w:hAnsi="宋体" w:hint="eastAsia"/>
            <w:noProof/>
            <w:sz w:val="24"/>
          </w:rPr>
          <w:t>二十五、招募说明书的存放及查阅方式</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_Toc231982095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165</w:t>
        </w:r>
        <w:r w:rsidRPr="00792362">
          <w:rPr>
            <w:rFonts w:ascii="宋体" w:hAnsi="宋体"/>
            <w:noProof/>
            <w:sz w:val="24"/>
          </w:rPr>
          <w:fldChar w:fldCharType="end"/>
        </w:r>
      </w:hyperlink>
    </w:p>
    <w:p w:rsidR="00792362" w:rsidRPr="00792362" w:rsidRDefault="00792362" w:rsidP="00792362">
      <w:pPr>
        <w:pStyle w:val="10"/>
        <w:tabs>
          <w:tab w:val="right" w:leader="dot" w:pos="8550"/>
        </w:tabs>
        <w:spacing w:line="360" w:lineRule="auto"/>
        <w:rPr>
          <w:rFonts w:ascii="宋体" w:hAnsi="宋体" w:cstheme="minorBidi"/>
          <w:noProof/>
          <w:sz w:val="24"/>
        </w:rPr>
      </w:pPr>
      <w:hyperlink w:anchor="_Toc231982096" w:history="1">
        <w:r w:rsidRPr="00792362">
          <w:rPr>
            <w:rStyle w:val="aa"/>
            <w:rFonts w:ascii="宋体" w:hAnsi="宋体" w:hint="eastAsia"/>
            <w:noProof/>
            <w:sz w:val="24"/>
          </w:rPr>
          <w:t>二十六、备查文件</w:t>
        </w:r>
        <w:r w:rsidRPr="00792362">
          <w:rPr>
            <w:rFonts w:ascii="宋体" w:hAnsi="宋体"/>
            <w:noProof/>
            <w:sz w:val="24"/>
          </w:rPr>
          <w:tab/>
        </w:r>
        <w:r w:rsidRPr="00792362">
          <w:rPr>
            <w:rFonts w:ascii="宋体" w:hAnsi="宋体"/>
            <w:noProof/>
            <w:sz w:val="24"/>
          </w:rPr>
          <w:fldChar w:fldCharType="begin"/>
        </w:r>
        <w:r w:rsidRPr="00792362">
          <w:rPr>
            <w:rFonts w:ascii="宋体" w:hAnsi="宋体"/>
            <w:noProof/>
            <w:sz w:val="24"/>
          </w:rPr>
          <w:instrText xml:space="preserve"> PAGEREF _Toc231982096 \h </w:instrText>
        </w:r>
        <w:r w:rsidRPr="00792362">
          <w:rPr>
            <w:rFonts w:ascii="宋体" w:hAnsi="宋体"/>
            <w:noProof/>
            <w:sz w:val="24"/>
          </w:rPr>
        </w:r>
        <w:r w:rsidRPr="00792362">
          <w:rPr>
            <w:rFonts w:ascii="宋体" w:hAnsi="宋体"/>
            <w:noProof/>
            <w:sz w:val="24"/>
          </w:rPr>
          <w:fldChar w:fldCharType="separate"/>
        </w:r>
        <w:r w:rsidRPr="00792362">
          <w:rPr>
            <w:rFonts w:ascii="宋体" w:hAnsi="宋体"/>
            <w:noProof/>
            <w:sz w:val="24"/>
          </w:rPr>
          <w:t>166</w:t>
        </w:r>
        <w:r w:rsidRPr="00792362">
          <w:rPr>
            <w:rFonts w:ascii="宋体" w:hAnsi="宋体"/>
            <w:noProof/>
            <w:sz w:val="24"/>
          </w:rPr>
          <w:fldChar w:fldCharType="end"/>
        </w:r>
      </w:hyperlink>
    </w:p>
    <w:p w:rsidR="00207634" w:rsidRPr="00792362" w:rsidRDefault="00792362" w:rsidP="00792362">
      <w:pPr>
        <w:pStyle w:val="ad"/>
        <w:snapToGrid w:val="0"/>
        <w:spacing w:after="240" w:line="360" w:lineRule="auto"/>
        <w:jc w:val="center"/>
        <w:rPr>
          <w:rFonts w:ascii="宋体" w:hAnsi="宋体"/>
          <w:color w:val="000000"/>
          <w:sz w:val="24"/>
        </w:rPr>
      </w:pPr>
      <w:r w:rsidRPr="00792362">
        <w:rPr>
          <w:rFonts w:ascii="宋体" w:hAnsi="宋体"/>
          <w:color w:val="000000"/>
          <w:position w:val="-4"/>
          <w:sz w:val="24"/>
          <w:szCs w:val="30"/>
        </w:rPr>
        <w:fldChar w:fldCharType="end"/>
      </w:r>
      <w:bookmarkStart w:id="3" w:name="_GoBack"/>
      <w:bookmarkEnd w:id="3"/>
    </w:p>
    <w:p w:rsidR="00207634" w:rsidRDefault="00207634">
      <w:pPr>
        <w:autoSpaceDE w:val="0"/>
        <w:autoSpaceDN w:val="0"/>
        <w:adjustRightInd w:val="0"/>
        <w:snapToGrid w:val="0"/>
        <w:spacing w:line="360" w:lineRule="auto"/>
        <w:ind w:left="120" w:rightChars="6" w:right="13"/>
        <w:rPr>
          <w:rFonts w:ascii="宋体" w:hAnsi="宋体"/>
          <w:kern w:val="0"/>
          <w:szCs w:val="24"/>
        </w:rPr>
        <w:sectPr w:rsidR="00207634">
          <w:pgSz w:w="11920" w:h="16840"/>
          <w:pgMar w:top="1480" w:right="1680" w:bottom="280" w:left="1680" w:header="0" w:footer="1073" w:gutter="0"/>
          <w:cols w:space="720"/>
        </w:sectPr>
      </w:pPr>
    </w:p>
    <w:p w:rsidR="00207634" w:rsidRDefault="000063DC">
      <w:pPr>
        <w:pStyle w:val="1"/>
        <w:snapToGrid w:val="0"/>
        <w:spacing w:beforeLines="0" w:before="240" w:after="240"/>
        <w:rPr>
          <w:rFonts w:ascii="宋体" w:hAnsi="宋体"/>
          <w:szCs w:val="30"/>
        </w:rPr>
      </w:pPr>
      <w:bookmarkStart w:id="4" w:name="_Toc231982071"/>
      <w:r>
        <w:rPr>
          <w:rFonts w:ascii="Times New Roman" w:hAnsi="Times New Roman"/>
          <w:sz w:val="30"/>
        </w:rPr>
        <w:lastRenderedPageBreak/>
        <w:t>一、绪言</w:t>
      </w:r>
      <w:bookmarkEnd w:id="4"/>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主题优选灵活配置混合型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主题优选灵活配置混合型证券投资基金基金合同》（以下简称“基金合同”）编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5" w:name="_Toc231982072"/>
      <w:r>
        <w:rPr>
          <w:rFonts w:ascii="Times New Roman" w:hAnsi="Times New Roman"/>
          <w:sz w:val="30"/>
        </w:rPr>
        <w:lastRenderedPageBreak/>
        <w:t>二、释义</w:t>
      </w:r>
      <w:bookmarkEnd w:id="5"/>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指交银施罗德主题优选灵活配置混合型证券投资基金</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基金管理人或本基金管理人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指中国建设银行股份有限公司</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指《交银施罗德主题优选灵活配置混合型证券投资基金基金合同》及对基金合同的任何有效修订和补充</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指基金管理人与基金托管人就本基金签订之《交银施罗德主题优选灵活配置混合型证券投资基金托管协议》及对该托管协议的任何有效修订和补充</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招募说明书或本招募说明书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指《交银施罗德主题优选灵活配置混合型证券投资基金招募说明书》及其更新</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指《交银施罗德主题优选灵活配置混合型证券投资基金份额发售公告》</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指《交银施罗德主题优选灵活配置混合型证券投资基金基金产品资料概要》及其更新</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指中国现行有效并公布实施的法律、行政法规、规范性文件、司法解释、行政规章以及其他对基金合同当事人有约束力的决定、决议、通知等</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2003</w:t>
            </w:r>
            <w:r>
              <w:rPr>
                <w:rFonts w:ascii="Times New Roman" w:hAnsi="Times New Roman"/>
                <w:color w:val="000000"/>
                <w:kern w:val="0"/>
                <w:sz w:val="25"/>
                <w:szCs w:val="24"/>
              </w:rPr>
              <w:t>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日经第十届全国人民代表大会常务委员会第五次会议通过，自</w:t>
            </w:r>
            <w:r>
              <w:rPr>
                <w:rFonts w:ascii="Times New Roman" w:hAnsi="Times New Roman"/>
                <w:color w:val="000000"/>
                <w:kern w:val="0"/>
                <w:sz w:val="25"/>
                <w:szCs w:val="24"/>
              </w:rPr>
              <w:t>2004</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日起实施的《中华人民共和国证券投资基金法》及颁布机关对其不时做出的修订</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2011</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9</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日实施的《证券投资基金销售管理办法》及颁布机关对其不时做出的修订</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26</w:t>
            </w:r>
            <w:r>
              <w:rPr>
                <w:rFonts w:ascii="Times New Roman" w:hAnsi="Times New Roman"/>
                <w:color w:val="000000"/>
                <w:kern w:val="0"/>
                <w:sz w:val="25"/>
                <w:szCs w:val="24"/>
              </w:rPr>
              <w:t>日颁布、同年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日实施的《公开募集证券投资基金信息披露管理办法》及颁布机关对其不时做出的修订</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2004</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29</w:t>
            </w:r>
            <w:r>
              <w:rPr>
                <w:rFonts w:ascii="Times New Roman" w:hAnsi="Times New Roman"/>
                <w:color w:val="000000"/>
                <w:kern w:val="0"/>
                <w:sz w:val="25"/>
                <w:szCs w:val="24"/>
              </w:rPr>
              <w:t>日颁布、同年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日实施的《证券投资基金运作管理办法》及颁布机关对其不时做出的修订</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日实施的《公开募集开放式证券投资基金流动性风险管理规定》及颁布机关对其不时做出的修订</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银行业监督管理机构</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指中国人民银行和</w:t>
            </w:r>
            <w:r>
              <w:rPr>
                <w:rFonts w:ascii="Times New Roman" w:hAnsi="Times New Roman"/>
                <w:color w:val="000000"/>
                <w:kern w:val="0"/>
                <w:sz w:val="25"/>
                <w:szCs w:val="24"/>
              </w:rPr>
              <w:t>/</w:t>
            </w:r>
            <w:r>
              <w:rPr>
                <w:rFonts w:ascii="Times New Roman" w:hAnsi="Times New Roman"/>
                <w:color w:val="000000"/>
                <w:kern w:val="0"/>
                <w:sz w:val="25"/>
                <w:szCs w:val="24"/>
              </w:rPr>
              <w:t>或中国银行业监督管理委员会</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指依据有关法律法规规定或经中国证监会核准可投资于证券投资基金的自然人</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指依法可以投资开放式证券投资基金的、在中华人民共和国境内合法注册登记并存续或经有关政府部门批准设立并存续的企业法人、事业法人、社会团体或其他组织</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指符合现行有效的相关法律法规规定可以投资于中国境内证券市场的中国境外的机构投资者</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投资人</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指个人投资者、机构投资者和合格境外机构投资者以及法律法规或中国证监会允许购买证券投资基金的其他投资人的合称</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指依基金合同和招募说明书合法取得基金份额的投资人</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指基金管理人或代销机构宣传推介基金，发售基金份额，办理基金份额的申购、赎回、转换、转托管及定期定额投资等业务</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指直销机构和代销机构</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直销机构</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代销机构</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销售办法》和中国证监会规定的其他条件，取得基金代销业务资格并与基金管理人签订了基金销售服务代理协议，代为办理基金销售业务的机构，以及可通过上海证券交易所交易系统办理基金销售业务的会员单位</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会员单位</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指具有开放式基金代销资格，经上海证券交易所和中国证券登记结算有限责任公司认可的、可通过上海证券交易所交易系统办理开放式基金的认购、申购、赎回和转托管等业务的上海证券交易所会员单位</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基金销售网点</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指直销机构的直销中心及代销机构的代销网点</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注册登记业务</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过户、清算和结算业务，具体内容包括投资人基金账户的建立和管理、基金份额注册登记、基金销售业务的确认、清算和结算、代理发放红利、建立并保管基金份额持有人名册、办理非交易过户业务等</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注册登记机构</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指办理注册登记业务的机构。基金的注册登记机构为交银施罗德基金管理有限公司或接受交银施罗德基金管理有限公司委托代为办理注册登记业务的机构</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指注册登记机构为投资人开立的、记录其持有的基金管理人所管理的基金份额余额及其变动情况的账户</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基金交易账户</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指销售机构为投资人开立的、记录投资人通过该销售机构买卖本基金的基金份额变动及结余情况的账户</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指基金募集达到法律法规规定及基金合同规定的条件，基金管理人向中国证监会办理基金备案手续完毕，并获得中国证监会书面确认的日期</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基金合同终止日</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指基金合同规定的基金合同终止事由出现后，基金财产清算完毕，清算结果报中国证监会备案并予以公告的日期</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基金募集期</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w:t>
            </w:r>
            <w:r>
              <w:rPr>
                <w:rFonts w:ascii="Times New Roman" w:hAnsi="Times New Roman"/>
                <w:color w:val="000000"/>
                <w:kern w:val="0"/>
                <w:sz w:val="25"/>
                <w:szCs w:val="24"/>
              </w:rPr>
              <w:t>3</w:t>
            </w:r>
            <w:r>
              <w:rPr>
                <w:rFonts w:ascii="Times New Roman" w:hAnsi="Times New Roman"/>
                <w:color w:val="000000"/>
                <w:kern w:val="0"/>
                <w:sz w:val="25"/>
                <w:szCs w:val="24"/>
              </w:rPr>
              <w:t>个月</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存续期</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日</w:t>
            </w:r>
            <w:r>
              <w:rPr>
                <w:rFonts w:ascii="Times New Roman" w:hAnsi="Times New Roman"/>
                <w:color w:val="000000"/>
                <w:kern w:val="0"/>
                <w:sz w:val="25"/>
                <w:szCs w:val="24"/>
              </w:rPr>
              <w:t>/</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指公历日</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月</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指公历月</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指上海证券交易所、深圳证券交易所的正常交易日</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指销售机构在规定时间受理投资人申购、赎回或其他业务申请的工作日</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w:t>
            </w:r>
            <w:r>
              <w:rPr>
                <w:rFonts w:ascii="Times New Roman" w:hAnsi="Times New Roman"/>
                <w:color w:val="000000"/>
                <w:kern w:val="0"/>
                <w:sz w:val="25"/>
                <w:szCs w:val="24"/>
              </w:rPr>
              <w:t>(</w:t>
            </w:r>
            <w:r>
              <w:rPr>
                <w:rFonts w:ascii="Times New Roman" w:hAnsi="Times New Roman"/>
                <w:color w:val="000000"/>
                <w:kern w:val="0"/>
                <w:sz w:val="25"/>
                <w:szCs w:val="24"/>
              </w:rPr>
              <w:t>不包含</w:t>
            </w:r>
            <w:r>
              <w:rPr>
                <w:rFonts w:ascii="Times New Roman" w:hAnsi="Times New Roman"/>
                <w:color w:val="000000"/>
                <w:kern w:val="0"/>
                <w:sz w:val="25"/>
                <w:szCs w:val="24"/>
              </w:rPr>
              <w:t>T</w:t>
            </w:r>
            <w:r>
              <w:rPr>
                <w:rFonts w:ascii="Times New Roman" w:hAnsi="Times New Roman"/>
                <w:color w:val="000000"/>
                <w:kern w:val="0"/>
                <w:sz w:val="25"/>
                <w:szCs w:val="24"/>
              </w:rPr>
              <w:t>日</w:t>
            </w: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指为投资人办理基金份额申购、赎回或其他业务的工作日</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交易时间</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指开放日基金接受申购、赎回或其他交易的时间段</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《业务规则》</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开放式基金业务规则》，是规范基金管理人所管理的开放式证券投资基金注册登记方面的业务规则，由基金管理人和投资人共同遵守；此外，投资人通过场内认购、申购、赎回本基金还须遵守上海证券交易所及登记结算公司场内业务有关规则</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指在基金募集期内，投资人申请购买基金份额的行为</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指基金合同生效后，投资人根据基金合同和招募说明书的规定申请购买基金份额的行为</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指基金合同生效后，基金份额持有人按基金合同规定的条件要求将基金份额兑换为现金的行为</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指不通过上海证券交易所的交易系统办理基金份额认购、申购和赎回等业务的销售机构和场所</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指通过上海证券交易所的交易系统办理基金份额认购、申购和赎回等业务的销售机构和场所</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按照基金合同和基金管理人届时有效公告规定的条件，申请将其持有基金管理人管理的、某一基金的基金份额转换为基金管理人管理的、且由同一注册登记机构办理注册登记的其他基金基金份额的行为</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指基金份额持有人在本基金的不同销售机构之间实施的变更所持基金份额销售机构的操作</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指投资人通过向有关销售机构提交申请，约定每期申购日、扣款金额及扣款方式，由指定的销售机构在投资人指定资金账户内自动扣款并于每期约定的申购日提交基金申购申请的一种投资方式</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巨额赎回</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指本基金单个开放日，基金净赎回申请</w:t>
            </w:r>
            <w:r>
              <w:rPr>
                <w:rFonts w:ascii="Times New Roman" w:hAnsi="Times New Roman"/>
                <w:color w:val="000000"/>
                <w:kern w:val="0"/>
                <w:sz w:val="25"/>
                <w:szCs w:val="24"/>
              </w:rPr>
              <w:t>(</w:t>
            </w:r>
            <w:r>
              <w:rPr>
                <w:rFonts w:ascii="Times New Roman" w:hAnsi="Times New Roman"/>
                <w:color w:val="000000"/>
                <w:kern w:val="0"/>
                <w:sz w:val="25"/>
                <w:szCs w:val="24"/>
              </w:rPr>
              <w:t>赎回申请份额总数加上基金转换中转出申请份额总数后扣除申购申请份额总数及基金转换中转入申请份额总数后的余额</w:t>
            </w:r>
            <w:r>
              <w:rPr>
                <w:rFonts w:ascii="Times New Roman" w:hAnsi="Times New Roman"/>
                <w:color w:val="000000"/>
                <w:kern w:val="0"/>
                <w:sz w:val="25"/>
                <w:szCs w:val="24"/>
              </w:rPr>
              <w:t>)</w:t>
            </w:r>
            <w:r>
              <w:rPr>
                <w:rFonts w:ascii="Times New Roman" w:hAnsi="Times New Roman"/>
                <w:color w:val="000000"/>
                <w:kern w:val="0"/>
                <w:sz w:val="25"/>
                <w:szCs w:val="24"/>
              </w:rPr>
              <w:t>超过上一开放日基金总份额的</w:t>
            </w:r>
            <w:r>
              <w:rPr>
                <w:rFonts w:ascii="Times New Roman" w:hAnsi="Times New Roman"/>
                <w:color w:val="000000"/>
                <w:kern w:val="0"/>
                <w:sz w:val="25"/>
                <w:szCs w:val="24"/>
              </w:rPr>
              <w:t>10%</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元</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基金利润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指基金投资所得红利、股息、债券利息、买卖证券价差、银行存款利息、已实现的其他合法收入及因运用基金财产带来的成本和费用的节约</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指基金拥有的各类有价证券、银行存款本息、基金应收申购款及其他资产的价值总和</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指基金资产总值减去基金负债后的价值</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指计算日基金资产净值除以计算日基金份额总数</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销售服务费</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指从基金财产中计提的，用于本基金市场推广、销售以及基金份额持有人服务的费用</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指对投资人收取申购费用且不从本类别基金资产中计提销售服务费的基金份额</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指在投资人申购时不收取申购费用，并从本类别基金资产中计提销售服务费的基金份额</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侧袋机制</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特定资产</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当事人无法预见、无法抗拒、无法避免且在基金合同由基金管理人、基金托管人签署之日后发生的，使基金合同当事人无法全部或部分履行基金合同的任何事件，包括但不限于洪水、地震及其他自然灾害、战争、骚乱、火灾、政府征用、没收、恐怖袭击、传染病传播、法律法规变化、突发停电或其他突发事件、证券交易所非正常暂停或停止交易</w:t>
            </w:r>
          </w:p>
        </w:tc>
      </w:tr>
    </w:tbl>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207634" w:rsidRDefault="000063DC">
      <w:pPr>
        <w:pStyle w:val="1"/>
        <w:snapToGrid w:val="0"/>
        <w:spacing w:beforeLines="0" w:before="240" w:after="240"/>
        <w:rPr>
          <w:rFonts w:ascii="宋体" w:hAnsi="宋体"/>
          <w:szCs w:val="30"/>
        </w:rPr>
      </w:pPr>
      <w:bookmarkStart w:id="6" w:name="_Toc231982073"/>
      <w:r>
        <w:rPr>
          <w:rFonts w:ascii="Times New Roman" w:hAnsi="Times New Roman"/>
          <w:sz w:val="30"/>
        </w:rPr>
        <w:lastRenderedPageBreak/>
        <w:t>三、基金管理人</w:t>
      </w:r>
      <w:bookmarkEnd w:id="6"/>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沈楠先生:基金经理。复旦大学经济学硕士，17年证券投资行业从业经验。2009年至2011年在长江证券担任高级分析师。2011年加入交银施罗德基金管理有限公司，曾任行业分析师、基金经理助理，现任权益部基金经理。现任交银施罗德主题优选灵活配置混合型证券投资基金(2015年05月05日至今)、交银施罗德国企改革灵活配置混合型证券投资基金(2015年06月10日至今)、交银施罗德瑞思混合型证券投资基金（LOF）(2020年02月21日至今)、交银施罗德稳固收益债券型证券投资基金(2026年03月17日至今)的基金经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史伟先生(2010年06月30日至2013年06月06日)；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李永兴先生(2012年03月20日至2015年05月31日)。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w:t>
      </w:r>
      <w:r>
        <w:rPr>
          <w:rFonts w:ascii="宋体" w:hAnsi="宋体"/>
          <w:sz w:val="24"/>
        </w:rPr>
        <w:lastRenderedPageBreak/>
        <w:t>收益；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w:t>
      </w:r>
      <w:r>
        <w:rPr>
          <w:rFonts w:ascii="宋体" w:hAnsi="宋体"/>
          <w:sz w:val="24"/>
        </w:rPr>
        <w:lastRenderedPageBreak/>
        <w:t>金投资内容、基金投资计划等信息；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（3）风险控制委员会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（2）建立相互分离、相互制衡的内控机制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7" w:name="_Toc231982074"/>
      <w:r>
        <w:rPr>
          <w:rFonts w:ascii="Times New Roman" w:hAnsi="Times New Roman"/>
          <w:sz w:val="30"/>
        </w:rPr>
        <w:lastRenderedPageBreak/>
        <w:t>四、基金托管人</w:t>
      </w:r>
      <w:bookmarkEnd w:id="7"/>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注册资本：贰仟陆佰壹拾陆亿零叁拾捌万壹仟肆佰伍拾玖元整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w:t>
      </w:r>
      <w:r>
        <w:rPr>
          <w:rFonts w:ascii="宋体" w:hAnsi="宋体"/>
          <w:sz w:val="24"/>
        </w:rPr>
        <w:lastRenderedPageBreak/>
        <w:t>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8" w:name="_Toc231982075"/>
      <w:r>
        <w:rPr>
          <w:rFonts w:ascii="Times New Roman" w:hAnsi="Times New Roman"/>
          <w:sz w:val="30"/>
        </w:rPr>
        <w:lastRenderedPageBreak/>
        <w:t>五、相关服务机构</w:t>
      </w:r>
      <w:bookmarkEnd w:id="8"/>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本基金直销机构为本公司直销柜台以及本公司的网上直销交易平台（网站及手机APP，下同）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个人投资者可以通过本公司网上直销交易平台办理开户、本基金的申购、赎回、转换及定期定额投资等业务，具体交易细则请参阅本公司网站。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（3）名称：杭州银行股份有限公司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（4）名称：华夏银行股份有限公司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（5）名称：江苏银行股份有限公司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客户服务电话：95319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（6）名称：北京银行股份有限公司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（7）名称：中国光大银行股份有限公司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（8）名称：中国民生银行股份有限公司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（9）名称：广发银行股份有限公司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住所：广州市越秀区东风东路713号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法定代表人：杨明生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联系人：李晓鹏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客户服务电话：800-830-8003，400-830-8003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网址：www.gdb.com.cn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（10）名称：中国农业银行股份有限公司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（11）名称：东莞农村商业银行股份有限公司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（12）名称：江苏常熟农村商业银行股份有限公司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网址：www.csrcbank.com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（13）名称：中信银行股份有限公司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（14）名称：上海银行股份有限公司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（15）名称：中国建设银行股份有限公司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（16）名称：交通银行股份有限公司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法定代表人：任德奇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（17）名称：招商银行股份有限公司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（18）名称：宁波银行股份有限公司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（19）名称：中国邮政储蓄银行股份有限公司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网址：www.psbc.com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（20）名称：东吴证券股份有限公司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（21）名称：南京银行股份有限公司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住所：南京市玄武区中山路288号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办公地址：南京市玄武区中山路288号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法定代表人：胡升荣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电话：025-86776111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传真：025-86775054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客户服务电话：95302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网址：www.njcb.com.cn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（22）名称：平安银行股份有限公司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（23）名称：中国工商银行股份有限公司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（24）名称：光大证券股份有限公司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（25）名称：东北证券股份有限公司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住所：长春市自由大路1138号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办公地址：长春市自由大路1138号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法定代表人：矫正中</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电话：（0431）85096709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联系人：潘锴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客户服务电话：4006000686，（0431）85096733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网址：www.nesc.cn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（26）名称：中银国际证券股份有限公司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住所：上海市银城中路200号39层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办公地址：中国上海浦东银城中路200号中银大厦39-40层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客户服务电话：400-620-8888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网址：www.bocichina.com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（27）名称：东兴证券股份有限公司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传真：（010）66555246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（28）名称：方正证券股份有限公司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（29）名称：中国民族证券有限责任公司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住所：北京市西城区金融街5号新盛大厦A座6-9层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办公地址：北京市西城区金融街5号新盛大厦A座6-9层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法定代表人：赵大建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客户服务电话：400-889-5618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网址：www.e5618.com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（30）名称：国投证券股份有限公司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（31）名称：国元证券股份有限公司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法定代表人：俞仕新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（32）名称：东莞证券股份有限公司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（33）名称：中航证券有限公司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（34）名称：财通证券股份有限公司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陶志华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（35）名称：国信证券股份有限公司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（36）名称：金融街证券股份有限公司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（37）名称：湘财证券股份有限公司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网址：www.xcsc.com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（38）名称：华龙证券股份有限公司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（39）名称：长城国瑞证券有限公司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（40）名称：爱建证券有限责任公司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（41）名称：长江证券股份有限公司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办公地址：武汉市新华路特8号长江证券大厦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（42）名称：粤开证券股份有限公司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（43）名称：国新证券股份有限公司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（44）名称：西南证券股份有限公司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网址：www.swsc.com.cn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（45）名称：信达证券股份有限公司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（46）名称：渤海证券股份有限公司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（47）名称：长城证券有限责任公司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（48）名称：瑞银证券有限责任公司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法定代表人：程宜荪</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（49）名称：中国国际金融股份有限公司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（50）名称：江海证券有限公司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（51）名称：中泰证券股份有限公司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网址：www.zts.com.cn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（52）名称：平安证券股份有限公司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（53）名称：国都证券股份有限公司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（54）名称：中国银河证券股份有限公司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（55）名称：万联证券股份有限公司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客服电话：95322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（56）名称：西部证券股份有限公司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（57）名称：国联民生证券股份有限公司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（58）名称：东方财富证券股份有限公司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（59）名称：德邦证券股份有限公司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法定代表人：姚文平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（60）名称：兴业证券股份有限公司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（61）名称：华泰证券股份有限公司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（62）名称：国金证券股份有限公司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网址：www.gjzq.com.cn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（63）名称：中邮证券有限责任公司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（64）名称：中信建投证券股份有限公司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（65）名称：开源证券股份有限公司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（66）名称：华宝证券股份有限公司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电话：（021）68777222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（67）名称：招商证券股份有限公司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（68）名称：大同证券有限责任公司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（69）名称：申万宏源证券有限公司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网址：www.sywg.com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（70）名称：申万宏源西部证券有限公司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（71）名称：中信证券（山东）有限责任公司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（72）名称：中信证券股份有限公司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（73）名称：中信证券华南股份有限公司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电话：020-88836999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（74）名称：第一创业证券股份有限公司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（75）名称：中原证券股份有限公司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（76）名称：广发证券股份有限公司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网址：www.gf.com.cn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（77）名称：国泰海通证券股份有限公司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（78）名称：华西证券股份有限公司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（79）名称：浙商证券股份有限公司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（80）名称：山西证券股份有限公司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办公地址：山西省太原市府西街69号山西国际贸易中心东塔楼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（81）名称：东方证券股份有限公司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（82）名称：华福证券股份有限公司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（83）名称：中国中金财富证券有限公司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网址：www.ciccwm.com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（84）名称：民生证券股份有限公司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（85）名称：北京广源达信基金销售有限公司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（86）名称：天相投资顾问有限公司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（87）名称：上海中欧财富基金销售有限公司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办公地址：上海市虹口区公平路18号嘉昱大厦6楼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（88）名称：大连网金基金销售有限公司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（89）名称：阳光人寿保险股份有限公司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（90）名称：玄元保险代理有限公司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传真：（021）50701053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（91）名称：京东肯特瑞基金销售有限公司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（92）名称：上海大智慧基金销售有限公司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（93）名称：和耕传承基金销售有限公司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客户服务电话：4000555671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（94）名称：腾安基金销售（深圳）有限公司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（95）名称：珠海盈米基金销售有限公司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（96）名称：上海华夏财富投资管理有限公司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（97）名称：北京度小满基金销售有限公司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注册地址：北京市海淀区西北旺东路10号院西区4号楼1层103室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（98）名称：南京苏宁基金销售有限公司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（99）名称：嘉实财富管理有限公司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（100）名称：北京汇成基金销售有限公司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电话：（010）56282140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（101）名称：上海利得基金销售有限公司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（102）名称：北京虹点基金销售有限公司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（103）名称：上海陆金所基金销售有限公司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客户服务电话：4008219031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（104）名称：上海挖财基金销售有限公司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（105）名称：万家财富基金销售（天津）有限公司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（106）名称：上海万得基金销售有限公司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（107）名称：格上富信投资顾问有限公司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（108）名称：深圳市金斧子基金销售有限公司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（109）名称：北京雪球基金销售有限公司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（110）名称：北京新浪仓石基金销售有限公司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办公地址：北京市海淀区东北旺西路中关村软件园二期（西扩）N-1、N-2地块新浪总部科研楼5层518室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（111）名称：中证金牛（北京）基金销售有限公司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（112）名称：上海证达通基金销售有限公司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（113）名称：北京创金启富基金销售有限公司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传真：010-63583991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（114）名称：奕丰基金销售有限公司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（115）名称：上海天天基金销售有限公司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（116）名称：和讯信息科技有限公司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客户服务电话：4009200022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（117）名称：诺亚正行基金销售有限公司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（118）名称：上海好买基金销售有限公司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（119）名称：上海长量基金销售有限公司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（120）名称：深圳众禄基金销售股份有限公司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办公地址：深圳市罗湖区梨园路物资控股置地大厦8楼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（121）名称：蚂蚁（杭州）基金销售有限公司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（122）名称：上海基煜基金销售有限公司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（123）名称：浙江同花顺基金销售有限公司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电话：（0571）88911818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（124）名称：宜信普泽（北京）基金销售有限公司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（125）名称：上海联泰基金销售有限公司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（126）名称：深圳市新兰德证券投资咨询有限公司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客户服务电话：400-850-7771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（127）名称：北京展恒基金销售股份有限公司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（128）名称：泛华普益基金销售有限公司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（129）名称：济安财富（北京）基金销售有限公司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（130）名称：中信期货有限公司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住所：深圳市福田区中心三路8号卓越时代广场（二期）北座13层1301-1305室、14层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（131）名称：博时财富基金销售有限公司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（132）名称：深圳前海微众银行股份有限公司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（133）名称：中国人寿保险股份有限公司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住所：中国北京市西城区金融大街16号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传真：+86 (21) 6288 1889</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9" w:name="_Toc231982076"/>
      <w:r>
        <w:rPr>
          <w:rFonts w:ascii="Times New Roman" w:hAnsi="Times New Roman"/>
          <w:sz w:val="30"/>
        </w:rPr>
        <w:lastRenderedPageBreak/>
        <w:t>六、基金的募集</w:t>
      </w:r>
      <w:bookmarkEnd w:id="9"/>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本基金由基金管理人依照《基金法》、《运作办法》、基金合同及其他有关规定，并经中国证监会证监许可[2010]624号文核准募集发售。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本基金募集期间基金份额净值为人民币1.00元，按面值发售。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本基金自2010年5月24日至2010年6月24日进行发售。本基金设立募集期共募集3,235,642,950.36份基金份额，有效认购户数为47,822户。</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10" w:name="_Toc231982077"/>
      <w:r>
        <w:rPr>
          <w:rFonts w:ascii="Times New Roman" w:hAnsi="Times New Roman"/>
          <w:sz w:val="30"/>
        </w:rPr>
        <w:lastRenderedPageBreak/>
        <w:t>七、基金合同的生效</w:t>
      </w:r>
      <w:bookmarkEnd w:id="10"/>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根据有关规定，本基金满足基金合同生效条件，基金合同已于2010年6月30日正式生效。自基金合同生效之日起，本基金管理人正式开始管理本基金。</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法律法规另有规定的，按其规定办理。</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11" w:name="_Toc231982078"/>
      <w:r>
        <w:rPr>
          <w:rFonts w:ascii="Times New Roman" w:hAnsi="Times New Roman"/>
          <w:sz w:val="30"/>
        </w:rPr>
        <w:lastRenderedPageBreak/>
        <w:t>八、基金份额的申购与赎回</w:t>
      </w:r>
      <w:bookmarkEnd w:id="11"/>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投资者可通过场外和场内两种方式申购与赎回A类基金份额；C类基金份额不开设场内申购、赎回的方式，投资者只能通过场外方式申购与赎回C类基金份额。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客户服务热线：400-700-5000（免长途话费），（021）61055000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个人投资者可以通过本公司网上直销交易平台办理开户、本基金A类基金份额和C类基金份额的申购、赎回、转换、定期定额投资等业务，具体交易细则请参阅本公司网站。网上直销交易平台网址：www.fund001.com。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2、场外代销机构的代销网点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本基金的场外代销机构的代销网点请见本招募说明书“五、相关服务机构”章节或拨打本公司客户服务电话进行咨询。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3、通过上海证券交易所交易系统办理相关业务的上海证券交易所会员单位，目前场内交易只支持前端A类收费基金申购。具体名单详见上海证券交易所网站。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投资人可通过上述场所按照规定的方式进行申购或赎回。本基金管理人可根据情况变更或增减基金代销机构，并在管理人网站公示。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的，若该申请被成功确认，则其基金份额申购、赎回、转换价格为下次办理基金份额申购、赎回、转换业务时间所在开放日的价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本基金A类基金份额已于2010年7月15日起开放场内、场外申购业务。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本基金C类基金份额已于2021年11月26日起开放场外申购业务。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本基金A类基金份额已于2010年7月15日起开放场内、场外赎回业务。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本基金C类基金份额已于2021年11月26日起开放场外赎回业务。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（三）申购和赎回的原则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3、投资人申购基金份额时，必须全额交付申购款项，投资人交付款项后，申购申请方为有效；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4、赎回遵循“先进先出”原则，即按照投资人认购、申购和红利再投的的先后次序进行顺序赎回；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5、当日的申购与赎回申请可以在基金管理人规定的时间以内撤销。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基金管理人可根据基金运作的实际情况依法对上述原则进行调整。基金管理人必须在新规则开始实施前依照《信息披露办法》的有关规定在指定媒介上公告。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场外申购时，代销网点每个账户单笔申购的最低金额为单笔1元，如果代销机</w:t>
      </w:r>
      <w:r>
        <w:rPr>
          <w:rFonts w:ascii="宋体" w:hAnsi="宋体"/>
          <w:sz w:val="24"/>
        </w:rPr>
        <w:lastRenderedPageBreak/>
        <w:t>构业务规则规定的最低单笔申购金额高于1元，以代销机构的规定为准。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本基金）记录的投资人不受首次申购最低金额的限制。通过本公司网上直销交易平台办理基金申购业务的不受直销中心单笔申购最低金额的限制，申购最低金额为单笔1 元。本基金直销中心单笔申购最低金额可由基金管理人酌情调整。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场内申购时，每笔申购金额最低为1000元人民币，同时每笔申购必须是100元的整数倍，并且单笔申购最高不超过99,999,900元。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场外赎回时，赎回的最低份额为1份基金份额，如果销售机构业务规则规定的最低单笔赎回份额高于1份，以该销售机构的规定为准；场内赎回时，赎回的最低份额为50 份基金份额，同时赎回份额必须是整数份额，并且单笔赎回最多不超过99,999,999份基金份额。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前依照《信息披露办法》的有关规定在指定的媒体上刊登公告并报中国证监会备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投资人必须根据基金销售机构规定的程序，在开放日的业务办理时间向基金销售机构提出申购或赎回的申请。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投资人在申购本基金时须按销售机构规定的方式备足申购资金，否则所提交的申购申请无效而不予成交。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投资人在提交赎回申请时，必须持有足够的基金份额余额，否则所提交的赎回申请无效而不予成交。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注册登记机构应以交易时间结束前受理申购和赎回申请的当天作为申购或赎回申请日(T日)，正常情况下，本基金注册登记机构在T+1日内对该交易的有效性进行确认。T日提交的有效申请，投资人应在T+2日后（包括该日）及时到销售网点柜台或以销售机构规定的其他方式查询申请的确认情况，否则如因申请未得到注册登记机构的确认而产生的后果，由投资人自行承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基金销售机构对申购申请的受理并不代表申请一定成功，而仅代表销售机构确实接收到申请。申购的确认以注册登记机构或基金管理人的确认结果为准。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申购采用全额缴款方式，若申购资金在规定时间内未全额到账，则申购不成功，若申购不成功或无效，基金管理人或基金管理人指定的代销机构将投资人已缴付的申购款项本金退还给投资人。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申请成功后，基金管理人将指示基金托管人在T＋7日（包括该日）内从托管账户将赎回款项划出，经销售机构划往基金份额持有人银行账户。在发生巨额赎回时，款项的支付办法参照基金合同的有关条款处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4、申购和赎回基金份额的份额注册登记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投资人申购基金成功后，注册登记机构在T+1日为投资人登记权益并办理份额注册登记手续，投资人自T+2日（含该日）后有权赎回该部分基金份额。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投资人赎回基金成功后，注册登记机构在T+1日为投资人办理扣除权益的份额注册登记手续。</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基金管理人可以在法律法规允许的范围内，对上述份额注册登记办理时间进行调整，但不得影响投资人实质的合法权益，并依照《信息披露办法》的有关规定于开始实施前在指定媒介上公告。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本基金基金份额分为A类基金份额和C类基金份额。投资人申购A类基金份额需支付申购费用；申购C类基金份额不支付申购费用，并从该类别基金资产中计提销售服务费。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提供两种申购费用的支付模式。投资人可以选择前端收费模式，即在申购时支付申购费用；也可以选择后端收费模式，即在赎回时才支付相应的申购费用，该费用随A类基金份额的持有时间递减。场外申购可以采取前端收费模式和后端收费模式，场内申购目前只支持前端收费模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本基金A类基金份额的申购费用由申购A类基金份额的申购人承担，不列入基金财产，主要用于本基金的市场推广、销售、注册登记等各项费用。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投资人可以多次申购本基金，申购费率按每笔申购申请单独计算。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0763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20763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类基金份额后端申购费率</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本基金自2013年4月11日起，对通过本公司直销柜台申购本基金前端A类基金份额的养老金客户实施特定申购费率。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通过本公司直销柜台申购本基金前端A类基金份额的养老金客户特定申购费率如下表：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20763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类基金份额的特</w:t>
            </w:r>
            <w:r>
              <w:rPr>
                <w:rFonts w:ascii="Times New Roman" w:hAnsi="Times New Roman"/>
                <w:color w:val="000000"/>
                <w:kern w:val="0"/>
                <w:sz w:val="25"/>
                <w:szCs w:val="24"/>
              </w:rPr>
              <w:lastRenderedPageBreak/>
              <w:t>定申购费率（前端）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类基金份额前端特定申购费率</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赎回费用的25%归基金财产，其余用于支付注册登记费和其他必要的手续费。其中，对持续持有期少于7日的基金份额持有人收取不低于1.5%的赎回费并全额计入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0763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07634">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07634">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07634" w:rsidRDefault="00207634">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根据法律法规及基金合同的规定调整申购费率、降低赎回费率或调整收费方式，最新的申购费率和赎回费率以及收费方式在更新的招募说明书中列示。费率或收费方式如发生变更，基金管理人最迟应于新的费率或收费方式</w:t>
      </w:r>
      <w:r>
        <w:rPr>
          <w:rFonts w:ascii="宋体" w:hAnsi="宋体"/>
          <w:sz w:val="24"/>
        </w:rPr>
        <w:lastRenderedPageBreak/>
        <w:t>开始实施日前依照《信息披露办法》的有关规定在指定媒介上公告。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4、对特定交易方式（如网上交易、电话交易等），在不违背法律法规规定的情况下，基金管理人可以采用低于柜台交易方式的基金申购费率和基金赎回费率。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基金投资人定期和不定期地开展基金促销活动。在基金促销活动期间，基金管理人按中国证监会要求履行必要手续后，可适当调低基金申购费率、赎回费率和转换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场外申购时，申购A类基金份额或C类基金份额的有效份额为按实际确认的申购金额在扣除相应的费用后，以申请当日该类基金份额的基金份额净值为基准计算，四舍五入保留到小数点后两位，由此误差产生的收益或损失由基金财产承担；场内申购时，申购A类基金份额的有效份额为按实际确认的申购金额在扣除相应的费用（如有）后，以申请当日A类基金份额的基金份额净值为基准计算，保留到整数位，剩余部分按每份基金份额申购价格折回金额返回投资人，折回金额的计算保留到小数点后2位，小数点2位以后的部分四舍五入，由此误差产生的收益或损失由基金财产承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A类基金份额或C类基金份额有效赎回份额乘以申请当日该类基金份额的基金份额净值并扣除相应的费用（如有），四舍五入保留到小数点后两位，由此误差产生的收益或损失由基金财产承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A类基金份额的场外申购可以采取前端收费模式和后端收费模式，场内申购目前只支持前端收费模式。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场内申购金额的有效份额保留到整数位，剩余部分对应申购资金返回投资人。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对应返还申购金额=净申购金额-取整数位后确认的申购份额×T日A类基金份额净值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例一：某投资人投资40,000元申购本基金的A类基金份额，假设申购当日A类基金份额净值为1.0400元，如果其选择前端收费方式，申购费率为1.5%，则其可得到的申购份额为：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如果投资人是场内申购，申购份额为37,893份，则：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对应返还申购金额=39,408.87-37,893×1.040=0.15元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即其余0.14份对应金额0.15元返回给投资人。如果投资人是场外申购，申购份额为37,893.14份。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申购份额＝申购总金额/T日A类基金份额净值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当投资人提出赎回时，后端认购费用的计算方法为：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后端申购费用＝赎回份额×申购日A类基金份额净值×后端申购费率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例二：某投资人投资40,000元申购本基金A类基金份额，假设申购当日A类基金份额净值为1.0400元，如果其选择后端收费方式，则其可得到的申购份额为：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 40,000 / 1.0400 ＝ 38,461.54份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40,000元申购本基金的A类基金份额，假设申购当日A类基金份额净值为1.0400元，则可得到38,461.54份A类基金份额，但其在赎回时需根据其持有时间按对应的A类基金份额后端申购费率交纳后端申购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w:t>
      </w:r>
      <w:r>
        <w:rPr>
          <w:rFonts w:ascii="宋体" w:hAnsi="宋体"/>
          <w:sz w:val="24"/>
        </w:rPr>
        <w:lastRenderedPageBreak/>
        <w:t>基金份额净值为1.0400元，则其可得到的申购份额为：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赎回金额为按实际确认的A类基金份额或C类基金份额有效赎回份额乘以当日该类基金份额的基金份额净值并扣除相应的费用（如有），赎回金额单位为元，计算结果保留到小数点后两位，第三位四舍五入。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1）如果投资人在认（申）购时选择交纳前端认（申）购费用，则赎回金额的计算方法如下：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例四：某投资人赎回通过前端认购（申购）持有的10,000份A类基金份额，持有期限为30日，对应的赎回费率为0.5%，假设赎回当日A类基金份额净值是1.0160元，则其可得到的赎回金额为：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即：投资人赎回本基金10,000份A类基金份额，假设赎回当日A类基金份额净值是1.0160元，则其可得到的赎回金额为10,109.20元。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2）如果投资人在认（申）购时选择交纳后端认（申）购费用，则赎回金额的计算方法如下：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赎回总额＝赎回份额×T日A类基金份额净值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后端认（申）购费用＝赎回份额×认（申）购日A类基金份额净值×后端认（申）购费率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例五：某投资人赎回通过后端认购持有的10,000份A类基金份额，持有期限为30日，对应的后端认购费率为1.6%，赎回费率为0.5%，假设赎回当日A类基金份额净值是1.0160元，则其可得到的赎回金额为：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后端认购费用 = 10,000×1.0000×1.6% = 160.00元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10,000×1.0160-160.00-50.80 ＝ 9,949.20元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通过后端认购所得本基金10,000份A类基金份额，对应的赎回费率为0.5%，假设赎回当日A类基金份额净值是1.0160元，投资人对应的后端认购费率是1.6%，认购时的A类基金份额初始面值为1.0000元，则其可得到的赎回金额为9,949.20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人赎回通过后端申购持有的10,000份A类基金份额，持有期限为30日，对应的后端申购费率是1.8%，赎回费率为0.5%，假设赎回当日A类基金份额净值是1.0160元，申购时的A类基金份额净值为1.0100元，则其可得到的赎回金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赎回总额=10,000×1.0160=10,160元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后端申购费用=10,000×1.0100×1.8%=181.80元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赎回费用=10,16×0.5%=50.80元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赎回金额=10,160-181.80-50.80=9,927.40元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10,000份A类基金份额，对应的赎回费率为0.5%，假设赎回当日A类基金份额净值是1.0160元，投资人对应的后端申购费率是1.8%，申购时的A类基金份额净值为1.0100元，则其可得到的赎回金额为9,927.40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例七：某投资者赎回10,000份C类基金份额，持有期限为20日，对应的赎回费率为0.5%，假设赎回当日C类基金份额净值是1.0160元，则其可得到的赎回金额为：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4、基金份额净值的计算公式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（八）拒绝或暂停申购的情形及处理方式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（2）证券交易所在交易时间非正常停市，导致基金管理人无法计算当日的基金资产净值；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（3）发生基金合同规定的暂停基金资产估值情况；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（5）基金资产规模过大，使基金管理人无法找到合适的投资品种，或其他可能对基金业绩产生负面影响，从而损害现有基金份额持有人的利益；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7）项以外的暂停申购情形且基金管理人决定暂停申购时，除拒绝特定申购申请外，基金管理人应当根据《信息披露办法》的有关规定在指定媒介上刊登暂停申购公告。如果投资人的申购申请被拒绝，被拒绝的申购款项将全额退还投资人。在暂停申购的情况消除时，基金管理人应及时恢复申购业务的办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（九）暂停赎回或者延缓支付赎回款项的情形及处理方式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w:t>
      </w:r>
      <w:r>
        <w:rPr>
          <w:rFonts w:ascii="宋体" w:hAnsi="宋体"/>
          <w:sz w:val="24"/>
        </w:rPr>
        <w:lastRenderedPageBreak/>
        <w:t>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（2）证券交易所交易时间非正常停市，导致基金管理人无法计算当日基金资产净值；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（4）发生基金合同规定的暂停基金资产估值情况；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且基金管理人决定暂停接受投资人的赎回申请或延缓支付赎回款项时，基金管理人应在当日报中国证监会备案，已确认成功的赎回申请，基金管理人应足额支付赎回款项；如暂时不能足额支付，应将可支付部分按单个账户申请量占申请总量的比例分配给赎回申请人，未支付部分可延期支付，并以后续开放日的基金份额净值为依据计算赎回金额。若连续两个或两个以上开放日发生巨额赎回，延期支付最长不得超过20个工作日，并在指定媒介上公告。投资人在申请赎回时可事先选择将当日可能未获受理部分予以撤销。在暂停赎回的情况消除时，基金管理人应及时恢复赎回业务的办理并予以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暂停基金的赎回，基金管理人应根据《信息披露办法》的有关规定及时在指定媒介上刊登暂停赎回公告。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内的基金净赎回申请份额（赎回申请份额总数加上基金转换中转出申请份额总数扣除申购申请份额总数及基金转换中转入申请份额总数后的余额）超过上一开放日基金总份额的10%时，即认为发生了巨额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确认成功的赎回申请可以延缓支付赎回款项，但不得超过20个工作日，并应当在指定媒介上进行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巨额赎回并延期赎回时，基金管理人应通过邮寄、传真、刊登公告或者通知代销机构代为告知等方式，在3个交易日内通知基金份额持有人，说明有关处理方法，并在2日内依照《信息披露办法》的有关规定在指定媒介上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2、如发生暂停的时间为1日，基金管理人应于重新开放日，在指定媒介上刊登基金重新开放申购或赎回公告，并公布最近1个开放日各类基金份额的基金份额净值。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发生暂停的时间超过1日，暂停结束，基金重新开放申购或赎回时，基金管理人应依照《信息披露办法》的有关规定于两日内在指定媒介上刊登基金重新开放申购或赎回公告，并公布最近1个开放日各类基金份额的基金份额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（十二）转托管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目前实行份额托管的交易制度。基金份额持有人可办理已持有基金份额在不同销售机构之间的转托管，对A类基金份额而言包括在上证所场内不同会员营业部之间进行转指定，也包括在上证所场内系统和场外系统之间进行跨市场转托管。除经基金管理人另行公告，C类基金份额不能进行跨系统转托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进行份额转托管时，基金份额持有人可以将其某个交易账户下的基金份额全部或部分转托管。办理转托管业务的基金份额持有人需在转出方办理基金份额转出手续，在转入方办理基金账户注册手续。</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（十三）定期定额投资计划</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2010年7月12日刊登公告自2010年7月15日起开通A类基金份额的定期定额投资计划业务，本基金2021年11月23日刊登公告自2021年11月26日起增设C类基金份额并开通C类基金份额的定期定额投资计划业务，具体开通销售机构名单和业务规则参见相关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（十四）定时不定额投资计划</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自2012年1月1日起，投资者可通过中国工商银行股份有限公司的“基智定投”办理本基金A类基金份额的定时不定额投资业务。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基智定投业务是中国工商银行股份有限公司普通基金定投业务的升级业务，基智定投分为定时不定额和定时定额两种投资方式。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中国工商银行股份有限公司办理本公司旗下基金的基智定投业务，相关流程和业务规则遵循中国工商银行股份有限公司的有关规定。详情请咨询当地中国工商银行股份有限公司的代销网点或中国工商银行股份有限公司客户服务电话（95588）。</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（十五）基金的非交易过户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的非交易过户是指基金注册登记机构受理继承、捐赠和司法强制执行而产生的非交易过户以及注册登记机构认可、符合法律法规的其它非交易过户。无论在上述何种情况下，接受划转的主体必须是依法有权持有本基金基金份额的投资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注册登记机构要求提供的相关资料，对于符合条件的非交易过户申请按基金注册登记机构的规定办理，并按基金注册登记机构规定的标准收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（十六）基金的冻结和解冻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注册登记机构只受理国家有权机关依法要求的基金份额的冻结与解冻，以及注册登记机构认可、符合法律法规的其他情况下的基金份额的冻结与解冻。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12" w:name="_Toc231982079"/>
      <w:r>
        <w:rPr>
          <w:rFonts w:ascii="Times New Roman" w:hAnsi="Times New Roman"/>
          <w:sz w:val="30"/>
        </w:rPr>
        <w:lastRenderedPageBreak/>
        <w:t>九、基金的转换</w:t>
      </w:r>
      <w:bookmarkEnd w:id="12"/>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本基金2010年7月12日刊登公告自2010年7月15日起开放A类基金份额的日常转换业务，本基金2021年12月22日刊登公告自2021年12月23日起开放C类基金份额的日常转换业务。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基金转换以份额为单位进行申请，申请转换份额精确到小数点后两位，小数点后两位以后的部分四舍五入，误差部分归基金财产。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w:t>
      </w:r>
      <w:r>
        <w:rPr>
          <w:rFonts w:ascii="宋体" w:hAnsi="宋体"/>
          <w:sz w:val="24"/>
        </w:rPr>
        <w:lastRenderedPageBreak/>
        <w:t>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w:t>
      </w:r>
      <w:r>
        <w:rPr>
          <w:rFonts w:ascii="宋体" w:hAnsi="宋体"/>
          <w:sz w:val="24"/>
        </w:rPr>
        <w:lastRenderedPageBreak/>
        <w:t>五入，误差部分归基金财产。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w:t>
      </w:r>
      <w:r>
        <w:rPr>
          <w:rFonts w:ascii="宋体" w:hAnsi="宋体"/>
          <w:sz w:val="24"/>
        </w:rPr>
        <w:lastRenderedPageBreak/>
        <w:t>元，交银货币的基金份额净值为1.00元。若该投资者将100,000份交银货币A级基金份额转换为交银增利A类基金份额，则转入确认的交银增利A类基金份额为：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w:t>
      </w:r>
      <w:r>
        <w:rPr>
          <w:rFonts w:ascii="宋体" w:hAnsi="宋体"/>
          <w:sz w:val="24"/>
        </w:rPr>
        <w:lastRenderedPageBreak/>
        <w:t>一年半，转换申请当日交银先锋的A类基金份额净值为1.2500元，交银货币的基金份额净值为1.00元。若该投资者将100,000份交银先锋后端A类基金份额转换为交银货币，则转入交银货币的基金份额为：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w:t>
      </w:r>
      <w:r>
        <w:rPr>
          <w:rFonts w:ascii="宋体" w:hAnsi="宋体"/>
          <w:sz w:val="24"/>
        </w:rPr>
        <w:lastRenderedPageBreak/>
        <w:t>申购状态。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13" w:name="_Toc231982080"/>
      <w:r>
        <w:rPr>
          <w:rFonts w:ascii="Times New Roman" w:hAnsi="Times New Roman"/>
          <w:sz w:val="30"/>
        </w:rPr>
        <w:lastRenderedPageBreak/>
        <w:t>十、基金的投资</w:t>
      </w:r>
      <w:bookmarkEnd w:id="13"/>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 投资理念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在坚持一贯的价值投资理念基础上，通过专业化的研究分析，积极把握非完全有效市场及不断变化的市场环境中的投资机会，注重在优选的投资主题下获取良好投资收益。该理念至少包含以下三方面的含义：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1、证券市场并非完全有效，通过专业研究可以获得信息优势，把握市场环境变化的契机，积极投资，可以获得较高的超额收益。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2、利用专业化的分析范式和方法，根据经济周期理论，在市场状况不好的情况下通过灵活调整资产的配置比例提升组合收益，实现资产长期稳定的投资回报。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遵循自上而下的分析模式，在全球经济的框架下，结合中国经济的长期发展趋势，把握社会结构、经济结构、产业结构以及商业运作模式变化的根本性趋势以及导致上述根本性变化的关键性驱动因素，从而前瞻性地发掘经济发展过程中的投资主题，从中挖掘行业机会，精选个股，实现投资组合的超额收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（二）投资目标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本基金力图通过前瞻性的主题优选，积极把握行业和个股投资机会，在控制风险并保持基金资产良好的流动性的前提下，力争实现基金资产的长期稳定增值。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（三）投资范围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本基金的投资范围为具有良好流动性的金融工具，包括国内依法发行上市的股票（含存托凭证）、债券、货币市场工具、权证、资产支持证券以及法律法规或中国证监会允许基金投资的其他金融工具。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（四）投资对象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30%-80%；债券、货币市场工具、现金、权证、资产支持证券以及法律法规或中国证监会允许基金投资的其他证券品种占基金资产的20%-70%,其中基金保留的现金以及投资于到期日在一年以内的政府债券的比例合计不低于基金资产净值的5%，现金不包括结算备付金、存出保证金和应收申购款等。在基金实际管理过程中，基金管理人将根据中国宏观经济情况和证券市场的阶段性变化，适时调整基金资产在股票、债券及货币</w:t>
      </w:r>
      <w:r>
        <w:rPr>
          <w:rFonts w:ascii="宋体" w:hAnsi="宋体"/>
          <w:sz w:val="24"/>
        </w:rPr>
        <w:lastRenderedPageBreak/>
        <w:t>市场工具等之间的配置比例。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本基金的整体业绩比较基准采用：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60%×沪深300指数收益率+40%×中证综合债券指数收益率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本基金股票投资部分的业绩比较基准是沪深300指数，债券投资部分的业绩比较基准是中证综合债券指数收益率。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本基金采用沪深300指数作为股票投资部分的业绩比较基准主要基于以下原因：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1.沪深300指数是沪深证券交易所第一次联合发布的反映A股市场整体走势的指数，由中证指数公司编制和维护，是在上海和深圳证券市场中选取300只A股作为样本编制而成。</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2.该指数样本对沪深市场的覆盖度高，具有良好的市场代表性，投资人可以方便地从报纸、互联网等财经媒体中获取。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3.沪深300指数引进国际指数编制和管理的经验，编制方法清晰透明，具有独立性和良好的市场流动性；与市场整体表现具有较高的相关度，且指数历史表现强于市场平均收益水平。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因此，沪深300指数是衡量本基金股票投资业绩的理想基准。同时，根据本基金的目标资产配置比例来分配权重，本基金的业绩比较基准中加入了中证综合债券指数并按照本基金的目标资产配置比例来安排。</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基金管理人将视情况经与基金托管人协商同意并履行相关程序后调整本基金的业绩比较基准，及时公告并在更新的招募说明书中列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（六）投资策略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严谨、规范化的选股方法与积极主动的投资风格相结合，在分析和判断宏观经济发展趋势、经济周期和市场环境变化趋势的基础上，动态调整投资组合比例，自上而下灵活配置资产；通过优选主题配置和挖掘预期具有良好增长前景的优势行业相结合的方式，精选个股，以谋求超额收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将通过“自上而下”的定性分析和定量分析相结合以实现大类资产的灵活配置。具体而言，首先利用经济周期理论，对宏观经济的经济周期进行预测，在此基础上形成对不同资产市场表现的预测和判断，确定基金资产在各类别资产间的分配比例，并随着各类证券风险收益特征的相对变化，动态调整组合中各类资产的比例，以规避或分散市场风险，提高基金收益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操作中，基金管理人采用经济周期理论下的资产配置模型，通过对宏观经济运行指标、利率和货币政策等相关因素的分析，对中国的宏观经济运行情况进行判断和预测，然后利用经济周期理论确定基金资产在各类别资产间的战略配置策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经济周期理论，一个宏观经济运行的周期可以分为减速、衰退、复苏和扩张四个阶段，在经济周期的不同阶段，通货膨胀、利率水平和货币政策等对金融市场有着重要影响的因素往往表现出不同的规律，从而影响到不同大类金融资产的定价和市场表现。而实证研究也表明，经济周期与金融市场的表现往往呈现出很强的相关性，当宏观经济运行处于不同的阶段时，股票、债券和现金等各大类资产也体现出不同的市场表现。经济周期理论下的资产配置模型依据经济周期和金融市场表现所呈现的相关关系，通过预测宏观经济运行所处的阶段，对各类资产在该阶段下可能的市场表现进行判断，从而为资产配置的调整提供依据。具体而言，首先通过分析GDP增长率、失业率、利率水平和通货膨胀率等宏观经济运行指标和货币、财政政策的变化趋势，判断宏观经济运行所处的阶段。然后，根据经济周期不同阶段各类资产市场表现变化情况的实证研究，对股票、债券和现金等大类资产投资的比例进行战略配置和调整，增加该阶段下市场表现优于其他资产类别的资产的配置，减少市场表现相对较差的资产类别的配置，以规避或分散市场风险，提高基金经风险调整后的收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2、主题配置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认为，发生在2008年由次级贷款危机引发的全球性金融危机将为国际化的金融市场、贸易结构乃至各国间国力的此消彼长带来长远而深刻的影响。从经济发展的长期趋势看，此次金融危机的发生为我国提供了改变传统的以投资外加出口的经济增长模式的历史性机遇。本基金深刻分析在这一机遇与挑战并存的环境中推动我国经济新一轮腾飞和企业跨越式发展的关键性和趋势性因素，及时把握中国经济崛起过程中的主题投资机会，自上而下的进行主题发掘。基金管理人认为，</w:t>
      </w:r>
      <w:r>
        <w:rPr>
          <w:rFonts w:ascii="宋体" w:hAnsi="宋体"/>
          <w:sz w:val="24"/>
        </w:rPr>
        <w:lastRenderedPageBreak/>
        <w:t>在相当长一段时期内，内需扩大、消费升级、产业链整合、技术创新将是本轮中国经济腾飞过程中最关键的四大主题，在相当长一段时期内本基金将重点围绕这四大优选主题进行行业的选择和配置。未来，随着中国出现新的经济增长模式及新的经济发展趋势等因素的改变，基金管理人将深入挖掘和把握可能蕴含的更具价值的投资主题，为基金谋取良好的投资机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各优选主题间进行配置的决策过程中，本基金将综合考虑宏观经济发展的长期趋势、经济周期、市场变化以及多个优选主题的活跃程度，对未来市场运行趋势做出预期判断，综合评价相关经济环境变化对精选的有关主题及受益于该主题的行业和上市公司的影响，动态调整各主题受益行业和上市公司在股票资产配置的比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3、行业选择和配置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本基金将利用交银施罗德研究体系对多个优选主题所覆盖的细分行业进行预测和分析，挑选预期具有良好增长前景的行业进行重点投资。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国民经济快速增长的背后蕴涵了不同行业对GDP增长贡献率的差异。而不同行业受宏观经济周期、行业自身生命周期以及相关结构性因素的影响在不同时期表现往往具有明显差异。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操作中，我们对行业的挑选重点分为两个部分，即行业平均增长率预测和行业综合评价。首先考察各行业历史收入和利润增长表现，对未来行业收入增长率和行业平均利润增长率进行预测。然后对行业的综合表现和增长空间进行评估和排序，挑选出未来一段时间内最具增长前景的行业。具体评估将从宏观经济环境（重点包括宏观经济政策、产业政策对相关行业发展的影响）、行业景气度分析和预测（关注上下游行业对本行业景气度影响、密切追踪各行业景气度指标）、行业财务状况（行业盈利能力、行业经营效率）和行业竞争力综合表现四个方面入手，采用定性分析结合定量分析的方法对行业的未来增长前景进行综合评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最后，在完成对行业增长预测和行业综合评价基础上，通过市场及各个行业的相对和绝对估值水平PE、PB等数据的横向、纵向分析，进行估值比较，并跟踪各行</w:t>
      </w:r>
      <w:r>
        <w:rPr>
          <w:rFonts w:ascii="宋体" w:hAnsi="宋体"/>
          <w:sz w:val="24"/>
        </w:rPr>
        <w:lastRenderedPageBreak/>
        <w:t>业的资金流向、机构持仓特征等判断行业吸引力，动态把握行业板块轮换蕴涵的投资机会。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4、股票选择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在前述主题配置和行业优选的基础上，本基金综合运用交银施罗德股票研究分析方法和其它投资分析工具，采用自下而上方式精选具有投资潜力的股票构建股票投资组合。具体分以下两个层次进行股票挑选：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筛选出在公司治理、财务及管理品质上符合基本品质要求的上市公司，构建备选股票池。主要筛选指标包括：盈利能力指标（如P/E、P/Cash Flow、P/FCF、P/S、P/EBIT等）、经营效率指标（如ROE、ROA、Return on operating assets等）和财务状况指标（如D/A、流动比率等）。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此外，为了控制中小企业投资的个股风险，对以下股票进行剔除：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*ST和ST公司股票；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财务资料可信度较低或者财务资料有重大瑕疵的公司股票；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有关媒体报道有重大虚假陈述和重大利益输送以及其他重大违规、违法的公司股票。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（2）多元化价值评估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本基金在前述主题配置和行业优选的基础上，根据下述标准挑选出其中具有投资潜力的上市公司构建核心股票池：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公司治理结构良好，管理规范，信息透明；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主营业务鲜明，盈利能力强，收入和利润稳定增长；</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公司具有质量优良的成长性；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公司财务状况良好，具备一定的规模优势和较好的抗风险能力；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 公司在管理制度、产品开发、技术进步方面具有相当的核心竞争优势，有良好的市场知名度和较好的品牌效应，处于行业龙头地位。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对上述核心股票池中的重点上市公司进行内在价值的评估和成长性跟踪研究，在明确的价值评估基础上选择定价相对合理且成长性可持续的投资标的。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5、债券投资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在债券投资方面，本基金可投资于国债、央行票据、金融债、企业债和可转换</w:t>
      </w:r>
      <w:r>
        <w:rPr>
          <w:rFonts w:ascii="宋体" w:hAnsi="宋体"/>
          <w:sz w:val="24"/>
        </w:rPr>
        <w:lastRenderedPageBreak/>
        <w:t>债券等债券品种。本基金的债券投资采取主动的投资管理方式，获得与风险相匹配的投资收益，以实现在一定程度上规避股票市场的系统性风险和保证基金资产的流动性。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6、权证投资策略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7、资产支持证券的投资策略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（七）投资决策依据和投资程序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为了保证整个投资组合计划的顺利贯彻与实施，本基金遵循以下投资决策依据以及具体的决策程序：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1、投资决策依据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（1）国家有关法律法规和基金合同的有关规定；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（2）宏观经济发展态势、证券市场运行环境和走势，以及上市公司的基本面；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（3）投资对象的风险和预期收益的匹配关系，本基金将在承担适度风险的前提下，选择风险和预期收益配比最佳的品种进行投资。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2、决策和交易机制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本基金实行投资决策委员会领导下的基金经理负责制，投资总监、固定收益部总经理是投资决策委员会的执行代表。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投资决策委员会、投资总监、固定收益部总经理的主要职责是确定基金的资产配置政策，审批重大单项投资决定等。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基金经理的主要职责是在投资决策委员会确定的资产配置范围内，构建和调整投资组合，并向中央交易室下达投资指令。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3、投资流程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投资决策委员会是本基金的最高决策机构，投资决策委员会定期就投资管理业务的重大问题进行讨论。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基金经理、分析师、交易员在投资管理过程中既密切合作，又责任明确，在各自职责内按照业务程序独立工作并合理地相互制衡。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具体的投资管理流程如下：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（1）投资决策委员会每月召开投资决策会议，决定基金的资产配置比例和股票、债券的投资重点等；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（2）研究部策略分析师、股票分析师、固定收益产品分析师、定量分析师各自独立完成相应的研究报告，为投资决策提供依据；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（3）投资总监每周召集投资例会，根据投资决策委员会的决定，结合市场运行变化，决定具体的投资策略；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经理依据策略分析师的宏观经济分析和策略建议、股票分析师的行业分析和个股研究、固定收益产品分析师的债券市场研究和券种选择、定量分析师的定量投资策略研究，结合本基金产品定位及风险控制的要求，在权限范围内制定具体的投资组合方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（5）基金经理根据基金投资组合方案，向中央交易室下达交易指令；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（6）中央交易室执行基金经理的交易指令，对交易情况及时反馈；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（7）定量分析师负责完成有关投资风险监控报告及内部基金业绩评估报告。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投资决策委员会有权根据市场变化和实际情况的需要，对上述投资管理程序做出调整。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（八）投资组合限制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本基金投资组合遵循如下投资限制：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2、本基金持有的全部权证，其市值不得超过基金资产净值的3%；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3、基金管理人管理的全部基金持有一家公司发行的证券，不超过该证券的10%；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5、基金管理人管理的全部基金持有的同一权证，不得超过该权证的10%；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6、本基金进入全国银行间同业市场进行债券回购的资金余额不得超过基金资产净值的40%；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7、本基金的投资组合比例为：股票资产（含存托凭证）占基金资产的30%-80%；债券、货币市场工具、现金、权证、资产支持证券以及法律法规或中国证监会允许基金投资的其他证券品种占基金资产的20%-70%；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11、基金管理人管理的全部基金投资于同一原始权益人的各类资产支持证券，不得超过其各类资产支持证券合计规模的10%；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14、本基金在任何交易日买入权证的总金额，不得超过上一交易日基金资产净值的0.5%；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15、保持不低于基金资产净值5%的现金或者到期日在一年以内的政府债券，其中现金不包括结算备付金、存出保证金和应收申购款等；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16、本基金主动投资于流动性受限资产的市值合计不得超过基金资产净值的</w:t>
      </w:r>
      <w:r>
        <w:rPr>
          <w:rFonts w:ascii="宋体" w:hAnsi="宋体"/>
          <w:sz w:val="24"/>
        </w:rPr>
        <w:lastRenderedPageBreak/>
        <w:t>15%；因证券市场波动、上市公司股票停牌、基金规模变动等基金管理人之外的因素致使基金不符合该比例限制的，基金管理人不得主动新增流动性受限资产的投资；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18、本基金投资存托凭证的比例限制依照境内上市交易的股票执行。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如果法律法规对基金合同约定投资组合比例限制进行变更的，以变更后的规定为准。法律法规或监管部门取消上述限制，如适用于本基金，则本基金在履行适当程序后不再受相关限制。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12、15、16、17项以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基金管理人应当自基金合同生效之日起6个月内使基金的投资组合比例符合基金合同的有关约定。基金托管人对基金的投资的监督和检查自基金合同生效之日起开始。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（九）禁止行为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5、向其基金管理人、基金托管人出资或者买卖基金托管人、基金管理人发行的股票或债券；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6、买卖与其基金管理人、基金托管人有控股关系的股东或者与其基金管理人、基金托管人有其他重大利害关系的公司发行的证券或承销期内承销的证券；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法律法规或中国证监会取消上述禁止性规定，如适用于本基金，则本基金在履</w:t>
      </w:r>
      <w:r>
        <w:rPr>
          <w:rFonts w:ascii="宋体" w:hAnsi="宋体"/>
          <w:sz w:val="24"/>
        </w:rPr>
        <w:lastRenderedPageBreak/>
        <w:t>行适当程序后不再受相关限制。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（十）风险收益特征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灵活配置的混合型基金，属于基金中的中高风险品种，本基金的风险与预期收益介于股票型基金和债券型基金之间。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（十一）基金管理人代表基金行使股东及债权人权利的处理原则及方法</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（十二）基金的融资、融券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本基金可以按照国家的有关法律法规规定进行融资、融券。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（十三）侧袋机制的实施和投资运作安排</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（十四）基金投资组合报告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本基金托管人中国建设银行根据本基金合同规定，于2026年04月20日复核了本</w:t>
      </w:r>
      <w:r>
        <w:rPr>
          <w:rFonts w:ascii="宋体" w:hAnsi="宋体"/>
          <w:sz w:val="24"/>
        </w:rPr>
        <w:lastRenderedPageBreak/>
        <w:t>报告中的财务指标、净值表现和投资组合报告等内容，保证复核内容不存在虚假记载、误导性陈述或者重大遗漏。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532,665,770.17</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74.22</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532,665,770.17</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74.22</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40,362,049.32</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5.62</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40,362,049.32</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5.62</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144,208,271.85</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20.09</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439,092.72</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717,675,184.06</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321,670.57</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349,048,738.16</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49.24</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13,262,932.00</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1.87</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15,957,878.00</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2.25</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75,864,036.60</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10.70</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36,502,095.05</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5.15</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K</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17,914,000.00</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2.53</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23,794,419.79</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3.36</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532,665,770.17</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75.14</w:t>
            </w:r>
          </w:p>
        </w:tc>
      </w:tr>
    </w:tbl>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002352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顺丰控股</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1,652,170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62,848,546.80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8.87</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300677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英科医疗</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720,000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42,249,600.00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5.96</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600893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航发动力</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650,000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31,239,000.00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4.41</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迈为股份</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130,000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29,731,000.00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4.19</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300896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爱美客</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167,964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19,692,099.36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2.78</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001287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中电港</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658,600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15,957,878.00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2.25</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300661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圣邦股份</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207,300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14,019,699.00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1.98</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601155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新城控股</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14,010,000.00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1.98</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603345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安井食品</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13,989,000.00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1.97</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600372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中航机载</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1,071,261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13,926,393.00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1.96</w:t>
            </w:r>
          </w:p>
        </w:tc>
      </w:tr>
    </w:tbl>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40,362,049.32</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5.69</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40,362,049.32</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5.69</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40,362,049.32</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5.69</w:t>
            </w:r>
          </w:p>
        </w:tc>
      </w:tr>
    </w:tbl>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40,362,049.32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5.69</w:t>
            </w:r>
          </w:p>
        </w:tc>
      </w:tr>
    </w:tbl>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w:t>
      </w:r>
      <w:r>
        <w:rPr>
          <w:rFonts w:ascii="宋体" w:hAnsi="宋体"/>
          <w:sz w:val="24"/>
        </w:rPr>
        <w:lastRenderedPageBreak/>
        <w:t>查，或在报告编制日前一年内受到公开谴责、处罚的情形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350,658.16</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88,434.56</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right"/>
              <w:rPr>
                <w:rFonts w:ascii="宋体" w:hAnsi="宋体"/>
                <w:color w:val="000000"/>
                <w:kern w:val="0"/>
                <w:sz w:val="25"/>
                <w:szCs w:val="24"/>
              </w:rPr>
            </w:pPr>
            <w:r>
              <w:rPr>
                <w:rFonts w:ascii="Times New Roman" w:hAnsi="Times New Roman"/>
                <w:color w:val="000000"/>
                <w:kern w:val="0"/>
                <w:sz w:val="25"/>
                <w:szCs w:val="24"/>
              </w:rPr>
              <w:t>439,092.72</w:t>
            </w:r>
          </w:p>
        </w:tc>
      </w:tr>
    </w:tbl>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14" w:name="_Toc231982081"/>
      <w:r>
        <w:rPr>
          <w:rFonts w:ascii="Times New Roman" w:hAnsi="Times New Roman"/>
          <w:sz w:val="30"/>
        </w:rPr>
        <w:lastRenderedPageBreak/>
        <w:t>十一、基金的业绩</w:t>
      </w:r>
      <w:bookmarkEnd w:id="14"/>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（1）交银主题优选混合A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3.94%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5.91%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23.00%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12.11%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-11.17%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-16.57%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-11.55%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-2.33%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9.71%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9.78%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10.54%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40.26%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17.63%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22.63%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63.96%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23.09%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40.87%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-13.88%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-12.93%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13.79%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12.81%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-1.70%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-5.60%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3.90%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55.79%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2.50%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7.75%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48.04%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59.49%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33.63%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25.86%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-15.77%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-3.46%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-12.31%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14.46%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6.63%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7.83%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-27.15%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-14.18%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-12.97%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r>
              <w:rPr>
                <w:rFonts w:ascii="Times New Roman" w:hAnsi="Times New Roman"/>
                <w:color w:val="000000"/>
                <w:kern w:val="0"/>
                <w:sz w:val="25"/>
                <w:szCs w:val="24"/>
              </w:rPr>
              <w:t>2010</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30</w:t>
            </w:r>
            <w:r>
              <w:rPr>
                <w:rFonts w:ascii="Times New Roman" w:hAnsi="Times New Roman"/>
                <w:color w:val="000000"/>
                <w:kern w:val="0"/>
                <w:sz w:val="25"/>
                <w:szCs w:val="24"/>
              </w:rPr>
              <w:t>日－</w:t>
            </w:r>
            <w:r>
              <w:rPr>
                <w:rFonts w:ascii="Times New Roman" w:hAnsi="Times New Roman"/>
                <w:color w:val="000000"/>
                <w:kern w:val="0"/>
                <w:sz w:val="25"/>
                <w:szCs w:val="24"/>
              </w:rPr>
              <w:t>2010</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12.60%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11.97%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bl>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（2）交银主题优选混合C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阶段</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3.79%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-1.97%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5.76%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22.25%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10.89%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11.36%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12.52%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-11.79%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-17.08%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-12.06%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-2.88%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-12.04%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9.16%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207634">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3.33%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2.08%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bl>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业绩比较基准自2015年10月1日起，由“60%×沪深300指数收益率+40%×中信标普全债指数收益率”变更为“60%×沪深300指数收益率+40%×中证综合债券指数收益率”，下图同。详情见本基金管理人于2015年9月28日发布的《交银施罗德基金管理有限公司关于旗下部分基金业绩比较基准变更并修改基金合同相关内容的公告》。本基金的业绩比较基准每日进行再平衡过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207634" w:rsidRDefault="000063D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交银施罗德主题优选灵活配置混合型证券投资基金</w:t>
      </w:r>
    </w:p>
    <w:p w:rsidR="00207634" w:rsidRDefault="000063D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207634" w:rsidRDefault="000063DC">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（2010年6月30日至2026年03月31日）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（1）交银主题优选混合A</w:t>
      </w:r>
    </w:p>
    <w:p w:rsidR="00207634" w:rsidRDefault="00792362">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（2）交银主题优选混合C</w:t>
      </w:r>
    </w:p>
    <w:p w:rsidR="00207634" w:rsidRDefault="00792362">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2、本基金自2021年11月26日起，开始销售C类份额，投资者提交的申购申请于2021年11月29日被确认并将有效份额登记在册。</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15" w:name="_Toc231982082"/>
      <w:r>
        <w:rPr>
          <w:rFonts w:ascii="Times New Roman" w:hAnsi="Times New Roman"/>
          <w:sz w:val="30"/>
        </w:rPr>
        <w:lastRenderedPageBreak/>
        <w:t>十二、基金的财产</w:t>
      </w:r>
      <w:bookmarkEnd w:id="15"/>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基金名义开立银行存款账户，以基金托管人的名义开立证券交易清算资金的结算备付金账户，并以基金托管人和“交银施罗德主题优选灵活配置混合型证券投资基金”联名的方式开立基金证券账户，以“交银施罗德主题优选灵活配置混合型证券投资基金”的名义开立银行间债券托管账户并报中国人民银行备案。开立的基金专用账户与基金管理人、基金托管人、基金代销机构和基金注册登记机构自有的财产账户以及其他基金财产账户相独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（四）基金财产的保管与处分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以其固有财产承担法律责任，其债权人不得对基金财产行使请求冻结、扣押和其他权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16" w:name="_Toc231982083"/>
      <w:r>
        <w:rPr>
          <w:rFonts w:ascii="Times New Roman" w:hAnsi="Times New Roman"/>
          <w:sz w:val="30"/>
        </w:rPr>
        <w:lastRenderedPageBreak/>
        <w:t>十三、基金资产的估值</w:t>
      </w:r>
      <w:bookmarkEnd w:id="16"/>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基金资产估值的目的是客观、准确地反映基金财产是否保值、增值，依据经基金资产估值后确定的基金资产净值计算出的基金份额净值，是计算基金申购与赎回价格的基础。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本基金的估值日为本基金相关的证券交易场所的正常营业日以及国家法律法规规定需要对外披露基金净值的非营业日。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确定公允价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（1）送股、转增股、配股和公开增发的新股，按估值日在证券交易所挂牌的同一股票的市价（收盘价）估值；该日无交易的，以最近一日的市价（收盘价）估值；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（2）首次公开发行未上市的股票、债券和权证，采用估值技术确定公允价值，在估值技术难以可靠计量公允价值的情况下，按成本估值；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（3）首次公开发行有明确锁定期的股票，同一股票在交易所上市后，按交易所上市的同一股票的市价（收盘价）估值；非公开发行有明确锁定期的股票，按监管机构或行业协会有关规定确定公允价值。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7、相关法律法规以及监管部门有强制规定的，从其规定。如有新增事项，按国家最新规定估值。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8、如基金管理人或基金托管人发现基金估值违反基金合同订明的估值方法、程序及相关法律法规的规定或者未能充分维护基金份额持有人利益时，应立即通知对方，共同查明原因，双方协商解决。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（四）估值对象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本基金所拥有的股票、权证、债券和银行存款本息、应收款项、其它投资等资产。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每个工作日计算各类基金份额的基金资产净值及基金份额净值，并按规定公告。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月末、年中和年末估值复核与基金会计账目的核对同时进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（六）估值错误的确认和处理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基金管理人和基金托管人将采取必要、适当、合理的措施确保基金资产估值的准确性、及时性。当任一类基金份额净值小数点后4位以内(含第4位)发生差错时，视为该类基金份额净值错误。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注册登记机构、或代销机构、或投资人自身的过错造成差错，导致其他当事人遭受损失的，过错的责任人应当对由于该差错遭受损失当事人(“受损方”)的直接损失按下述“差错处理原则”给予赔偿，承担赔偿责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对直接损失承担赔偿责任；若差错责任方已经积极协调，并且有协助义务的当事人有足够的时间进行更正而未更正，则其应当承担相应赔偿责任。差错责任方应对更正的情况向有关当事人进行确认，确保差错已得到更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(2)差错的责任方对有关当事人的直接损失负责，不对间接损失负责，并且仅对差错的有关直接当事人负责，不对第三方负责。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过错造成基金财产损失时，基金托管人应为基金的利益向基金管理人追偿，如果因基金托管人过错造成基金财产损失时，基金管理人应为基金的利益向基金托管人追偿。基金管理人和基金托管人之外的第三方造成基金财产的损失，并拒绝进行赔偿时，由基金管理人负责向差错方追偿；追偿过程中产生的有关费用，应列入基金费用，从基金资产中支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出现过错的当事人进行追索，并有权要求其赔偿或补偿由此发生的费用和遭受的直接损失。</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(4)根据差错处理的方法，需要修改基金注册登记机构交易数据的，由基金注册登记机构进行更正，并就差错的更正向有关当事人进行确认。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4.基金份额净值差错处理的原则和方法如下：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w:t>
      </w:r>
      <w:r>
        <w:rPr>
          <w:rFonts w:ascii="宋体" w:hAnsi="宋体"/>
          <w:sz w:val="24"/>
        </w:rPr>
        <w:lastRenderedPageBreak/>
        <w:t>托管人，并采取合理的措施防止损失进一步扩大。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(3)因基金份额净值计算错误，给基金或基金份额持有人造成损失的，应由基金管理人先行赔付，基金管理人按差错情形，有权向其他当事人追偿。</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(5)前述内容如法律法规或监管机关另有规定的，从其规定处理。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1、基金投资有关的证券交易市场遇法定节假日或因其他原因暂停营业时；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2、因不可抗力或其它情形致使基金管理人、基金托管人无法准确评估基金资产价值时；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3、占基金相当比例的投资品种的估值出现重大转变，而基金管理人为保障投资人的利益，已决定延迟估值；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4、当特定资产占前一估值日基金资产净值50%以上的，经与基金托管人协商一致的，基金管理人应当暂停估值；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并发送给基金托管人。基金托管人对净值计算结果复核确认后发送给基金管理人，由基金管理人对各类基金份额的基金净值予以公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或登记结算公司发送的数据错误，或国家会计政策变更、市场规则变更等，基金管理人和基金托管人虽然已经采取必要、适当、合理的措施进行检查，但未能发现错误的，由此造成的基金资产估值错</w:t>
      </w:r>
      <w:r>
        <w:rPr>
          <w:rFonts w:ascii="宋体" w:hAnsi="宋体"/>
          <w:sz w:val="24"/>
        </w:rPr>
        <w:lastRenderedPageBreak/>
        <w:t>误，基金管理人和基金托管人免除赔偿责任。但基金管理人应当积极采取必要的措施消除由此造成的影响。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17" w:name="_Toc231982084"/>
      <w:r>
        <w:rPr>
          <w:rFonts w:ascii="Times New Roman" w:hAnsi="Times New Roman"/>
          <w:sz w:val="30"/>
        </w:rPr>
        <w:lastRenderedPageBreak/>
        <w:t>十四、基金的收益与分配</w:t>
      </w:r>
      <w:bookmarkEnd w:id="17"/>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基金可供分配利润指截至收益分配基准日基金未分配利润与未分配利润中已实现收益的孰低数。其中，基金已实现收益指基金利润减去公允价值变动收益后的余额。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1、由于本基金A类基金份额不收取销售服务费，C类基金份额收取销售服务费，各基金份额类别对应的可供分配利润将有所不同；本基金同一基金份额类别的每份基金份额享有同等分配权；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分配时所发生的银行转账或其他手续费用由投资人自行承担。当投资人的现金红利小于一定金额，不足以支付银行转账或其他手续费用时，基金注册登记机构可将投资人的现金红利按除权后的单位净值自动转为相应类别的基金份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3、在符合有关基金分红条件的前提下，本基金收益每年最多分配10次，每次基金收益分配比例不低于收益分配基准日可供分配利润的10%；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4、若基金合同生效不满3个月则可不进行收益分配；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收益分配方式分为两种：现金分红与红利再投资，投资人可选择现金红利或将现金红利按除权后的单位净值自动转为相应类别的基金份额进行再投资；若投资人不选择，本基金默认的收益分配方式是现金分红；基金份额持有人可对其持有的A类基金份额和C类基金份额分别选择不同的收益分配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6、基金红利发放日距离收益分配基准日（即可供分配利润计算截止日）的时间不得超过15个工作日；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7、基金收益分配后任一类每一基金份额净值不能低于面值，即基金收益分配基准日的任一类基金份额净值减去每单位该类基金份额收益分配金额后不能低于面值；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8、法律法规或监管机构另有规定的从其规定。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（四）收益分配方案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基金收益分配方案中应载明收益分配基准日以及该日的可供分配利润、基金收益分配对象、分配时间、分配数额及比例、分配方式、支付方式等内容。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基金收益分配方案由基金管理人拟定，并由基金托管人复核，依照《信息披露办法》的有关规定在指定媒介上公告。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在收益分配方案公布后，基金管理人依据具体方案的规定就支付的现金红利向基金托管人发送划款指令，基金托管人按照基金管理人的指令及时进行分红资金的划付。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（六）收益分配中发生的费用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收益分配采用红利再投资方式免收再投资的费用。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不同的交易账户可设置不同的收益分配方式。投资者同一日多次申报分红方式变更的，按照《业务规则》执行，最终确认的分红方式以注册登记机构记录为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18" w:name="_Toc231982085"/>
      <w:r>
        <w:rPr>
          <w:rFonts w:ascii="Times New Roman" w:hAnsi="Times New Roman"/>
          <w:sz w:val="30"/>
        </w:rPr>
        <w:lastRenderedPageBreak/>
        <w:t>十五、基金的费用与税收</w:t>
      </w:r>
      <w:bookmarkEnd w:id="18"/>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3、基金财产拨划支付的银行费用；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4、基金合同生效后的基金信息披露费用；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6、基金合同生效后与基金相关的会计师费和律师费；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7、基金的证券交易费用；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8、本基金从C类基金份额的基金财产中计提的销售服务费；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9、依法可以在基金财产中列支的其他费用。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上述基金费用由基金管理人在法律规定的范围内参照公允的市场价格确定，法律法规另有规定时从其规定。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本基金基金合同终止基金财产清算时所发生费用，按实际支出额从基金财产总值中扣除。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在通常情况下，基金管理费按前一日基金资产净值的1.2%的年费率计提。管理费的计算方法如下：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 = E×年管理费率÷当年天数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H为每日计提的基金管理费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款指令，基金托管人复核后于次月首日起3个工作日内从基金财产中一次性支付给基金管理人。若遇法定节假日、休息日，支付日期顺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在通常情况下，基金的托管费按前一日基金资产净值的0.2%的年费率计提。托管费的计算方法如下：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H＝E×年托管费率÷当年天数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款指令，基金托管人复核后于次月首日起3个工作日内从基金财产中一次性支付给基金托管人。若遇法定节假日、休息日，支付日期顺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顺延至最近可支付日支付。费用自动扣划后，管理人应进行核对，如发现数据不符，及时联系托管人协商解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（4）除管理费、托管费和销售服务费之外的基金费用由基金托管人根据其他有关法规及相应协议的规定，按费用支出金额支付，列入或摊入当期基金费用。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（三）不列入基金费用的项目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基金合同生效前所发生的信息披露费、会计师费、律师费及其他费用，不得从基金财产中列支。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（四）基金管理费、托管费和销售服务费的调整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调整基金管理费率、基金托管费率和销售服务费率。降低基金管理费率、基金托管费率和销售服务费率，无须召开基金份额持有人大会。基金管理人必须最迟于新的费率实施日2日前在指定媒介上刊登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本基金实施侧袋机制的，与侧袋账户有关的费用可以从侧袋账户中列支，但应待侧袋账户资产变现后方可列支，有关费用可酌情收取或减免，但不得收取管理费，详见招募说明书“侧袋机制”部分的规定。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19" w:name="_Toc231982086"/>
      <w:r>
        <w:rPr>
          <w:rFonts w:ascii="Times New Roman" w:hAnsi="Times New Roman"/>
          <w:sz w:val="30"/>
        </w:rPr>
        <w:lastRenderedPageBreak/>
        <w:t>十六、基金的会计与审计</w:t>
      </w:r>
      <w:bookmarkEnd w:id="19"/>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2、基金的会计年度为公历每年的1月1日至12月31日；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6、基金管理人保留完整的会计账目、凭证并进行日常的会计核算，按照有关规定编制基金会计报表；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（二）基金的审计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1、基金管理人聘请具有从事证券、期货相关业务资格的会计师事务所及其注册会计师对本基金年度财务报表及其他规定事项进行审计。会计师事务所及其注册会计师与基金管理人、基金托管人相互独立。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或基金托管人）认为有充足理由更换会计师事务所，经基金托管人（或基金管理人）同意后可以更换。就更换会计师事务所，基金管理人应当依照《信息披露办法》的有关规定在指定媒介上公告。</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20" w:name="_Toc231982087"/>
      <w:r>
        <w:rPr>
          <w:rFonts w:ascii="Times New Roman" w:hAnsi="Times New Roman"/>
          <w:sz w:val="30"/>
        </w:rPr>
        <w:lastRenderedPageBreak/>
        <w:t>十七、基金的信息披露</w:t>
      </w:r>
      <w:bookmarkEnd w:id="20"/>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信息披露应符合《基金法》、《运作办法》、《信息披露办法》、《流动性规定》、基金合同及其他有关规定。基金管理人、基金托管人和其他基金信息披露义务人应当以保护基金份额持有人利益为根本出发点，依法披露基金信息，并保证所披露信息的真实性、准确性、完整性、及时性、简明性和易得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本基金信息披露义务人承诺公开披露的基金信息，不得有下列行为：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本基金公开披露的信息应采用中文文本。同时采用外文文本的，基金信息披露义务人应保证不同文本的内容一致。不同文本之间发生歧义的，以中文文本为准。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(一)招募说明书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招募说明书是基金向社会公开销售时对基金情况进行说明的法律文件。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(二)基金合同、托管协议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基金管理人应在基金份额发售的3日前，将基金合同摘要登载在指定报刊和网站上；基金管理人、基金托管人应将基金合同、托管协议登载在各自网站上。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(三)基金产品资料概要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(四)基金份额发售公告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基金管理人将按照《基金法》、《信息披露办法》的有关规定，就基金份额发售的具体事宜编制基金份额发售公告，并在披露招募说明书的当日登载于指定报刊和网站上。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(五)基金合同生效公告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基金管理人将在基金合同生效的次日在指定报刊和网站上登载基金合同生效公告。基金合同生效公告中将说明基金募集情况。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(六)基金净值信息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1、《基金合同》生效后，在开始办理基金份额申购或者赎回前，基金管理人应当至少每周在指定网站分别披露一次A类基金份额和C类基金份额所对应的基金份额净值和基金份额累计净值；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开始办理基金份额申购或者赎回后，基金管理人应当在不晚于每个开放日的次日，通过指定网站、销售机构网站或者营业网点分别披露开放日A类基金份额和C类基金份额所对应的基金份额净值和基金份额累计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3、基金管理人应当在不晚于半年度和年度最后一日的次日，在指定网站披露半年度和年度最后一日A类基金份额和C类基金份额所对应的基金份额净值和基金份额累计净值。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(七)基金份额申购、赎回价格公告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(八)基金年度报告、基金中期报告、基金季度报告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2、基金管理人应当在上半年结束之日起两个月内，编制完成基金中期报告，将中期报告登载在指定网站上，并将中期报告提示性公告登载在指定报刊上；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3、基金管理人应当在季度结束之日起15个工作日内，编制完成基金季度报告，将季度报告登载在指定网站上，并将季度报告提示性公告登载在指定报刊上；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4、《基金合同》生效不足2个月的，基金管理人可以不编制当期季度报告、中期报告或者年度报告。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6、基金管理人应当在基金年度报告和中期报告中披露基金组合资产情况及其流动性风险分析等。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(九)临时报告与公告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在基金运作过程中发生如下可能对基金份额持有人权益或者基金份额的价格产生重大影响的事件时，有关信息披露义务人应当在2日内编制临时报告书，登载在指定报刊和指定网站上：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w:t>
      </w:r>
      <w:r>
        <w:rPr>
          <w:rFonts w:ascii="宋体" w:hAnsi="宋体"/>
          <w:sz w:val="24"/>
        </w:rPr>
        <w:lastRenderedPageBreak/>
        <w:t>变更；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(十)澄清公告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(十一)基金份额持有人大会决议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(十二)清算报告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基金合同终止的，基金管理人应当依法组织基金财产清算小组对基金财产进行清算并作出清算报告。基金财产清算小组应当将清算报告登载在指定网站上，并将清算报告提示性公告登载在指定报刊上。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(十三)实施侧袋机制期间的信息披露</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本基金实施侧袋机制的，相关信息披露义务人应当根据法律法规、基金合同和招募说明书的规定进行信息披露，详见招募说明书“侧袋机制”部分的规定。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(十四)信息披露事务管理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w:t>
      </w:r>
      <w:r>
        <w:rPr>
          <w:rFonts w:ascii="宋体" w:hAnsi="宋体"/>
          <w:sz w:val="24"/>
        </w:rPr>
        <w:lastRenderedPageBreak/>
        <w:t>财产中列支。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(十五)中国证监会规定的其他信息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(十六)信息披露文件的存放与查阅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(十七)本基金信息披露事项以法律法规规定及本章节约定的内容为准。</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21" w:name="_Toc231982088"/>
      <w:r>
        <w:rPr>
          <w:rFonts w:ascii="Times New Roman" w:hAnsi="Times New Roman"/>
          <w:sz w:val="30"/>
        </w:rPr>
        <w:lastRenderedPageBreak/>
        <w:t>十八、侧袋机制</w:t>
      </w:r>
      <w:bookmarkEnd w:id="21"/>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（一）侧袋机制的实施条件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（二）实施侧袋机制期间基金份额的申购与赎回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（三）实施侧袋机制期间的基金投资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（四）实施侧袋机制期间的基金估值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（五）实施侧袋账户期间的基金费用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（六）侧袋账户中特定资产的处置变现和支付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（七）侧袋机制的信息披露</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207634" w:rsidRDefault="000063DC">
      <w:pPr>
        <w:pStyle w:val="1"/>
        <w:snapToGrid w:val="0"/>
        <w:spacing w:beforeLines="0" w:before="240" w:after="240"/>
        <w:rPr>
          <w:rFonts w:ascii="宋体" w:hAnsi="宋体"/>
          <w:szCs w:val="30"/>
        </w:rPr>
      </w:pPr>
      <w:bookmarkStart w:id="22" w:name="_Toc231982089"/>
      <w:r>
        <w:rPr>
          <w:rFonts w:ascii="Times New Roman" w:hAnsi="Times New Roman"/>
          <w:sz w:val="30"/>
        </w:rPr>
        <w:lastRenderedPageBreak/>
        <w:t>十九、风险揭示</w:t>
      </w:r>
      <w:bookmarkEnd w:id="22"/>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申购和赎回。如果基金资产不能迅速转变成现金，或者变现为现金时使资金净值产生不利的影响，都会影响基金运作和收益水平。尤其是在发生巨额赎回时，如</w:t>
      </w:r>
      <w:r>
        <w:rPr>
          <w:rFonts w:ascii="宋体" w:hAnsi="宋体"/>
          <w:sz w:val="24"/>
        </w:rPr>
        <w:lastRenderedPageBreak/>
        <w:t>果基金资产变现能力差，可能会产生基金仓位调整的困难，导致流动性风险，可能影响基金份额净值。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内的基金份额净赎回申请(赎回申请份额总数加上基金转换中转出申请份额总数后扣除申购申请份额总数及基金转换中转入申请份额总数后的余额)超过上一开放日的基金总份额的10%，即认为是发生了巨额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w:t>
      </w:r>
      <w:r>
        <w:rPr>
          <w:rFonts w:ascii="宋体" w:hAnsi="宋体"/>
          <w:sz w:val="24"/>
        </w:rPr>
        <w:lastRenderedPageBreak/>
        <w:t>赎回处理。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确认成功的赎回申请可以延缓支付赎回款项，但不得超过20个工作日，并应当在指定媒介上进行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基金管理人将根据主袋账户运作情况合理确定申购政策, 因此实施侧袋机制后主袋账户份额存在暂停申购的可能。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混合型基金，通过在股票、债券和现金等各类资产之间进行配置来降低风险，提高收益。如果债券市场和股票市场同时出现整体下跌，本基金的净值表现将受到影响。基金虽然采用自上而下资产配置的投资策略，但并不能完全抵御两个市场同时下跌的风险。此外，在股市大幅上涨时也不能完全保证基金净值能够完全跟随或超越大盘走势。</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对大类资产进行灵活配置适时调整的前提下，将主要通过前瞻性的主题优选，投资于预期具有良好增长前景的优势行业和把握个股投资机会。在选股策略上本基金特有的风险主要来自两个方面：一是对行业及上市公司的基本面研究是否准确、深入，二是对行业和股票的优选和判断是否科学、准确。基本面研究及上市企业分析的错误均可能导致所选择的证券不能完全符合本基金的预期目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（六）投资科创板股票的特定风险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w:t>
      </w:r>
      <w:r>
        <w:rPr>
          <w:rFonts w:ascii="宋体" w:hAnsi="宋体"/>
          <w:sz w:val="24"/>
        </w:rPr>
        <w:lastRenderedPageBreak/>
        <w:t>盈利、现金流、估值均存在不确定性，与传统二级市场投资存在差异，整体投资难度加大，个股市场风险加大。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（七）投资存托凭证的特定风险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w:t>
      </w:r>
      <w:r>
        <w:rPr>
          <w:rFonts w:ascii="宋体" w:hAnsi="宋体"/>
          <w:sz w:val="24"/>
        </w:rPr>
        <w:lastRenderedPageBreak/>
        <w:t>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（八）本基金法律文件风险收益特征表述与销售机构基金风险评价可能不一致的风险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23" w:name="_Toc231982090"/>
      <w:r>
        <w:rPr>
          <w:rFonts w:ascii="Times New Roman" w:hAnsi="Times New Roman"/>
          <w:sz w:val="30"/>
        </w:rPr>
        <w:lastRenderedPageBreak/>
        <w:t>二十、基金合同的终止与基金财产的清算</w:t>
      </w:r>
      <w:bookmarkEnd w:id="23"/>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（一）基金合同的终止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有下列情形之一的，基金合同经中国证监会核准后将终止：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4、中国证监会规定的其他情形。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基金合同终止时，基金管理人应予公告并组织清算小组对基金财产进行清算。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（二）基金财产的清算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(1)基金合同终止时，成立基金财产清算组，基金财产清算组在中国证监会的监督下进行基金清算。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(2)基金财产清算组成员由基金管理人、基金托管人、具有从事证券相关业务资格的注册会计师、律师以及中国证监会指定的人员组成。基金财产清算组可以聘用必要的工作人员。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(3)基金财产清算组负责基金财产的保管、清理、估价、变现和分配。基金财产清算组可以依法进行必要的民事活动。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基金合同终止，应当按法律法规和基金合同的有关规定对基金财产进行清算。基金财产清算程序主要包括：</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(1)基金合同终止后，发布基金财产清算公告；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(2)基金合同终止时，由基金财产清算组统一接管基金财产；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(6)聘请律师事务所出具法律意见书；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(7)将基金财产清算结果报告中国证监会；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(8)参加与基金财产有关的民事诉讼；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(9)公布基金财产清算结果；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(10)对基金剩余财产进行分配。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清算费用是指基金财产清算组在进行基金财产清算过程中发生的所有合理费用，清算费用由基金财产清算组优先从基金财产中支付。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结果经会计师事务所审计，律师事务所出具法律意见书后，由基金财产清算组报中国证监会备案并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24" w:name="_Toc231982091"/>
      <w:r>
        <w:rPr>
          <w:rFonts w:ascii="Times New Roman" w:hAnsi="Times New Roman"/>
          <w:sz w:val="30"/>
        </w:rPr>
        <w:lastRenderedPageBreak/>
        <w:t>二十一、基金合同的内容摘要</w:t>
      </w:r>
      <w:bookmarkEnd w:id="24"/>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（一）基金合同当事人及权利义务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根据《基金法》及其他有关法律法规，基金管理人的权利为：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（2）依照基金合同获得基金管理费以及法律法规规定或监管部门批准的其他收入；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（3）发售基金份额；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（4）依照有关规定行使因基金财产投资于证券所产生的权利；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有关法律法规的前提下，制订和调整有关基金认购、申购、赎回、转换、非交易过户、转托管等业务的规则，在法律法规和本基金合同规定的范围内决定和调整基金的除调高托管费率和管理费率之外的相关费率结构和收费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根据本基金合同及有关规定监督基金托管人，对于基金托管人违反了本基金合同或有关法律法规规定的行为，对基金财产、其他基金合同当事人的利益造成重大损失的情形，应及时呈报中国证监会，并采取必要措施保护基金及相关当事人的利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（7）在基金合同约定的范围内，拒绝或暂停受理申购和赎回申请；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（8）在法律法规允许的前提下，为基金的利益依法为基金进行融资、融券；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（9）自行担任或选择、更换注册登记机构，获取基金份额持有人名册，并对注册登记机构的代理行为进行必要的监督和检查；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（10）选择、更换代销机构，并依据基金销售服务代理协议和有关法律法规，对其行为进行必要的监督和检查；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（11）选择、更换律师、审计师、证券经纪商或其他为基金提供服务的外部机构；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（12）在基金托管人更换时，提名新的基金托管人；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（13）依法召集基金份额持有人大会；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（14）法律法规和基金合同规定的其他权利。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根据《基金法》及其他有关法律法规，基金管理人的义务为：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（5）建立健全内部风险控制、监察与稽核、财务管理及人事管理等制度，保证所管理的基金财产和管理人的财产相互独立，对所管理的不同基金分别管理，分别记账，进行证券投资；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（8）计算并公告基金净值信息，确定基金份额申购、赎回价格；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（9）采取适当合理的措施使计算基金份额认购、申购、赎回和注销价格的方法符合基金合同等法律文件的规定；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（10）按规定受理申购和赎回申请，及时、足额支付赎回款项；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（11）进行基金会计核算并编制基金财务会计报告；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（12）编制季度报告、中期报告和年度报告；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（13）严格按照《基金法》、基金合同及其他有关规定，履行信息披露及报告义务；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（15）按照基金合同的约定确定基金收益分配方案，及时向基金份额持有人分配收益；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（17）保存基金财产管理业务活动的记录、账册、报表和其他相关资料；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（18）以基金管理人名义，代表基金份额持有人利益行使诉讼权利或者实施其他法律行为；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（19）组织并参加基金财产清算小组，参与基金财产的保管、清理、估价、变现和分配；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（21）基金托管人违反基金合同造成基金财产损失时，应为基金份额持有人利益向基金托管人追偿；</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（22）按规定向基金托管人提供基金份额持有人名册资料；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（23）面临解散、依法被撤销或者被依法宣告破产时，及时报告中国证监会并通知基金托管人；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（24）执行生效的基金份额持有人大会决议；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（25）不从事任何有损基金及其他基金当事人利益的活动；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（26）依照法律法规为基金的利益对被投资公司行使股东权利，为基金的利益行使因基金财产投资于证券所产生的权利，不谋求对上市公司的控股和直接管理；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（27）法律法规、中国证监会和基金合同规定的其他义务。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根据《基金法》及其他有关法律法规，基金托管人的权利为：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（1）依基金合同约定获得基金托管费以及法律法规规定或监管部门批准的其他收入；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（2）监督基金管理人对本基金的投资运作；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（3）自本基金合同生效之日起，依法保管基金资产；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（4）在基金管理人更换时，提名新任基金管理人；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资产、其他当事人的利益造成重大损失的情形，应及时呈报中国证监会，并采取必要措施保护基金及相关当事人的利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（6）依法召集基金份额持有人大会；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（7）按规定取得基金份额持有人名册资料；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（8）法律法规和基金合同规定的其他权利。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根据《基金法》及其他有关法律法规，基金托管人的义务为：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（1）安全保管基金财产；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（3）对所托管的不同基金财产分别设置账户，确保基金财产的完整与独立；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（9）保存基金托管业务活动的记录、账册、报表和其他相关资料；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（10）按照基金合同的约定，根据基金管理人的投资指令，及时办理清算、交割事宜；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（11）办理与基金托管业务活动有关的信息披露事项；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（12）复核、审查基金管理人计算的基金资产净值、各类基金份额净值、基金份额申购、赎回价格；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（13）按照规定监督基金管理人的投资运作；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（14）按规定制作相关账册并与基金管理人核对；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（15）依据基金管理人的指令或有关规定向基金份额持有人支付基金收益和赎回款项；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（16）按照规定召集基金份额持有人大会或配合基金管理人、基金份额持有人依法召集基金份额持有人大会；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（17）因违反基金合同导致基金财产损失，应承担赔偿责任，其赔偿责任不因其退任而免除；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（18）基金管理人因违反基金合同造成基金财产损失时，应为基金向基金管理人追偿；</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（19）参加基金财产清算小组，参与基金财产的保管、清理、估价、变现和分</w:t>
      </w:r>
      <w:r>
        <w:rPr>
          <w:rFonts w:ascii="宋体" w:hAnsi="宋体"/>
          <w:sz w:val="24"/>
        </w:rPr>
        <w:lastRenderedPageBreak/>
        <w:t>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（20）面临解散、依法被撤销或者被依法宣告破产时，及时报告中国证监会和银行业监督管理机构，并通知基金管理人；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（21）执行生效的基金份额持有人大会决议；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（22）不从事任何有损基金及其他基金当事人利益的活动；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（23）建立并保存基金份额持有人名册；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（24）法律法规、中国证监会和基金合同规定的其他义务。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根据《基金法》及其他有关法律法规，基金份额持有人的权利为：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（3）依法申请赎回其持有的基金份额；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（8）对基金管理人、基金托管人、基金份额销售机构损害其合法权益的行为依法提起诉讼；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根据《基金法》及其他有关法律法规，基金份额持有人的义务为：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（2）交纳基金认购、申购款项及法律法规和基金合同所规定的费用；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（3）在持有的基金份额范围内，承担基金亏损或者基金合同终止的有限责任；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（4）不从事任何有损基金及其他基金份额持有人合法权益的活动；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（5）执行生效的基金份额持有人大会决议；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（6）返还在基金交易过程中因任何原因，自基金管理人及基金管理人的代理人、基金托管人、代销机构、其他基金份额持有人处获得的不当得利；</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（7）法律法规和基金合同规定的其他义务。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本基金合同当事各方的权利义务以本基金合同为依据，不因基金财产账户名称而有所改变。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1、基金份额持有人大会由基金份额持有人组成。基金份额持有人持有的每一基金份额具有同等的投票权。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2、召开事由</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当出现或需要决定下列事由之一的，经基金管理人、基金托管人或持有基金份额10%以上(含10%，下同)的基金份额持有人(以基金管理人收到提议当日的基金份额计算，下同)提议时，应当召开基金份额持有人大会：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（7）提高基金管理人、基金托管人的报酬标准或提高销售服务费率，但法律法规要求提高该等报酬标准的除外；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（9）对基金合同当事人权利、义务产生重大影响的其他事项；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（10）法律法规、基金合同或中国证监会规定的其他情形。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出现以下情形之一的，可由基金管理人和基金托管人协商后修改基金合同，不需召开基金份额持有人大会：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（1）调低基金管理费、基金托管费、销售服务费和其他应由基金承担的费用；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（2）在法律法规和本基金合同规定的范围内变更基金的申购费率、降低赎回费率或变更收费方式；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（3）调整基金份额类别设置、对基金份额分类办法及规则进行调整；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（4）因相应的法律法规发生变动必须对基金合同进行修改；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（5）对基金合同的修改不涉及本基金合同当事人权利义务关系发生重大变</w:t>
      </w:r>
      <w:r>
        <w:rPr>
          <w:rFonts w:ascii="宋体" w:hAnsi="宋体"/>
          <w:sz w:val="24"/>
        </w:rPr>
        <w:lastRenderedPageBreak/>
        <w:t>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3、召集人和召集方式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以下简称“召集人”)负责选择确定开会时间、地点、方式和权益登记日。召开基金份额持有人大会，召集人必须于会议召开日前30日在指定媒介公告。基金份额持有人大会通知须至少载明以下内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（2）会议拟审议的主要事项；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（5）有权出席基金份额持有人大会的基金份额持有人权益登记日；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（6）代理投票的授权委托证明的内容要求(包括但不限于代理人身份、代理权限和代理有效期限等)、送达时间和地点；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用通讯方式开会并进行表决的情况下，由召集人决定通讯方式和书面表决方式，并在会议通知中说明本次基金份额持有人大会所采取的具体通讯方式、委托的公证机关及其联系方式和联系人、书面表决意见寄交的截止时间和收取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1）基金份额持有人大会的召开方式包括现场开会和通讯方式开会。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2）现场开会由基金份额持有人本人出席或通过授权委托委派其代理人出席，现场开会时基金管理人和基金托管人的授权代表应当出席，如基金管理人或基金托管人拒不派代表出席的，不影响表决效力。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3）通讯方式开会指按照本基金合同的相关规定以通讯的书面方式进行表决。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4）在法律法规和监管机关允许的情况下，本基金亦可采用网络、电话等其他非现场方式或者以非现场方式与现场方式结合的方式召开基金份额持有人大会，会议程序比照现场开会和通讯方式开会的程序进行。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5）会议的召开方式由召集人确定。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（2）召开基金份额持有人大会的条件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①对到会者在权益登记日持有基金份额的统计显示，全部有效凭证所对应的基金份额应占权益登记日基金总份额的50%以上(含50%，下同)；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注册登记资料相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②召集人按基金合同规定通知基金托管人或/和基金管理人(分别或共同称为“监督人”)到指定地点对书面表决意见的计票进行监督；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③召集人在监督人和公证机关的监督下按照会议通知规定的方式收取和统计基金份额持有人的书面表决意见，如基金管理人或基金托管人经通知拒不到场监督的，不影响表决效力；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④本人直接出具书面意见和授权他人代表出具书面意见的基金份额持有人所代表的基金份额占权益登记日基金总份额的50%以上；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⑤直接出具书面意见的基金份额持有人或受托代表他人出具书面意见的代理人提交的持有基金份额的凭证、授权委托证明等文件符合法律法规、基金合同和会议通知的规定，并与注册登记机构记录相符。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3）对于基金份额持有人提交的提案，大会召集人应当按照以下原则对提案进行审核：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做出决定。如将其提案进行分拆或合并表决，需征得原提案人同意；原提案人不同意变更的，大会主持人可以就程序性问题提请基金份额持有人大会做出决定，并按照基金份额持有人大会决定的程序进行审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5）基金份额持有人大会的召集人发出召开会议的通知后，如果需要对原有提案进行修改，应当在基金份额持有人大会召开前30日及时公告。否则，会议的召开日期应当顺延并保证至少与公告日期有30日的间隔期。</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召集人授权代表主持。基金管理人为召集人的，其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召集人应当制作出席会议人员的签名册。签名册载明参加会议人员姓名(或单位名称)、身份证号码、持有或代表有表决权的基金份额数量、委托人姓名(或单位名称)等事项。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2）通讯方式开会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表决开会的方式下，首先由召集人提前30日公布提案，在所通知的表决截止日期后第2个工作日在公证机关及监督人的监督下由召集人统计全部有效表决并形成决议。如监督人经通知但拒绝到场监督，则在公证机关监督下形成的决议有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一般决议须经出席会议的基金份额持有人（或其代理人）所持表决权的50%以上通过方为有效，除下列2）所规定的须以特别决议通过事项以外的其他事项均以一般决议的方式通过；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或其代理人)所持表决权的三分之二以上(含三分之二)通过方为有效；涉及更换基金管理人、更换基金托管人、转换基金运作方式、终止基金合同必须以特别决议通过方为有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（3）基金份额持有人大会决定的事项，应当依法报中国证监会核准或者备案，并予以公告。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w:t>
      </w:r>
      <w:r>
        <w:rPr>
          <w:rFonts w:ascii="宋体" w:hAnsi="宋体"/>
          <w:sz w:val="24"/>
        </w:rPr>
        <w:lastRenderedPageBreak/>
        <w:t>举两名基金份额持有人代表与大会召集人授权的一名监督员共同担任监票人；如大会由基金份额持有人自行召集，基金份额持有人大会的主持人应当在会议开始后宣布在出席会议的基金份额持有人和代理人中推举两名基金份额持有人代表与基金管理人、基金托管人授权的一名监督员共同担任监票人；但如果基金管理人和基金托管人的授权代表未出席，则大会主持人可自行选举三名基金份额持有人代表担任监票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大会主持人对于提交的表决结果有异议，可以对投票数进行重新清点；如大会主持人未进行重新清点，而出席大会的基金份额持有人或代理人对大会主持人宣布的表决结果有异议，其有权在宣布表决结果后立即要求重新清点，大会主持人应当立即重新清点并公布重新清点结果。重新清点仅限一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票人在监督人派出的授权代表的监督下进行计票，并由公证机关对其计票过程予以公证；如监督人经通知但拒绝到场监督，则大会召集人可自行授权3名监票人进行计票，并由公证机关对其计票过程予以公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9、基金份额持有人大会决议报中国证监会核准或备案后的公告时间、方式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关于本章第2条所规定的第(1)-(8)项召开事由的基金份额持有人大会决议经中国证监会核准生效后方可执行，关于本章第2条所规定的第(9)、(10)项召开事由的基金份额持有人大会决议经中国证监会核准或出具无异议意见后方可执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（2）生效的基金份额持有人大会决议对全体基金份额持有人、基金管理人、基金托管人均有约束力。基金管理人、基金托管人和基金份额持有人应当执行生效的基金份额持有人大会决议。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（3）基金份额持有人大会决议应自生效之日起2日内在指定媒介公告。如果采用通讯方式进行表决，在公告基金份额持有人大会决议时，必须将公证书全文、公证机构、公证员姓名等一同公告。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10、实施侧袋机制期间基金份额持有人大会的特殊约定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（3）通讯开会的直接出具书面表决意见或授权他人代表出具书面表决意见的基金份额持有人所持有的基金份额不小于在权益登记日相关基金份额的二分之一（含二分之一）；</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11、法律法规或监管部门对基金份额持有人大会另有规定的，从其规定。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（三）基金合同的变更、终止与基金财产的清算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（1）基金合同变更内容对基金合同当事人权利、义务产生重大影响的，应召开基金份额持有人大会，基金合同变更的内容应经基金份额持有人大会决议同意。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1)转换基金运作方式；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2)变更基金类别；</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3)变更基金投资目标、投资范围或投资策略；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4)变更基金份额持有人大会程序；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5)更换基金管理人、基金托管人；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6)提高基金管理人、基金托管人的报酬标准或提高销售服务费率。但根据适用的相关规定提高该等报酬标准的除外；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8)对基金合同当事人权利、义务产生重大影响的其他事项；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9)法律法规、基金合同或中国证监会规定的其他情形。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但出现下列情况时，可不经基金份额持有人大会决议，由基金管理人和基金托管人同意变更后公布，并报中国证监会备案：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1)调低基金管理费、基金托管费、销售服务费和其他应由基金承担的费用；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2)在法律法规和本基金合同规定的范围内变更基金的申购费率、降低赎回费率或变更收费方式；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3)调整基金份额类别设置、对基金份额分类办法及规则进行调整；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4)因相应的法律法规发生变动必须对基金合同进行修改；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5)对基金合同的修改不涉及本基金合同当事人权利义务关系发生重大变化；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（2）关于变更基金合同的基金份额持有人大会决议应报中国证监会核准或备案，并于中国证监会核准或出具无异议意见后生效执行，并自生效之日起2日内在指定媒介公告。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2、本基金合同的终止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有下列情形之一的，本基金合同经中国证监会核准后将终止：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（4）中国证监会规定的其他情况。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1)基金合同终止时，成立基金财产清算组，基金财产清算组在中国证监会的监督下进行基金清算。</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2)基金财产清算组成员由基金管理人、基金托管人、具有从事证券相关业务资格的注册会计师、律师以及中国证监会指定的人员组成。基金财产清算组可以聘用必要的工作人员。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3)基金财产清算组负责基金财产的保管、清理、估价、变现和分配。基金财产清算组可以依法进行必要的民事活动。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1)基金合同终止后，发布基金财产清算公告；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2)基金合同终止时，由基金财产清算组统一接管基金财产；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6)聘请律师事务所出具法律意见书；</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7)将基金财产清算结果报告中国证监会；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8)参加与基金财产有关的民事诉讼；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9)公布基金财产清算结果；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10)对基金剩余财产进行分配。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清算费用是指基金财产清算组在进行基金财产清算过程中发生的所有合理费用，清算费用由基金财产清算组优先从基金财产中支付。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4)按基金份额持有人持有的基金份额比例进行分配。</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结果经会计师事务所审计，律师事务所出具法律意见书后，由基金财产清算组报中国证监会备案并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本基金合同受中华人民共和国法律管辖。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本基金合同正本一式八份，除中国证监会和银行业监督管理机构各持两份外，基金管理人和基金托管人各持有两份。每份均具有同等的法律效力。</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本基金合同可印制成册，供投资人在基金管理人、基金托管人、代销机构和注册登记机构办公场所查阅，但其效力应以基金合同正本为准。</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25" w:name="_Toc231982092"/>
      <w:r>
        <w:rPr>
          <w:rFonts w:ascii="Times New Roman" w:hAnsi="Times New Roman"/>
          <w:sz w:val="30"/>
        </w:rPr>
        <w:lastRenderedPageBreak/>
        <w:t>二十二、托管协议的内容摘要</w:t>
      </w:r>
      <w:bookmarkEnd w:id="25"/>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法定代表人：田国立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w:t>
      </w:r>
      <w:r>
        <w:rPr>
          <w:rFonts w:ascii="宋体" w:hAnsi="宋体"/>
          <w:sz w:val="24"/>
        </w:rPr>
        <w:lastRenderedPageBreak/>
        <w:t>业监督管理机构等监管部门批准的其他业务。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存托凭证）、债券、货币市场工具、权证、资产支持证券以及法律法规或中国证监会允许基金投资的其他金融工具。如法律法规或监管机构以后允许基金投资的其他品种，基金管理人在履行适当程序后，可以将其纳入投资范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30%-80%；债券、货币市场工具、现金、权证、资产支持证券以及法律法规或中国证监会允许基金投资的其他证券品种占基金资产的20%-70%，其中基金保留的现金以及投资于到期日在一年以内的政府债券的比例合计不低于基金资产净值的5%，现金不包括结算备付金、存出保证金和应收申购款等。在基金实际管理过程中，基金管理人将根据中国宏观经济情况和证券市场的阶段性变化，适时调整基金资产在股票、债券及货币市场工具等之间的配置比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(2)本基金持有的全部权证，其市值不得超过基金资产净值的3%；</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(3)本基金进入全国银行间同业市场进行债券回购的资金余额不得超过基金资产净值的40%；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(4)本基金的投资组合比例为：股票资产（含存托凭证）占基金资产的30%-80%；债券、货币市场工具、现金、权证、资产支持证券以及法律法规或中国证监会允许基金投资的其他证券品种占基金资产的20%-70%；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(7)本基金持有的同一(指同一信用级别)资产支持证券的比例，不得超过该资产支持证券规模的10%；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(8)本基金应投资于信用级别评级为BBB以上(含BBB)的资产支持证券。基金持有资产支持证券期间，如果其信用等级下降、不再符合投资标准，应在评级报告发布之日起3个月内予以全部卖出；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(9)基金财产参与股票发行申购，本基金所申报的金额不超过本基金的总资产，本基金所申报的股票数量不超过拟发行股票公司本次发行股票的总量；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(10)本基金在任何交易日买入权证的总金额，不得超过上一交易日基金资产净值的0.5%；</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(11)保持不低于基金资产净值5%的现金或者到期日在一年以内的政府债券，其中现金不包括结算备付金、存出保证金和应收申购款等；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所有流通受限证券，其公允价值不得超过本基金资产净值的15%；本基金持有的同一流通受限证券，其公允价值不得超过本基金资产净值的2%；经基金管理人和基金托管人协商，可对以上比例进行调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(15)本基金与私募类证券资管产品及中国证监会认定的其他主体为交易对手开展逆回购交易的，可接受质押品的资质要求应当与基金合同约定的投资范围保持一致。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如果法律法规对上述投资组合比例限制进行变更的，以变更后的规定为准。法律法规或监管部门取消上述限制，如适用于本基金，则本基金在履行适当程序后不再受相关限制。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除上述第(8)、(11)、(14)、(15)项以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的，应向基金托管人说明理由，并在与交易对手发生交易前3个工作日内与基金托管人协商解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负责对交易对手的资信控制，按银行间债券市场的交易规则进行交易，并负责解决因交易对手不履行合同而造成的纠纷，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5、基金托管人根据有关法律法规的规定及基金合同的约定，对基金管理人投资流通受限证券进行监督。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本基金投资的受限证券限于可由中国证券登记结算有限责任公司或中央国债登记结算有限责任公司负责登记和存管，并可在证券交易所或全国银行间债券市场交易的证券。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受限证券应保证登记存管在本基金名下，基金管理人负责相关工作的落实和协调，并确保基金托管人能够正常查询。因基金管理人原因产生的受限证券登记存管问题，造成基金托管人无法安全保管本基金资产的责任与损失，及因受限证券存管直接影响本基金安全的责任及损失，由基金管理人承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本基金投资受限证券，不得预付任何形式的保证金。</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受限证券需要解决的基金投资比例限制失调、基金流动性困难以及相关损失的应对解决措施，以及有关异常情况的处置。基金管理人应在首次投资流通受限证券前向基金托管人提供基金投资非公开发</w:t>
      </w:r>
      <w:r>
        <w:rPr>
          <w:rFonts w:ascii="宋体" w:hAnsi="宋体"/>
          <w:sz w:val="24"/>
        </w:rPr>
        <w:lastRenderedPageBreak/>
        <w:t>行股票相关流动性风险处置预案。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按法律法规规定承担所有损失。对本基金因投资受限证券导致的流动性风险，基金托管人不承担任何责任。对由于基金管理人单方面原因致使基金托管人按照相关协议及证监会规定就基金的风险损失承担连带赔偿责任的，基金管理人应赔偿基金托管人由此遭受的损失。</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2）非公开发行股票有关发行数量、发行价格、锁定期等发行资料。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4）基金拟认购的数量、价格、总成本、账面价值。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基金管理人应在本基金投资非公开发行股票后两个交易日内，在中国证监会指定媒介披露所投资非公开发行股票的名称、数量、总成本、账面价值，以及总成本和账面价值占基金资产净值的比例、锁定期等信息。</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本基金有关投资受限证券比例如违反有关限制规定，在合理期限内未能进行及时调整，基金管理人应在两个工作日内编制临时报告书，予以公告。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（5）基金托管人根据有关规定有权对基金管理人进行以下事项监督：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1）本基金投资受限证券时的法律法规遵守情况。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2）在基金投资受限证券管理工作方面有关制度、流动性风险处置预案的建立与完善情况。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3）有关比例限制的执行情况。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4）信息披露情况。</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（6）相关法律法规对基金投资受限证券有新规定的，从其规定。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w:t>
      </w:r>
      <w:r>
        <w:rPr>
          <w:rFonts w:ascii="宋体" w:hAnsi="宋体"/>
          <w:sz w:val="24"/>
        </w:rPr>
        <w:lastRenderedPageBreak/>
        <w:t>计算、各类基金份额净值计算、应收资金到账、基金费用开支及收入确定、基金收益分配、相关信息披露、基金宣传推介材料中登载基金业绩表现数据等进行监督和核查。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w:t>
      </w:r>
      <w:r>
        <w:rPr>
          <w:rFonts w:ascii="宋体" w:hAnsi="宋体"/>
          <w:sz w:val="24"/>
        </w:rPr>
        <w:lastRenderedPageBreak/>
        <w:t>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1）基金募集期间募集的资金应存于中国证券登记结算有限责任公司的基金募集专户。该账户由基金管理人或基金管理人委托的注册登记机构开立并管理。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1）基金托管人可以基金的名义在其营业机构开立基金的银行账户，并根据基金管理人合法合规的指令办理资金收付。本基金的银行预留印鉴由基金托管人保管和使用。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3）基金银行账户的开立和管理应符合银行业监督管理机构的有关规定。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w:t>
      </w:r>
      <w:r>
        <w:rPr>
          <w:rFonts w:ascii="宋体" w:hAnsi="宋体"/>
          <w:sz w:val="24"/>
        </w:rPr>
        <w:lastRenderedPageBreak/>
        <w:t>投资品种的投资业务，涉及相关账户的开立、使用的，若无相关规定，则基金托管人比照上述关于账户开立、使用的规定执行。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在中央国债登记结算有限责任公司开立债券托管账户，并代表基金进行银行间市场债券的结算。基金管理人和基金托管人共同代表基金签订全国银行间债券市场债券回购主协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1）因业务发展需要而开立的其他账户，可以根据法律法规和基金合同的规定，由基金托管人负责开立。新账户按有关规定使用并管理。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由基金托管人存放于基金托管人的保管库，也可存入中央国债登记结算有限责任公司、中国证券登记结算有限责任公司上海分公司/深圳分公司或票据营业中心的代保管库，保管凭证由基金托管人持有。实物证券等有价凭证的购买和转让，由基金管理人和基金托管人共同办理。基金托管人对由基金托管人以外机构实际有效控制的证券不承担保管责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各类基金份额的基金份额净值是指该类基金份额的基金资产净值除以该类基金份额总数，基金份额净值的计算，精确到0.0001元，小数点后第五位四舍五入，国家另有规定的，从其规定。</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基金管理人每个工作日计算各类基金份额的基金资产净值及基金份额净值，经基金托管人复核，按规定公告。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基金管理人每工作日对基金资产进行估值后，将各类基金份额净值结果发送基金托管人，经基金托管人复核无误后，由基金管理人对外公布。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各类基金份额的基金资产净值的计算结果对外予以公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注册登记机构根据基金管理人的指令编制和保管，基金管理人和基金托管人应分别保管基金份额持有人名册，保存期不少于15年。如不能妥善保管，则按相关法规承担责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本协议受中华人民共和国法律管辖。</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（八）托管协议的修改与终止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26" w:name="_Toc231982093"/>
      <w:r>
        <w:rPr>
          <w:rFonts w:ascii="Times New Roman" w:hAnsi="Times New Roman"/>
          <w:sz w:val="30"/>
        </w:rPr>
        <w:lastRenderedPageBreak/>
        <w:t>二十三、对基金份额持有人的服务</w:t>
      </w:r>
      <w:bookmarkEnd w:id="26"/>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人可以直接通过本基金管理人网站的网上直销交易平台办理开户、本基金的申购、赎回、转换和定期定额投资等业务。本公司暂不开展网上直销后端基金份额的认/申购业务，通过转托管转入网上直销账户的后端收费模式的A类基金份额只能办理赎回业务。通过网上直销交易平台办理本基金前端A类基金份额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申购、定期定额投资及转换费率表或相关公告。本公司基金网上直销业务已开通的银行卡及各银行卡交易金额限额请参阅本公司网站。</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在条件成熟的时候，本基金管理人将根据基金网上直销交易业务的发展状况，适时调整可用于基金网上直销交易平台的银行卡种类，敬请投资人留意相关公告。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赎回等交易情况、分红方式状态、基金账户余额、基金产品与服务等信息，请拨打本基金管理人客户服务电话（400-700-5000，021-61055000）或登录本基金管理人网站（www.fund001.com）进行咨询、查询。</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w:t>
      </w:r>
      <w:r>
        <w:rPr>
          <w:rFonts w:ascii="宋体" w:hAnsi="宋体"/>
          <w:sz w:val="24"/>
        </w:rPr>
        <w:lastRenderedPageBreak/>
        <w:t>账号后，及时拨打本基金管理人客户服务电话修改基金查询密码。</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本基金收益分配时，投资人可以选择将当期分配所得的红利再投资于本基金，再投资红利按红利再投日（即除息日）除息后的基金份额净值自动转为相应类别的基金份额，并免收申购费用。</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基金管理人的互联网地址及电子信箱</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27" w:name="_Toc231982094"/>
      <w:r>
        <w:rPr>
          <w:rFonts w:ascii="Times New Roman" w:hAnsi="Times New Roman"/>
          <w:sz w:val="30"/>
        </w:rPr>
        <w:lastRenderedPageBreak/>
        <w:t>二十四、其他应披露事项</w:t>
      </w:r>
      <w:bookmarkEnd w:id="27"/>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交银施罗德主题优选灵活配置混合型证券投资基金招募说明书更新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交银施罗德主题优选灵活配置混合型证券投资基金（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交银施罗德主题优选灵活配置混合型证券投资基金（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交银施罗德主题优选灵活配置混合型证券投资基金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交银施罗德主题优选灵活配置混合型证券投资基金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交银施罗德主题优选灵活配置混合型证券投资基金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交银施罗德主题优选灵活配置混合型证券投资基金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交银施罗德主题优选灵活配置混合型证券投资基金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07634">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交银施罗德主题优选灵活配置混合型证券投资基金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07634" w:rsidRDefault="000063D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28" w:name="_Toc231982095"/>
      <w:r>
        <w:rPr>
          <w:rFonts w:ascii="Times New Roman" w:hAnsi="Times New Roman"/>
          <w:sz w:val="30"/>
        </w:rPr>
        <w:lastRenderedPageBreak/>
        <w:t>二十五、招募说明书的存放及查阅方式</w:t>
      </w:r>
      <w:bookmarkEnd w:id="28"/>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0063DC"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07634" w:rsidRDefault="000063DC">
      <w:pPr>
        <w:pStyle w:val="1"/>
        <w:snapToGrid w:val="0"/>
        <w:spacing w:beforeLines="0" w:before="240" w:after="240"/>
        <w:rPr>
          <w:rFonts w:ascii="宋体" w:hAnsi="宋体"/>
          <w:szCs w:val="30"/>
        </w:rPr>
      </w:pPr>
      <w:bookmarkStart w:id="29" w:name="_Toc231982096"/>
      <w:r>
        <w:rPr>
          <w:rFonts w:ascii="Times New Roman" w:hAnsi="Times New Roman"/>
          <w:sz w:val="30"/>
        </w:rPr>
        <w:lastRenderedPageBreak/>
        <w:t>二十六、备查文件</w:t>
      </w:r>
      <w:bookmarkEnd w:id="29"/>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（一）中国证监会核准交银施罗德主题优选灵活配置混合型证券投资基金募集的文件</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（二）《交银施罗德主题优选灵活配置混合型证券投资基金基金合同》</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（三）《交银施罗德主题优选灵活配置混合型证券投资基金托管协议》</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207634" w:rsidRDefault="000063DC">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（六）关于申请募集交银施罗德主题优选灵活配置混合型证券投资基金之法律意见书</w:t>
      </w:r>
    </w:p>
    <w:sectPr w:rsidR="00207634">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28F5" w:rsidRDefault="000063DC">
      <w:r>
        <w:separator/>
      </w:r>
    </w:p>
  </w:endnote>
  <w:endnote w:type="continuationSeparator" w:id="0">
    <w:p w:rsidR="00C928F5" w:rsidRDefault="00006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634" w:rsidRDefault="0020763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634" w:rsidRDefault="00792362">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207634" w:rsidRDefault="000063D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92362">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634" w:rsidRDefault="00207634">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634" w:rsidRDefault="00792362">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207634" w:rsidRDefault="000063D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92362">
                  <w:rPr>
                    <w:rFonts w:ascii="Times New Roman" w:hAnsi="Times New Roman"/>
                    <w:noProof/>
                    <w:kern w:val="0"/>
                    <w:sz w:val="18"/>
                    <w:szCs w:val="18"/>
                  </w:rPr>
                  <w:t>166</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28F5" w:rsidRDefault="000063DC">
      <w:r>
        <w:separator/>
      </w:r>
    </w:p>
  </w:footnote>
  <w:footnote w:type="continuationSeparator" w:id="0">
    <w:p w:rsidR="00C928F5" w:rsidRDefault="000063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634" w:rsidRDefault="0020763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634" w:rsidRDefault="000063DC">
    <w:pPr>
      <w:pStyle w:val="a3"/>
      <w:jc w:val="right"/>
      <w:rPr>
        <w:rFonts w:ascii="宋体" w:hAnsi="宋体"/>
      </w:rPr>
    </w:pPr>
    <w:r>
      <w:rPr>
        <w:rFonts w:ascii="宋体" w:hAnsi="宋体" w:hint="eastAsia"/>
      </w:rPr>
      <w:t>交银施罗德主题优选灵活配置混合型证券投资基金招募说明书更新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634" w:rsidRDefault="00207634">
    <w:pPr>
      <w:pStyle w:val="10"/>
      <w:jc w:val="right"/>
    </w:pPr>
  </w:p>
  <w:p w:rsidR="00207634" w:rsidRDefault="00207634">
    <w:pPr>
      <w:pStyle w:val="10"/>
      <w:jc w:val="right"/>
    </w:pPr>
  </w:p>
  <w:p w:rsidR="00207634" w:rsidRDefault="00207634">
    <w:pPr>
      <w:pStyle w:val="a3"/>
      <w:jc w:val="right"/>
    </w:pPr>
  </w:p>
  <w:p w:rsidR="00207634" w:rsidRDefault="000063DC">
    <w:pPr>
      <w:pStyle w:val="a3"/>
      <w:jc w:val="right"/>
      <w:rPr>
        <w:rFonts w:ascii="宋体" w:hAnsi="宋体"/>
      </w:rPr>
    </w:pPr>
    <w:r>
      <w:rPr>
        <w:rFonts w:ascii="宋体" w:hAnsi="宋体" w:hint="eastAsia"/>
      </w:rPr>
      <w:t>交银施罗德主题优选灵活配置混合型证券投资基金招募说明书更新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634" w:rsidRDefault="00207634">
    <w:pPr>
      <w:pStyle w:val="a3"/>
      <w:jc w:val="right"/>
    </w:pPr>
  </w:p>
  <w:p w:rsidR="00207634" w:rsidRDefault="00207634">
    <w:pPr>
      <w:pStyle w:val="a3"/>
      <w:jc w:val="right"/>
    </w:pPr>
  </w:p>
  <w:p w:rsidR="00207634" w:rsidRDefault="00207634">
    <w:pPr>
      <w:pStyle w:val="a3"/>
      <w:jc w:val="right"/>
    </w:pPr>
  </w:p>
  <w:p w:rsidR="00207634" w:rsidRDefault="000063DC">
    <w:pPr>
      <w:pStyle w:val="a3"/>
      <w:jc w:val="right"/>
      <w:rPr>
        <w:rFonts w:ascii="宋体" w:hAnsi="宋体"/>
      </w:rPr>
    </w:pPr>
    <w:r>
      <w:rPr>
        <w:rFonts w:ascii="宋体" w:hAnsi="宋体" w:hint="eastAsia"/>
      </w:rPr>
      <w:t>交银施罗德主题优选灵活配置混合型证券投资基金招募说明书更新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063DC"/>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34"/>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362"/>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28F5"/>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77C53830-CBFF-45CE-91AF-1F620813B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167</Pages>
  <Words>16904</Words>
  <Characters>96355</Characters>
  <Application>Microsoft Office Word</Application>
  <DocSecurity>0</DocSecurity>
  <Lines>802</Lines>
  <Paragraphs>226</Paragraphs>
  <ScaleCrop>false</ScaleCrop>
  <Company>Microsoft</Company>
  <LinksUpToDate>false</LinksUpToDate>
  <CharactersWithSpaces>113033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2026-06-10T03:07:00Z</dcterms:created>
  <dcterms:modified xsi:type="dcterms:W3CDTF">2026-06-10T03:07:00Z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