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交银施罗德成长30混合型证券投资基金</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2026-05-14</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2026-06-12</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交银成长30混合</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519727</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中国建设银行股份有限公司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2013-06-05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混合型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郭斐</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2017-09-26</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2009-08-17</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基金份额持有人数量不满200人或者基金资产净值低于5000万元的，基金管理人应当及时报告中国证监会；连续20个工作日出现前述情形的，基金管理人应当向中国证监会说明原因并报送解决方案。</w:t>
            </w:r>
          </w:p>
        </w:tc>
      </w:tr>
    </w:tbl>
    <w:p>
      <w:pPr>
        <w:jc w:val="left"/>
        <w:rPr>
          <w:rFonts w:ascii="仿宋_GB2312" w:eastAsia="仿宋_GB2312"/>
          <w:szCs w:val="21"/>
        </w:rPr>
      </w:pPr>
      <w:r>
        <w:rPr>
          <w:rFonts w:hint="eastAsia" w:ascii="仿宋_GB2312" w:hAnsi="宋体" w:eastAsia="仿宋_GB2312" w:cs="宋体"/>
          <w:kern w:val="0"/>
          <w:szCs w:val="21"/>
        </w:rPr>
        <w:t>注：</w:t>
      </w:r>
      <w:r>
        <w:rPr>
          <w:rFonts w:hint="eastAsia" w:ascii="仿宋_GB2312" w:eastAsia="仿宋_GB2312"/>
          <w:szCs w:val="21"/>
        </w:rPr>
        <w:t>519727（前端），519728（后端）</w:t>
      </w:r>
    </w:p>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本基金属于成长型混合型基金，主要通过投资于不超过30只精选的成长型上市公司股票，在适度控制风险并保持基金资产良好流动性的前提下，为基金份额持有人谋求长期、稳定的资本增值。</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国内依法发行上市的股票(含中小板、创业板及其他经中国证监会核准上市的股票、存托凭证)、债券、中期票据、货币市场工具、权证、资产支持证券、股指期货以及法律法规或中国证监会允许基金投资的其他金融工具(但须符合中国证监会相关规定)。</w:t>
            </w:r>
          </w:p>
          <w:p>
            <w:pPr>
              <w:ind w:firstLine="420"/>
              <w:jc w:val="left"/>
              <w:rPr>
                <w:rFonts w:ascii="仿宋_GB2312" w:eastAsia="仿宋_GB2312"/>
                <w:szCs w:val="21"/>
              </w:rPr>
            </w:pPr>
            <w:r>
              <w:rPr>
                <w:rFonts w:hint="eastAsia" w:ascii="仿宋_GB2312" w:eastAsia="仿宋_GB2312"/>
                <w:szCs w:val="21"/>
              </w:rPr>
              <w:t>如法律法规或监管机构以后允许基金投资其他品种，基金管理人在履行适当程序后，可以将其纳入投资范围。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基金的投资组合比例为：股票资产（含存托凭证）占基金资产的60%-95%，其中投资于经过严格品质筛选、成长质量优良的成长型股票的资产比例不低于股票资产的80%；其余资产投资于债券、中期票据、货币市场工具、现金、权证、资产支持证券以及法律法规或中国证监会允许基金投资的其他证券品种；基金保留的现金或者投资于到期日在一年以内的政府债券的比例合计不低于基金资产净值的5%，其中现金不包括结算备付金、存出保证金、应收申购款等。</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充分发挥基金管理人的研究优势，将严谨、规范化的选股方法与积极主动的投资风格相结合，在分析和判断宏观经济运行和行业景气变化以及上市公司成长潜力的基础上，精选业务聚焦型、在所属行业内数一数二的成长型上市公司股票，并通过持有不超过30只股票的集中持股策略，为基金资产谋求长期稳健增值。</w:t>
            </w:r>
          </w:p>
          <w:p>
            <w:pPr>
              <w:ind w:firstLine="420"/>
              <w:jc w:val="left"/>
              <w:rPr>
                <w:rFonts w:ascii="仿宋_GB2312" w:eastAsia="仿宋_GB2312"/>
                <w:szCs w:val="21"/>
              </w:rPr>
            </w:pPr>
            <w:r>
              <w:rPr>
                <w:rFonts w:hint="eastAsia" w:ascii="仿宋_GB2312" w:eastAsia="仿宋_GB2312"/>
                <w:szCs w:val="21"/>
              </w:rPr>
              <w:t>1、资产配置；2、股票选择；3、债券投资；4、权证投资；5、资产支持证券投资；6、股指期货投资。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75%×富时中国A600成长指数收益率+25%×中证综合债券指数收益率</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混合型基金，以成长型股票为主要投资对象，其风险和预期收益高于债券型基金和货币市场基金，低于股票型基金。属于承担较高风险、预期收益较高的证券投资基金品种。根据2017年7月1日施行的《证券期货投资者适当性管理办法》，基金管理人和销售机构已对本基金重新进行风险评级。风险评级行为不改变本基金的实质性风险收益特征。但由于风险等级分类标准的变化，本基金的风险等级表述可能有相应变化，具体风险评级结果应以基金管理人和销售机构提供的评级结果为准。</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详见《交银施罗德成长30混合型证券投资基金招募说明书》“基金的投资”。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249.75pt;width:330.7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59.75pt;width:499.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注：1、净值表现数据的截止日为2025年12月31日。</w:t>
      </w:r>
    </w:p>
    <w:p>
      <w:pPr>
        <w:ind w:left="420" w:firstLine="420" w:firstLineChars="200"/>
        <w:jc w:val="left"/>
        <w:rPr>
          <w:rFonts w:ascii="仿宋_GB2312" w:eastAsia="仿宋_GB2312"/>
          <w:szCs w:val="21"/>
        </w:rPr>
      </w:pPr>
      <w:r>
        <w:rPr>
          <w:rFonts w:hint="eastAsia" w:ascii="仿宋_GB2312" w:eastAsia="仿宋_GB2312"/>
          <w:szCs w:val="21"/>
        </w:rPr>
        <w:t>2、基金的过往业绩不代表未来表现。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46"/>
        <w:gridCol w:w="2818"/>
        <w:gridCol w:w="1754"/>
        <w:gridCol w:w="1990"/>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申购费（前收费）</w:t>
            </w:r>
          </w:p>
        </w:tc>
        <w:tc>
          <w:tcPr>
            <w:tcW w:w="2409" w:type="dxa"/>
          </w:tcPr>
          <w:p>
            <w:pPr>
              <w:rPr>
                <w:rFonts w:ascii="仿宋_GB2312" w:eastAsia="仿宋_GB2312"/>
                <w:szCs w:val="21"/>
              </w:rPr>
            </w:pPr>
            <w:r>
              <w:rPr>
                <w:rFonts w:hint="eastAsia" w:ascii="仿宋_GB2312" w:eastAsia="仿宋_GB2312"/>
                <w:szCs w:val="21"/>
              </w:rPr>
              <w:t>M＜50万元</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50万元≤M＜100万元</w:t>
            </w:r>
          </w:p>
        </w:tc>
        <w:tc>
          <w:tcPr>
            <w:tcW w:w="1843" w:type="dxa"/>
            <w:vAlign w:val="center"/>
          </w:tcPr>
          <w:p>
            <w:pPr>
              <w:rPr>
                <w:rFonts w:ascii="仿宋_GB2312" w:eastAsia="仿宋_GB2312"/>
                <w:szCs w:val="21"/>
              </w:rPr>
            </w:pPr>
            <w:r>
              <w:rPr>
                <w:rFonts w:hint="eastAsia" w:ascii="仿宋_GB2312" w:eastAsia="仿宋_GB2312"/>
                <w:szCs w:val="21"/>
              </w:rPr>
              <w:t>1.2%</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100万元≤M＜200万元</w:t>
            </w:r>
          </w:p>
        </w:tc>
        <w:tc>
          <w:tcPr>
            <w:tcW w:w="1843" w:type="dxa"/>
            <w:vAlign w:val="center"/>
          </w:tcPr>
          <w:p>
            <w:pPr>
              <w:rPr>
                <w:rFonts w:ascii="仿宋_GB2312" w:eastAsia="仿宋_GB2312"/>
                <w:szCs w:val="21"/>
              </w:rPr>
            </w:pPr>
            <w:r>
              <w:rPr>
                <w:rFonts w:hint="eastAsia" w:ascii="仿宋_GB2312" w:eastAsia="仿宋_GB2312"/>
                <w:szCs w:val="21"/>
              </w:rPr>
              <w:t>0.8%</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200万元≤M＜500万元</w:t>
            </w:r>
          </w:p>
        </w:tc>
        <w:tc>
          <w:tcPr>
            <w:tcW w:w="1843" w:type="dxa"/>
            <w:vAlign w:val="center"/>
          </w:tcPr>
          <w:p>
            <w:pPr>
              <w:rPr>
                <w:rFonts w:ascii="仿宋_GB2312" w:eastAsia="仿宋_GB2312"/>
                <w:szCs w:val="21"/>
              </w:rPr>
            </w:pPr>
            <w:r>
              <w:rPr>
                <w:rFonts w:hint="eastAsia" w:ascii="仿宋_GB2312" w:eastAsia="仿宋_GB2312"/>
                <w:szCs w:val="21"/>
              </w:rPr>
              <w:t>0.5%</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500万元≤M</w:t>
            </w:r>
          </w:p>
        </w:tc>
        <w:tc>
          <w:tcPr>
            <w:tcW w:w="1843" w:type="dxa"/>
            <w:vAlign w:val="center"/>
          </w:tcPr>
          <w:p>
            <w:pPr>
              <w:rPr>
                <w:rFonts w:ascii="仿宋_GB2312" w:eastAsia="仿宋_GB2312"/>
                <w:szCs w:val="21"/>
              </w:rPr>
            </w:pPr>
            <w:r>
              <w:rPr>
                <w:rFonts w:hint="eastAsia" w:ascii="仿宋_GB2312" w:eastAsia="仿宋_GB2312"/>
                <w:szCs w:val="21"/>
              </w:rPr>
              <w:t>1,000元每笔</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申购费（后收费）</w:t>
            </w:r>
          </w:p>
        </w:tc>
        <w:tc>
          <w:tcPr>
            <w:tcW w:w="2409" w:type="dxa"/>
          </w:tcPr>
          <w:p>
            <w:pPr>
              <w:rPr>
                <w:rFonts w:ascii="仿宋_GB2312" w:eastAsia="仿宋_GB2312"/>
                <w:szCs w:val="21"/>
              </w:rPr>
            </w:pPr>
            <w:r>
              <w:rPr>
                <w:rFonts w:hint="eastAsia" w:ascii="仿宋_GB2312" w:eastAsia="仿宋_GB2312"/>
                <w:szCs w:val="21"/>
              </w:rPr>
              <w:t>N≤1年</w:t>
            </w:r>
          </w:p>
        </w:tc>
        <w:tc>
          <w:tcPr>
            <w:tcW w:w="1843" w:type="dxa"/>
            <w:vAlign w:val="center"/>
          </w:tcPr>
          <w:p>
            <w:pPr>
              <w:rPr>
                <w:rFonts w:ascii="仿宋_GB2312" w:eastAsia="仿宋_GB2312"/>
                <w:szCs w:val="21"/>
              </w:rPr>
            </w:pPr>
            <w:r>
              <w:rPr>
                <w:rFonts w:hint="eastAsia" w:ascii="仿宋_GB2312" w:eastAsia="仿宋_GB2312"/>
                <w:szCs w:val="21"/>
              </w:rPr>
              <w:t>1.8%</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1年＜N≤3年</w:t>
            </w:r>
          </w:p>
        </w:tc>
        <w:tc>
          <w:tcPr>
            <w:tcW w:w="1843" w:type="dxa"/>
            <w:vAlign w:val="center"/>
          </w:tcPr>
          <w:p>
            <w:pPr>
              <w:rPr>
                <w:rFonts w:ascii="仿宋_GB2312" w:eastAsia="仿宋_GB2312"/>
                <w:szCs w:val="21"/>
              </w:rPr>
            </w:pPr>
            <w:r>
              <w:rPr>
                <w:rFonts w:hint="eastAsia" w:ascii="仿宋_GB2312" w:eastAsia="仿宋_GB2312"/>
                <w:szCs w:val="21"/>
              </w:rPr>
              <w:t>1.2%</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3年＜N≤5年</w:t>
            </w:r>
          </w:p>
        </w:tc>
        <w:tc>
          <w:tcPr>
            <w:tcW w:w="1843" w:type="dxa"/>
            <w:vAlign w:val="center"/>
          </w:tcPr>
          <w:p>
            <w:pPr>
              <w:rPr>
                <w:rFonts w:ascii="仿宋_GB2312" w:eastAsia="仿宋_GB2312"/>
                <w:szCs w:val="21"/>
              </w:rPr>
            </w:pPr>
            <w:r>
              <w:rPr>
                <w:rFonts w:hint="eastAsia" w:ascii="仿宋_GB2312" w:eastAsia="仿宋_GB2312"/>
                <w:szCs w:val="21"/>
              </w:rPr>
              <w:t>0.6%</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5年＜N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7天≤N＜366天</w:t>
            </w:r>
          </w:p>
        </w:tc>
        <w:tc>
          <w:tcPr>
            <w:tcW w:w="1843" w:type="dxa"/>
            <w:vAlign w:val="center"/>
          </w:tcPr>
          <w:p>
            <w:pPr>
              <w:rPr>
                <w:rFonts w:ascii="仿宋_GB2312" w:eastAsia="仿宋_GB2312"/>
                <w:szCs w:val="21"/>
              </w:rPr>
            </w:pPr>
            <w:r>
              <w:rPr>
                <w:rFonts w:hint="eastAsia" w:ascii="仿宋_GB2312" w:eastAsia="仿宋_GB2312"/>
                <w:szCs w:val="21"/>
              </w:rPr>
              <w:t>0.5%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366天≤N＜731天</w:t>
            </w:r>
          </w:p>
        </w:tc>
        <w:tc>
          <w:tcPr>
            <w:tcW w:w="1843" w:type="dxa"/>
            <w:vAlign w:val="center"/>
          </w:tcPr>
          <w:p>
            <w:pPr>
              <w:rPr>
                <w:rFonts w:ascii="仿宋_GB2312" w:eastAsia="仿宋_GB2312"/>
                <w:szCs w:val="21"/>
              </w:rPr>
            </w:pPr>
            <w:r>
              <w:rPr>
                <w:rFonts w:hint="eastAsia" w:ascii="仿宋_GB2312" w:eastAsia="仿宋_GB2312"/>
                <w:szCs w:val="21"/>
              </w:rPr>
              <w:t>0.2%</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731天≤N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注：1、本基金对持续持有期少于7日的投资人收取1.5%的赎回费，请投资人予以关注。2、销售机构若有其他费率优惠请见基金管理人或其他销售机构的有关公告或通知。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1.20%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0.20%</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38000.00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1.42%</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（1）政策风险、（2）经济周期风险、（3）利率风险、（4）信用风险、（5）购买力风险、（6）上市公司经营风险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4、投资本基金特有的风险</w:t>
      </w:r>
    </w:p>
    <w:p>
      <w:pPr>
        <w:ind w:firstLine="420"/>
        <w:jc w:val="left"/>
        <w:rPr>
          <w:rFonts w:ascii="仿宋_GB2312" w:eastAsia="仿宋_GB2312"/>
          <w:szCs w:val="21"/>
        </w:rPr>
      </w:pPr>
      <w:r>
        <w:rPr>
          <w:rFonts w:hint="eastAsia" w:ascii="仿宋_GB2312" w:eastAsia="仿宋_GB2312"/>
          <w:szCs w:val="21"/>
        </w:rPr>
        <w:t>（1）本基金为混合型基金，将维持较高的股票持仓比例，如果股票市场出现整体下跌，本基金的净值表现将受到影响。</w:t>
      </w:r>
    </w:p>
    <w:p>
      <w:pPr>
        <w:ind w:firstLine="420"/>
        <w:jc w:val="left"/>
        <w:rPr>
          <w:rFonts w:ascii="仿宋_GB2312" w:eastAsia="仿宋_GB2312"/>
          <w:szCs w:val="21"/>
        </w:rPr>
      </w:pPr>
      <w:r>
        <w:rPr>
          <w:rFonts w:hint="eastAsia" w:ascii="仿宋_GB2312" w:eastAsia="仿宋_GB2312"/>
          <w:szCs w:val="21"/>
        </w:rPr>
        <w:t>（2）对宏观经济趋势、政策以及上市公司基本面研究是否准确、深入，以及对成长型股票的优选和判断是否科学、准确将影响本基金的收益。基本面研究及上市公司分析的错误均可能导致所选择的证券不能完全符合本基金的预期目标。同时，本基金股票组合采用不超过30只股票的集中持股策略，使得上述单个股票的股价波动对基金净值的影响较普通股票基金更大。</w:t>
      </w:r>
    </w:p>
    <w:p>
      <w:pPr>
        <w:ind w:firstLine="420"/>
        <w:jc w:val="left"/>
        <w:rPr>
          <w:rFonts w:ascii="仿宋_GB2312" w:eastAsia="仿宋_GB2312"/>
          <w:szCs w:val="21"/>
        </w:rPr>
      </w:pPr>
      <w:r>
        <w:rPr>
          <w:rFonts w:hint="eastAsia" w:ascii="仿宋_GB2312" w:eastAsia="仿宋_GB2312"/>
          <w:szCs w:val="21"/>
        </w:rPr>
        <w:t>（3）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w:t>
      </w:r>
    </w:p>
    <w:p>
      <w:pPr>
        <w:ind w:firstLine="420"/>
        <w:jc w:val="left"/>
        <w:rPr>
          <w:rFonts w:ascii="仿宋_GB2312" w:eastAsia="仿宋_GB2312"/>
          <w:szCs w:val="21"/>
        </w:rPr>
      </w:pPr>
      <w:r>
        <w:rPr>
          <w:rFonts w:hint="eastAsia" w:ascii="仿宋_GB2312" w:eastAsia="仿宋_GB2312"/>
          <w:szCs w:val="21"/>
        </w:rPr>
        <w:t>（4）本基金可投资创业板股票，创业板个股上市后的前五个交易日不设价格涨跌幅限制，第六个交易日开始涨跌幅限制比例为20%。</w:t>
      </w:r>
    </w:p>
    <w:p>
      <w:pPr>
        <w:ind w:firstLine="420"/>
        <w:jc w:val="left"/>
        <w:rPr>
          <w:rFonts w:ascii="仿宋_GB2312" w:eastAsia="仿宋_GB2312"/>
          <w:szCs w:val="21"/>
        </w:rPr>
      </w:pPr>
      <w:r>
        <w:rPr>
          <w:rFonts w:hint="eastAsia" w:ascii="仿宋_GB2312" w:eastAsia="仿宋_GB2312"/>
          <w:szCs w:val="21"/>
        </w:rPr>
        <w:t>5、投资科创板股票的特定风险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pPr>
        <w:ind w:firstLine="420"/>
        <w:jc w:val="left"/>
        <w:rPr>
          <w:rFonts w:ascii="仿宋_GB2312" w:eastAsia="仿宋_GB2312"/>
          <w:szCs w:val="21"/>
        </w:rPr>
      </w:pPr>
      <w:r>
        <w:rPr>
          <w:rFonts w:hint="eastAsia" w:ascii="仿宋_GB2312" w:eastAsia="仿宋_GB2312"/>
          <w:szCs w:val="21"/>
        </w:rPr>
        <w:t>6、投资存托凭证的特定风险</w:t>
      </w:r>
    </w:p>
    <w:p>
      <w:pPr>
        <w:ind w:firstLine="420"/>
        <w:jc w:val="left"/>
        <w:rPr>
          <w:rFonts w:ascii="仿宋_GB2312" w:eastAsia="仿宋_GB2312"/>
          <w:szCs w:val="21"/>
        </w:rPr>
      </w:pPr>
      <w:r>
        <w:rPr>
          <w:rFonts w:hint="eastAsia" w:ascii="仿宋_GB2312" w:eastAsia="仿宋_GB2312"/>
          <w:szCs w:val="21"/>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ind w:firstLine="420"/>
        <w:jc w:val="left"/>
        <w:rPr>
          <w:rFonts w:ascii="仿宋_GB2312" w:eastAsia="仿宋_GB2312"/>
          <w:szCs w:val="21"/>
        </w:rPr>
      </w:pPr>
      <w:r>
        <w:rPr>
          <w:rFonts w:hint="eastAsia" w:ascii="仿宋_GB2312" w:eastAsia="仿宋_GB2312"/>
          <w:szCs w:val="21"/>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本基金可根据投资策略需要或市场环境的变化，选择将部分基金资产投资于存托凭证或选择不将基金资产投资于存托凭证，基金资产并非必然投资存托凭证。</w:t>
      </w:r>
    </w:p>
    <w:p>
      <w:pPr>
        <w:ind w:firstLine="420"/>
        <w:jc w:val="left"/>
        <w:rPr>
          <w:rFonts w:ascii="仿宋_GB2312" w:eastAsia="仿宋_GB2312"/>
          <w:szCs w:val="21"/>
        </w:rPr>
      </w:pPr>
      <w:r>
        <w:rPr>
          <w:rFonts w:hint="eastAsia" w:ascii="仿宋_GB2312" w:eastAsia="仿宋_GB2312"/>
          <w:szCs w:val="21"/>
        </w:rPr>
        <w:t>7、本基金法律文件风险收益特征表述与销售机构基金风险评价可能不一致的风险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8、其他风险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因基金合同而产生的或与基金合同有关的一切争议，如经友好协商未能解决的，任何一方均有权将争议提交中国国际经济贸易仲裁委员会，按其届时有效的仲裁规则进行仲裁。仲裁地点为北京市。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ind w:firstLine="420"/>
        <w:jc w:val="left"/>
        <w:rPr>
          <w:rFonts w:ascii="仿宋_GB2312" w:eastAsia="仿宋_GB2312"/>
          <w:szCs w:val="21"/>
        </w:rPr>
      </w:pP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●《交银施罗德成长30混合型证券投资基金基金合同》、</w:t>
      </w:r>
    </w:p>
    <w:p>
      <w:pPr>
        <w:ind w:firstLine="420"/>
        <w:jc w:val="left"/>
        <w:rPr>
          <w:rFonts w:ascii="仿宋_GB2312" w:eastAsia="仿宋_GB2312"/>
          <w:szCs w:val="21"/>
        </w:rPr>
      </w:pPr>
      <w:r>
        <w:rPr>
          <w:rFonts w:hint="eastAsia" w:ascii="仿宋_GB2312" w:eastAsia="仿宋_GB2312"/>
          <w:szCs w:val="21"/>
        </w:rPr>
        <w:t>《交银施罗德成长30混合型证券投资基金托管协议》、</w:t>
      </w:r>
    </w:p>
    <w:p>
      <w:pPr>
        <w:ind w:firstLine="420"/>
        <w:jc w:val="left"/>
        <w:rPr>
          <w:rFonts w:ascii="仿宋_GB2312" w:eastAsia="仿宋_GB2312"/>
          <w:szCs w:val="21"/>
        </w:rPr>
      </w:pPr>
      <w:r>
        <w:rPr>
          <w:rFonts w:hint="eastAsia" w:ascii="仿宋_GB2312" w:eastAsia="仿宋_GB2312"/>
          <w:szCs w:val="21"/>
        </w:rPr>
        <w:t>《交银施罗德成长30混合型证券投资基金招募说明书》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401C56"/>
    <w:rsid w:val="00447692"/>
    <w:rsid w:val="004A275D"/>
    <w:rsid w:val="0051565B"/>
    <w:rsid w:val="006240B9"/>
    <w:rsid w:val="006A53E7"/>
    <w:rsid w:val="007A64C5"/>
    <w:rsid w:val="00846EFA"/>
    <w:rsid w:val="00880454"/>
    <w:rsid w:val="008A6FA6"/>
    <w:rsid w:val="00902522"/>
    <w:rsid w:val="0090269C"/>
    <w:rsid w:val="009728DC"/>
    <w:rsid w:val="009C0C41"/>
    <w:rsid w:val="009F4EAE"/>
    <w:rsid w:val="00AB59CB"/>
    <w:rsid w:val="00AF7A1E"/>
    <w:rsid w:val="00C0525C"/>
    <w:rsid w:val="00CD7637"/>
    <w:rsid w:val="00D04A15"/>
    <w:rsid w:val="00D373CC"/>
    <w:rsid w:val="00DB319C"/>
    <w:rsid w:val="00E51B6D"/>
    <w:rsid w:val="00F75715"/>
    <w:rsid w:val="00F811C4"/>
    <w:rsid w:val="00FC2918"/>
    <w:rsid w:val="2353703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qFormat/>
    <w:uiPriority w:val="99"/>
    <w:pPr>
      <w:jc w:val="left"/>
    </w:pPr>
  </w:style>
  <w:style w:type="paragraph" w:styleId="3">
    <w:name w:val="Balloon Text"/>
    <w:basedOn w:val="1"/>
    <w:link w:val="16"/>
    <w:semiHidden/>
    <w:unhideWhenUsed/>
    <w:qFormat/>
    <w:uiPriority w:val="99"/>
    <w:rPr>
      <w:sz w:val="18"/>
      <w:szCs w:val="18"/>
    </w:rPr>
  </w:style>
  <w:style w:type="paragraph" w:styleId="4">
    <w:name w:val="footer"/>
    <w:basedOn w:val="1"/>
    <w:link w:val="12"/>
    <w:unhideWhenUsed/>
    <w:qFormat/>
    <w:uiPriority w:val="99"/>
    <w:pPr>
      <w:tabs>
        <w:tab w:val="center" w:pos="4153"/>
        <w:tab w:val="right" w:pos="8306"/>
      </w:tabs>
      <w:snapToGrid w:val="0"/>
      <w:jc w:val="left"/>
    </w:pPr>
    <w:rPr>
      <w:sz w:val="18"/>
      <w:szCs w:val="18"/>
    </w:rPr>
  </w:style>
  <w:style w:type="paragraph" w:styleId="5">
    <w:name w:val="header"/>
    <w:basedOn w:val="1"/>
    <w:link w:val="11"/>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qFormat/>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qFormat/>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qFormat/>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qFormat/>
    <w:uiPriority w:val="99"/>
  </w:style>
  <w:style w:type="character" w:customStyle="1" w:styleId="15">
    <w:name w:val="批注主题 Char"/>
    <w:basedOn w:val="14"/>
    <w:link w:val="6"/>
    <w:semiHidden/>
    <w:qFormat/>
    <w:uiPriority w:val="99"/>
    <w:rPr>
      <w:b/>
      <w:bCs/>
    </w:rPr>
  </w:style>
  <w:style w:type="character" w:customStyle="1" w:styleId="16">
    <w:name w:val="批注框文本 Char"/>
    <w:basedOn w:val="9"/>
    <w:link w:val="3"/>
    <w:semiHidden/>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696</Words>
  <Characters>3969</Characters>
  <Lines>33</Lines>
  <Paragraphs>9</Paragraphs>
  <TotalTime>0</TotalTime>
  <ScaleCrop>false</ScaleCrop>
  <LinksUpToDate>false</LinksUpToDate>
  <CharactersWithSpaces>4656</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2026-05-20T01:34:00Z</dcterms:created>
  <dc:creator>Cc</dc:creator>
  <cp:lastModifiedBy>haotingting</cp:lastModifiedBy>
  <dcterms:modified xsi:type="dcterms:W3CDTF">2026-05-21T05:52:18Z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49DC5FB002AE404684565F65C938976A</vt:lpwstr>
  </property>
</Properties>
</file>