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交银施罗德国企改革灵活配置混合型证券投资基金（C类份额）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交银国企改革灵活配置混合C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017979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2015-06-10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沈楠</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2015-06-10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2009-06-23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本基金主要投资受益于国企改革红利的上市公司股票，通过积极主动的投资管理，在合理控制投资风险的基础上，力争实现基金资产的长期稳定增值。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0%-95%，其余资产投资于债券、中期票据、货币市场工具、现金、权证、资产支持证券以及法律法规或中国证监会允许基金投资的其他证券品种；本基金投资受益于国企改革相关上市公司证券的比例不低于非现金基金资产的80%；本基金保留的现金或者投资于到期日在一年以内的政府债券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和股票行业配置策略，确定债券组合久期和债券类别配置；在严谨深入的股票和债券研究分析基础上，自下而上精选个券。其中，本基金股票投资重点关注直接受益于国企改革红利、或在国企改革推动下盈利水平长期显著提升的其他上市公司。</w:t>
            </w:r>
          </w:p>
          <w:p>
            <w:pPr>
              <w:ind w:firstLine="420"/>
              <w:jc w:val="left"/>
              <w:rPr>
                <w:rFonts w:ascii="仿宋_GB2312" w:eastAsia="仿宋_GB2312"/>
                <w:szCs w:val="21"/>
              </w:rPr>
            </w:pPr>
            <w:r>
              <w:rPr>
                <w:rFonts w:hint="eastAsia" w:ascii="仿宋_GB2312" w:eastAsia="仿宋_GB2312"/>
                <w:szCs w:val="21"/>
              </w:rPr>
              <w:t>1、资产配置；2、行业配置；3、股票投资；4、债券投资；5、权证投资；6、资产支持证券投资；7、股指期货投资。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60%×沪深300指数+40%×中证综合债券指数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详见《交银施罗德国企改革灵活配置混合型证券投资基金招募说明书》“基金的投资”。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2、本基金自2023年2月28日起，开始销售C类份额，基金份额类别首次确认当年净值增长率按实际存续期计算。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（2）投资主题风险</w:t>
      </w:r>
    </w:p>
    <w:p>
      <w:pPr>
        <w:ind w:firstLine="420"/>
        <w:jc w:val="left"/>
        <w:rPr>
          <w:rFonts w:ascii="仿宋_GB2312" w:eastAsia="仿宋_GB2312"/>
          <w:szCs w:val="21"/>
        </w:rPr>
      </w:pPr>
      <w:r>
        <w:rPr>
          <w:rFonts w:hint="eastAsia" w:ascii="仿宋_GB2312" w:eastAsia="仿宋_GB2312"/>
          <w:szCs w:val="21"/>
        </w:rPr>
        <w:t>本基金投资于核心资产主题相关证券的比例不低于非现金基金资产的 80%，因此本基金的股票投资业绩与本基金界定的具有核心资产的公司发行证券的相关性较大，需承担相应风险。</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●《交银施罗德国企改革灵活配置混合型证券投资基金基金合同》、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《交银施罗德国企改革灵活配置混合型证券投资基金托管协议》、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《交银施罗德国企改革灵活配置混合型证券投资基金招募说明书》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214BB"/>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2CC54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710</Words>
  <Characters>4050</Characters>
  <Lines>33</Lines>
  <Paragraphs>9</Paragraphs>
  <TotalTime>0</TotalTime>
  <ScaleCrop>false</ScaleCrop>
  <LinksUpToDate>false</LinksUpToDate>
  <CharactersWithSpaces>4751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2026-05-20T01:34:00Z</dcterms:created>
  <dc:creator>Cc</dc:creator>
  <cp:lastModifiedBy>haotingting</cp:lastModifiedBy>
  <dcterms:modified xsi:type="dcterms:W3CDTF">2026-05-21T06:29:20Z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23CE2F2424D646F8A571EE08F58D9121</vt:lpwstr>
  </property>
</Properties>
</file>