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726CD1">
      <w:pPr>
        <w:rPr>
          <w:sz w:val="32"/>
        </w:rPr>
      </w:pPr>
    </w:p>
    <w:p w:rsidR="00C92FC0" w:rsidRPr="00EB07BC" w:rsidRDefault="00726CD1">
      <w:pPr>
        <w:rPr>
          <w:sz w:val="32"/>
        </w:rPr>
      </w:pPr>
    </w:p>
    <w:p w:rsidR="00C92FC0" w:rsidRPr="00EB07BC" w:rsidRDefault="00726CD1">
      <w:pPr>
        <w:rPr>
          <w:sz w:val="32"/>
        </w:rPr>
      </w:pPr>
    </w:p>
    <w:p w:rsidR="005A3D1E" w:rsidRDefault="005A3D1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A3D1E" w:rsidRDefault="005A3D1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A3D1E" w:rsidRDefault="005A3D1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A3D1E" w:rsidRDefault="00827B98">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交银施罗德中债</w:t>
      </w:r>
      <w:r>
        <w:rPr>
          <w:rFonts w:ascii="Times New Roman" w:hAnsi="Times New Roman"/>
          <w:b/>
          <w:spacing w:val="2"/>
          <w:w w:val="99"/>
          <w:kern w:val="0"/>
          <w:position w:val="-4"/>
          <w:sz w:val="44"/>
          <w:szCs w:val="44"/>
        </w:rPr>
        <w:t>1-3</w:t>
      </w:r>
      <w:r>
        <w:rPr>
          <w:rFonts w:ascii="Times New Roman" w:hAnsi="Times New Roman"/>
          <w:b/>
          <w:spacing w:val="2"/>
          <w:w w:val="99"/>
          <w:kern w:val="0"/>
          <w:position w:val="-4"/>
          <w:sz w:val="44"/>
          <w:szCs w:val="44"/>
        </w:rPr>
        <w:t>年政策性金融债指数证券投资基金</w:t>
      </w:r>
    </w:p>
    <w:p w:rsidR="005A3D1E" w:rsidRDefault="00827B98">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5A3D1E" w:rsidRDefault="005A3D1E">
      <w:pPr>
        <w:snapToGrid w:val="0"/>
        <w:spacing w:line="360" w:lineRule="auto"/>
        <w:jc w:val="center"/>
        <w:rPr>
          <w:rFonts w:ascii="宋体" w:hAnsi="宋体"/>
          <w:b/>
          <w:sz w:val="30"/>
          <w:szCs w:val="30"/>
        </w:rPr>
      </w:pPr>
    </w:p>
    <w:p w:rsidR="005A3D1E" w:rsidRDefault="005A3D1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3D1E" w:rsidRDefault="005A3D1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3D1E" w:rsidRDefault="005A3D1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3D1E" w:rsidRDefault="005A3D1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3D1E" w:rsidRDefault="005A3D1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3D1E" w:rsidRDefault="005A3D1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3D1E" w:rsidRDefault="00827B98">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5A3D1E" w:rsidRDefault="00827B98">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5A3D1E" w:rsidRDefault="005A3D1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3D1E" w:rsidRDefault="005A3D1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3D1E" w:rsidRDefault="00827B98">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5A3D1E" w:rsidRDefault="005A3D1E">
      <w:pPr>
        <w:autoSpaceDE w:val="0"/>
        <w:autoSpaceDN w:val="0"/>
        <w:adjustRightInd w:val="0"/>
        <w:snapToGrid w:val="0"/>
        <w:spacing w:line="360" w:lineRule="auto"/>
        <w:ind w:left="1347" w:rightChars="6" w:right="13"/>
        <w:rPr>
          <w:rFonts w:ascii="宋体" w:hAnsi="宋体"/>
          <w:kern w:val="0"/>
          <w:sz w:val="32"/>
          <w:szCs w:val="32"/>
        </w:rPr>
        <w:sectPr w:rsidR="005A3D1E">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5A3D1E" w:rsidRDefault="00827B98">
      <w:pPr>
        <w:pStyle w:val="1"/>
        <w:snapToGrid w:val="0"/>
        <w:spacing w:beforeLines="0" w:before="240" w:after="240"/>
        <w:rPr>
          <w:rFonts w:ascii="宋体" w:hAnsi="宋体"/>
          <w:kern w:val="0"/>
        </w:rPr>
      </w:pPr>
      <w:bookmarkStart w:id="0" w:name="_Toc324920538"/>
      <w:bookmarkStart w:id="1" w:name="_Toc496884613"/>
      <w:bookmarkStart w:id="2" w:name="_Toc231305806"/>
      <w:r>
        <w:rPr>
          <w:rFonts w:ascii="Times New Roman" w:hAnsi="Times New Roman"/>
          <w:kern w:val="0"/>
        </w:rPr>
        <w:lastRenderedPageBreak/>
        <w:t>重要提示</w:t>
      </w:r>
      <w:bookmarkEnd w:id="0"/>
      <w:bookmarkEnd w:id="1"/>
      <w:bookmarkEnd w:id="2"/>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交银施罗德中债</w:t>
      </w:r>
      <w:r>
        <w:rPr>
          <w:rFonts w:ascii="Times New Roman" w:hAnsi="Times New Roman"/>
          <w:kern w:val="0"/>
          <w:sz w:val="24"/>
        </w:rPr>
        <w:t>1-3</w:t>
      </w:r>
      <w:r>
        <w:rPr>
          <w:rFonts w:ascii="Times New Roman" w:hAnsi="Times New Roman"/>
          <w:kern w:val="0"/>
          <w:sz w:val="24"/>
        </w:rPr>
        <w:t>年政策性金融债指数证券投资基金（以下简称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13</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441</w:t>
      </w:r>
      <w:r>
        <w:rPr>
          <w:rFonts w:ascii="Times New Roman" w:hAnsi="Times New Roman"/>
          <w:kern w:val="0"/>
          <w:sz w:val="24"/>
        </w:rPr>
        <w:t>号文准予募集注册。本基金基金合同于</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20</w:t>
      </w:r>
      <w:r>
        <w:rPr>
          <w:rFonts w:ascii="Times New Roman" w:hAnsi="Times New Roman"/>
          <w:kern w:val="0"/>
          <w:sz w:val="24"/>
        </w:rPr>
        <w:t>日正式生效。</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中国证监会不对基金的投资价值及市场前景等作出实质性判断或者保证。</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本基金投资策略所特有的指数化投资风险；本基金的特有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将依基金合同约定提前终止基金合同的风险；其他风险等等。其中指数化投资风险主要包括：标的指数回报与债券市场平均回报偏离的风险、标的指数下跌的风险、基金跟踪偏离风险、标的指数变更的风险、标的指数计算出错的风险、跟踪误差控制未达约定目标的风险、指数编制机构停止服务的风险、成份券停牌或违约的风险等。</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预期风险与预期收益高于货币市场基金，低于混合型基金和股票型基金。本基金为指数型基金，主要采用抽样复制和动态最优化的方法跟踪标的指数的表现，具有与标的指数、以及标的指数所代表的债券市场相似的风险收益特征。</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本基金主要投资于政策性金融债，可能面临政策性银行改制后的信用风险、政策性金融债流动性风险、投资集中度风险等。</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本基金为指数基金，投资者投资于本基金面临跟踪误差控制未达约定目标、指数编制机构停止服务、成份券停牌或违约等潜在风险。</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本基金标的指数为中债</w:t>
      </w:r>
      <w:r>
        <w:rPr>
          <w:rFonts w:ascii="Times New Roman" w:hAnsi="Times New Roman"/>
          <w:kern w:val="0"/>
          <w:sz w:val="24"/>
        </w:rPr>
        <w:t>-1-3</w:t>
      </w:r>
      <w:r>
        <w:rPr>
          <w:rFonts w:ascii="Times New Roman" w:hAnsi="Times New Roman"/>
          <w:kern w:val="0"/>
          <w:sz w:val="24"/>
        </w:rPr>
        <w:t>年政策性金融债指数。</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1</w:t>
      </w:r>
      <w:r>
        <w:rPr>
          <w:rFonts w:ascii="Times New Roman" w:hAnsi="Times New Roman"/>
          <w:kern w:val="0"/>
          <w:sz w:val="24"/>
        </w:rPr>
        <w:t>、选样空间</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成份券包括在境内公开发行且上市流通的待偿期</w:t>
      </w:r>
      <w:r>
        <w:rPr>
          <w:rFonts w:ascii="Times New Roman" w:hAnsi="Times New Roman"/>
          <w:kern w:val="0"/>
          <w:sz w:val="24"/>
        </w:rPr>
        <w:t>0.5</w:t>
      </w:r>
      <w:r>
        <w:rPr>
          <w:rFonts w:ascii="Times New Roman" w:hAnsi="Times New Roman"/>
          <w:kern w:val="0"/>
          <w:sz w:val="24"/>
        </w:rPr>
        <w:t>至</w:t>
      </w:r>
      <w:r>
        <w:rPr>
          <w:rFonts w:ascii="Times New Roman" w:hAnsi="Times New Roman"/>
          <w:kern w:val="0"/>
          <w:sz w:val="24"/>
        </w:rPr>
        <w:t>3</w:t>
      </w:r>
      <w:r>
        <w:rPr>
          <w:rFonts w:ascii="Times New Roman" w:hAnsi="Times New Roman"/>
          <w:kern w:val="0"/>
          <w:sz w:val="24"/>
        </w:rPr>
        <w:t>年（包含</w:t>
      </w:r>
      <w:r>
        <w:rPr>
          <w:rFonts w:ascii="Times New Roman" w:hAnsi="Times New Roman"/>
          <w:kern w:val="0"/>
          <w:sz w:val="24"/>
        </w:rPr>
        <w:t>0.5</w:t>
      </w:r>
      <w:r>
        <w:rPr>
          <w:rFonts w:ascii="Times New Roman" w:hAnsi="Times New Roman"/>
          <w:kern w:val="0"/>
          <w:sz w:val="24"/>
        </w:rPr>
        <w:t>和</w:t>
      </w:r>
      <w:r>
        <w:rPr>
          <w:rFonts w:ascii="Times New Roman" w:hAnsi="Times New Roman"/>
          <w:kern w:val="0"/>
          <w:sz w:val="24"/>
        </w:rPr>
        <w:t>3</w:t>
      </w:r>
      <w:r>
        <w:rPr>
          <w:rFonts w:ascii="Times New Roman" w:hAnsi="Times New Roman"/>
          <w:kern w:val="0"/>
          <w:sz w:val="24"/>
        </w:rPr>
        <w:t>年）的政策性银行债。</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w:t>
      </w:r>
      <w:r>
        <w:rPr>
          <w:rFonts w:ascii="Times New Roman" w:hAnsi="Times New Roman"/>
          <w:kern w:val="0"/>
          <w:sz w:val="24"/>
        </w:rPr>
        <w:t>、选样方法</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2.1.</w:t>
      </w:r>
      <w:r>
        <w:rPr>
          <w:rFonts w:ascii="Times New Roman" w:hAnsi="Times New Roman"/>
          <w:kern w:val="0"/>
          <w:sz w:val="24"/>
        </w:rPr>
        <w:t>债券种类</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政策性银行债。</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2.2.</w:t>
      </w:r>
      <w:r>
        <w:rPr>
          <w:rFonts w:ascii="Times New Roman" w:hAnsi="Times New Roman"/>
          <w:kern w:val="0"/>
          <w:sz w:val="24"/>
        </w:rPr>
        <w:t>上市地点</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全国银行间债券市场。</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2.3.</w:t>
      </w:r>
      <w:r>
        <w:rPr>
          <w:rFonts w:ascii="Times New Roman" w:hAnsi="Times New Roman"/>
          <w:kern w:val="0"/>
          <w:sz w:val="24"/>
        </w:rPr>
        <w:t>托管余额</w:t>
      </w:r>
      <w:r>
        <w:rPr>
          <w:rFonts w:ascii="Times New Roman" w:hAnsi="Times New Roman"/>
          <w:kern w:val="0"/>
          <w:sz w:val="24"/>
        </w:rPr>
        <w:t>/</w:t>
      </w:r>
      <w:r>
        <w:rPr>
          <w:rFonts w:ascii="Times New Roman" w:hAnsi="Times New Roman"/>
          <w:kern w:val="0"/>
          <w:sz w:val="24"/>
        </w:rPr>
        <w:t>发行量</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上市</w:t>
      </w:r>
      <w:r>
        <w:rPr>
          <w:rFonts w:ascii="Times New Roman" w:hAnsi="Times New Roman"/>
          <w:kern w:val="0"/>
          <w:sz w:val="24"/>
        </w:rPr>
        <w:t>1</w:t>
      </w:r>
      <w:r>
        <w:rPr>
          <w:rFonts w:ascii="Times New Roman" w:hAnsi="Times New Roman"/>
          <w:kern w:val="0"/>
          <w:sz w:val="24"/>
        </w:rPr>
        <w:t>年内的债券：发行量无限制。</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上市</w:t>
      </w:r>
      <w:r>
        <w:rPr>
          <w:rFonts w:ascii="Times New Roman" w:hAnsi="Times New Roman"/>
          <w:kern w:val="0"/>
          <w:sz w:val="24"/>
        </w:rPr>
        <w:t>1</w:t>
      </w:r>
      <w:r>
        <w:rPr>
          <w:rFonts w:ascii="Times New Roman" w:hAnsi="Times New Roman"/>
          <w:kern w:val="0"/>
          <w:sz w:val="24"/>
        </w:rPr>
        <w:t>年及以上的债券：发行量大于或等于</w:t>
      </w:r>
      <w:r>
        <w:rPr>
          <w:rFonts w:ascii="Times New Roman" w:hAnsi="Times New Roman"/>
          <w:kern w:val="0"/>
          <w:sz w:val="24"/>
        </w:rPr>
        <w:t>200</w:t>
      </w:r>
      <w:r>
        <w:rPr>
          <w:rFonts w:ascii="Times New Roman" w:hAnsi="Times New Roman"/>
          <w:kern w:val="0"/>
          <w:sz w:val="24"/>
        </w:rPr>
        <w:t>亿元。</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2.4.</w:t>
      </w:r>
      <w:r>
        <w:rPr>
          <w:rFonts w:ascii="Times New Roman" w:hAnsi="Times New Roman"/>
          <w:kern w:val="0"/>
          <w:sz w:val="24"/>
        </w:rPr>
        <w:t>债券剩余期限</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0.5</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年（包含</w:t>
      </w:r>
      <w:r>
        <w:rPr>
          <w:rFonts w:ascii="Times New Roman" w:hAnsi="Times New Roman"/>
          <w:kern w:val="0"/>
          <w:sz w:val="24"/>
        </w:rPr>
        <w:t>0.5</w:t>
      </w:r>
      <w:r>
        <w:rPr>
          <w:rFonts w:ascii="Times New Roman" w:hAnsi="Times New Roman"/>
          <w:kern w:val="0"/>
          <w:sz w:val="24"/>
        </w:rPr>
        <w:t>和</w:t>
      </w:r>
      <w:r>
        <w:rPr>
          <w:rFonts w:ascii="Times New Roman" w:hAnsi="Times New Roman"/>
          <w:kern w:val="0"/>
          <w:sz w:val="24"/>
        </w:rPr>
        <w:t>3</w:t>
      </w:r>
      <w:r>
        <w:rPr>
          <w:rFonts w:ascii="Times New Roman" w:hAnsi="Times New Roman"/>
          <w:kern w:val="0"/>
          <w:sz w:val="24"/>
        </w:rPr>
        <w:t>年）。</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2.5.</w:t>
      </w:r>
      <w:r>
        <w:rPr>
          <w:rFonts w:ascii="Times New Roman" w:hAnsi="Times New Roman"/>
          <w:kern w:val="0"/>
          <w:sz w:val="24"/>
        </w:rPr>
        <w:t>债券币种</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人民币。</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2.6.</w:t>
      </w:r>
      <w:r>
        <w:rPr>
          <w:rFonts w:ascii="Times New Roman" w:hAnsi="Times New Roman"/>
          <w:kern w:val="0"/>
          <w:sz w:val="24"/>
        </w:rPr>
        <w:t>付息方式</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附息式固定利率。</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2.7.</w:t>
      </w:r>
      <w:r>
        <w:rPr>
          <w:rFonts w:ascii="Times New Roman" w:hAnsi="Times New Roman"/>
          <w:kern w:val="0"/>
          <w:sz w:val="24"/>
        </w:rPr>
        <w:t>上市期限</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上市</w:t>
      </w:r>
      <w:r>
        <w:rPr>
          <w:rFonts w:ascii="Times New Roman" w:hAnsi="Times New Roman"/>
          <w:kern w:val="0"/>
          <w:sz w:val="24"/>
        </w:rPr>
        <w:t>7</w:t>
      </w:r>
      <w:r>
        <w:rPr>
          <w:rFonts w:ascii="Times New Roman" w:hAnsi="Times New Roman"/>
          <w:kern w:val="0"/>
          <w:sz w:val="24"/>
        </w:rPr>
        <w:t>年内。</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2.8.</w:t>
      </w:r>
      <w:r>
        <w:rPr>
          <w:rFonts w:ascii="Times New Roman" w:hAnsi="Times New Roman"/>
          <w:kern w:val="0"/>
          <w:sz w:val="24"/>
        </w:rPr>
        <w:t>含权债</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不包含含权债。</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2.9.</w:t>
      </w:r>
      <w:r>
        <w:rPr>
          <w:rFonts w:ascii="Times New Roman" w:hAnsi="Times New Roman"/>
          <w:kern w:val="0"/>
          <w:sz w:val="24"/>
        </w:rPr>
        <w:t>取价源</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以中债估值为参考（价格偏离度参数为</w:t>
      </w:r>
      <w:r>
        <w:rPr>
          <w:rFonts w:ascii="Times New Roman" w:hAnsi="Times New Roman"/>
          <w:kern w:val="0"/>
          <w:sz w:val="24"/>
        </w:rPr>
        <w:t>0.1%</w:t>
      </w:r>
      <w:r>
        <w:rPr>
          <w:rFonts w:ascii="Times New Roman" w:hAnsi="Times New Roman"/>
          <w:kern w:val="0"/>
          <w:sz w:val="24"/>
        </w:rPr>
        <w:t>），优先选取合理的最优双边报价中间价，若无则取合理的银行间市场加权平均结算价，再无则直接采用中债估值价格。</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有关标的指数具体编制方案详见中国债券信息网，网址：</w:t>
      </w:r>
      <w:r>
        <w:rPr>
          <w:rFonts w:ascii="Times New Roman" w:hAnsi="Times New Roman"/>
          <w:kern w:val="0"/>
          <w:sz w:val="24"/>
        </w:rPr>
        <w:t>https://www.chinabond.com.cn/</w:t>
      </w:r>
      <w:r>
        <w:rPr>
          <w:rFonts w:ascii="Times New Roman" w:hAnsi="Times New Roman"/>
          <w:kern w:val="0"/>
          <w:sz w:val="24"/>
        </w:rPr>
        <w:t>。</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本基金单一投资者持有基金份额数不得达到或超过基金份额总数的</w:t>
      </w:r>
      <w:r>
        <w:rPr>
          <w:rFonts w:ascii="Times New Roman" w:hAnsi="Times New Roman"/>
          <w:kern w:val="0"/>
          <w:sz w:val="24"/>
        </w:rPr>
        <w:t>20%</w:t>
      </w:r>
      <w:r>
        <w:rPr>
          <w:rFonts w:ascii="Times New Roman" w:hAnsi="Times New Roman"/>
          <w:kern w:val="0"/>
          <w:sz w:val="24"/>
        </w:rPr>
        <w:t>，但在基金运作过程中因基金份额赎回等情形导致被动达到或超过</w:t>
      </w:r>
      <w:r>
        <w:rPr>
          <w:rFonts w:ascii="Times New Roman" w:hAnsi="Times New Roman"/>
          <w:kern w:val="0"/>
          <w:sz w:val="24"/>
        </w:rPr>
        <w:t>20%</w:t>
      </w:r>
      <w:r>
        <w:rPr>
          <w:rFonts w:ascii="Times New Roman" w:hAnsi="Times New Roman"/>
          <w:kern w:val="0"/>
          <w:sz w:val="24"/>
        </w:rPr>
        <w:t>的除外。法律法规、监管机构另有规定的，从其规定。</w:t>
      </w:r>
    </w:p>
    <w:p w:rsidR="005A3D1E" w:rsidRDefault="00827B98">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5A3D1E" w:rsidRDefault="005A3D1E">
      <w:pPr>
        <w:autoSpaceDE w:val="0"/>
        <w:autoSpaceDN w:val="0"/>
        <w:adjustRightInd w:val="0"/>
        <w:snapToGrid w:val="0"/>
        <w:spacing w:before="51" w:line="360" w:lineRule="auto"/>
        <w:ind w:left="120" w:rightChars="6" w:right="13" w:firstLine="480"/>
        <w:rPr>
          <w:rFonts w:ascii="宋体" w:hAnsi="宋体"/>
          <w:kern w:val="0"/>
          <w:szCs w:val="24"/>
        </w:rPr>
        <w:sectPr w:rsidR="005A3D1E">
          <w:headerReference w:type="default" r:id="rId14"/>
          <w:pgSz w:w="11920" w:h="16840"/>
          <w:pgMar w:top="1440" w:right="1680" w:bottom="280" w:left="1680" w:header="0" w:footer="1073" w:gutter="0"/>
          <w:pgNumType w:start="1"/>
          <w:cols w:space="720"/>
        </w:sectPr>
      </w:pPr>
    </w:p>
    <w:p w:rsidR="00726CD1" w:rsidRPr="00726CD1" w:rsidRDefault="00827B98" w:rsidP="00726CD1">
      <w:pPr>
        <w:pStyle w:val="ad"/>
        <w:snapToGrid w:val="0"/>
        <w:spacing w:after="240" w:line="360" w:lineRule="auto"/>
        <w:jc w:val="center"/>
        <w:rPr>
          <w:rFonts w:ascii="宋体" w:hAnsi="宋体"/>
          <w:noProof/>
          <w:sz w:val="24"/>
        </w:rPr>
      </w:pPr>
      <w:r w:rsidRPr="00726CD1">
        <w:rPr>
          <w:rFonts w:ascii="宋体" w:hAnsi="宋体"/>
          <w:color w:val="000000"/>
          <w:position w:val="-4"/>
          <w:sz w:val="24"/>
          <w:szCs w:val="30"/>
        </w:rPr>
        <w:lastRenderedPageBreak/>
        <w:t>目</w:t>
      </w:r>
      <w:r w:rsidRPr="00726CD1">
        <w:rPr>
          <w:rFonts w:ascii="宋体" w:hAnsi="宋体"/>
          <w:color w:val="000000"/>
          <w:position w:val="-4"/>
          <w:sz w:val="24"/>
          <w:szCs w:val="30"/>
        </w:rPr>
        <w:tab/>
        <w:t>录</w:t>
      </w:r>
      <w:r w:rsidR="00726CD1" w:rsidRPr="00726CD1">
        <w:rPr>
          <w:rFonts w:ascii="宋体" w:hAnsi="宋体"/>
          <w:color w:val="000000"/>
          <w:position w:val="-4"/>
          <w:sz w:val="24"/>
          <w:szCs w:val="30"/>
        </w:rPr>
        <w:fldChar w:fldCharType="begin"/>
      </w:r>
      <w:r w:rsidR="00726CD1" w:rsidRPr="00726CD1">
        <w:rPr>
          <w:rFonts w:ascii="宋体" w:hAnsi="宋体"/>
          <w:color w:val="000000"/>
          <w:position w:val="-4"/>
          <w:sz w:val="24"/>
          <w:szCs w:val="30"/>
        </w:rPr>
        <w:instrText xml:space="preserve"> TOC \o "1-3" \f - \h \t "-1" </w:instrText>
      </w:r>
      <w:r w:rsidR="00726CD1" w:rsidRPr="00726CD1">
        <w:rPr>
          <w:rFonts w:ascii="宋体" w:hAnsi="宋体"/>
          <w:color w:val="000000"/>
          <w:position w:val="-4"/>
          <w:sz w:val="24"/>
          <w:szCs w:val="30"/>
        </w:rPr>
        <w:fldChar w:fldCharType="separate"/>
      </w:r>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06" w:history="1">
        <w:r w:rsidRPr="00726CD1">
          <w:rPr>
            <w:rStyle w:val="aa"/>
            <w:rFonts w:ascii="宋体" w:hAnsi="宋体" w:hint="eastAsia"/>
            <w:noProof/>
            <w:kern w:val="0"/>
            <w:sz w:val="24"/>
          </w:rPr>
          <w:t>重要提示</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_Toc231305806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1</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07" w:history="1">
        <w:r w:rsidRPr="00726CD1">
          <w:rPr>
            <w:rStyle w:val="aa"/>
            <w:rFonts w:ascii="宋体" w:hAnsi="宋体" w:hint="eastAsia"/>
            <w:noProof/>
            <w:sz w:val="24"/>
          </w:rPr>
          <w:t>一、绪言</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_Toc231305807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5</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08" w:history="1">
        <w:r w:rsidRPr="00726CD1">
          <w:rPr>
            <w:rStyle w:val="aa"/>
            <w:rFonts w:ascii="宋体" w:hAnsi="宋体" w:hint="eastAsia"/>
            <w:noProof/>
            <w:sz w:val="24"/>
          </w:rPr>
          <w:t>二、释义</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_Toc231305808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6</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09" w:history="1">
        <w:r w:rsidRPr="00726CD1">
          <w:rPr>
            <w:rStyle w:val="aa"/>
            <w:rFonts w:ascii="宋体" w:hAnsi="宋体" w:hint="eastAsia"/>
            <w:noProof/>
            <w:sz w:val="24"/>
          </w:rPr>
          <w:t>三、基金管理人</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_Toc231305809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11</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10" w:history="1">
        <w:r w:rsidRPr="00726CD1">
          <w:rPr>
            <w:rStyle w:val="aa"/>
            <w:rFonts w:ascii="宋体" w:hAnsi="宋体" w:hint="eastAsia"/>
            <w:noProof/>
            <w:sz w:val="24"/>
          </w:rPr>
          <w:t>四、基金托管人</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_Toc231305810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19</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11" w:history="1">
        <w:r w:rsidRPr="00726CD1">
          <w:rPr>
            <w:rStyle w:val="aa"/>
            <w:rFonts w:ascii="宋体" w:hAnsi="宋体" w:hint="eastAsia"/>
            <w:noProof/>
            <w:sz w:val="24"/>
          </w:rPr>
          <w:t>五、相关服务机构</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_Toc231305811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22</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12" w:history="1">
        <w:r w:rsidRPr="00726CD1">
          <w:rPr>
            <w:rStyle w:val="aa"/>
            <w:rFonts w:ascii="宋体" w:hAnsi="宋体" w:hint="eastAsia"/>
            <w:noProof/>
            <w:sz w:val="24"/>
          </w:rPr>
          <w:t>六、基金的募集</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_Toc231305812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37</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13" w:history="1">
        <w:r w:rsidRPr="00726CD1">
          <w:rPr>
            <w:rStyle w:val="aa"/>
            <w:rFonts w:ascii="宋体" w:hAnsi="宋体" w:hint="eastAsia"/>
            <w:noProof/>
            <w:sz w:val="24"/>
          </w:rPr>
          <w:t>七、基金合同的生效</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_Toc231305813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38</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14" w:history="1">
        <w:r w:rsidRPr="00726CD1">
          <w:rPr>
            <w:rStyle w:val="aa"/>
            <w:rFonts w:ascii="宋体" w:hAnsi="宋体" w:hint="eastAsia"/>
            <w:noProof/>
            <w:sz w:val="24"/>
          </w:rPr>
          <w:t>八、基金份额的申购与赎回</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_Toc231305814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39</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15" w:history="1">
        <w:r w:rsidRPr="00726CD1">
          <w:rPr>
            <w:rStyle w:val="aa"/>
            <w:rFonts w:ascii="宋体" w:hAnsi="宋体" w:hint="eastAsia"/>
            <w:noProof/>
            <w:sz w:val="24"/>
          </w:rPr>
          <w:t>九、基金的转换</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_Toc231305815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52</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16" w:history="1">
        <w:r w:rsidRPr="00726CD1">
          <w:rPr>
            <w:rStyle w:val="aa"/>
            <w:rFonts w:ascii="宋体" w:hAnsi="宋体" w:hint="eastAsia"/>
            <w:noProof/>
            <w:sz w:val="24"/>
          </w:rPr>
          <w:t>十、基金的投资</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_Toc231305816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57</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17" w:history="1">
        <w:r w:rsidRPr="00726CD1">
          <w:rPr>
            <w:rStyle w:val="aa"/>
            <w:rFonts w:ascii="宋体" w:hAnsi="宋体" w:hint="eastAsia"/>
            <w:noProof/>
            <w:sz w:val="24"/>
          </w:rPr>
          <w:t>十一、基金的业绩</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_Toc231305817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67</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18" w:history="1">
        <w:r w:rsidRPr="00726CD1">
          <w:rPr>
            <w:rStyle w:val="aa"/>
            <w:rFonts w:ascii="宋体" w:hAnsi="宋体" w:hint="eastAsia"/>
            <w:noProof/>
            <w:sz w:val="24"/>
          </w:rPr>
          <w:t>十二、基金的财产</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_Toc231305818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70</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19" w:history="1">
        <w:r w:rsidRPr="00726CD1">
          <w:rPr>
            <w:rStyle w:val="aa"/>
            <w:rFonts w:ascii="宋体" w:hAnsi="宋体" w:hint="eastAsia"/>
            <w:noProof/>
            <w:sz w:val="24"/>
          </w:rPr>
          <w:t>十三、基金资产的估值</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_Toc231305819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71</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20" w:history="1">
        <w:r w:rsidRPr="00726CD1">
          <w:rPr>
            <w:rStyle w:val="aa"/>
            <w:rFonts w:ascii="宋体" w:hAnsi="宋体" w:hint="eastAsia"/>
            <w:noProof/>
            <w:sz w:val="24"/>
          </w:rPr>
          <w:t>十四、基金收益与分配</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_Toc231305820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77</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21" w:history="1">
        <w:r w:rsidRPr="00726CD1">
          <w:rPr>
            <w:rStyle w:val="aa"/>
            <w:rFonts w:ascii="宋体" w:hAnsi="宋体" w:hint="eastAsia"/>
            <w:noProof/>
            <w:sz w:val="24"/>
          </w:rPr>
          <w:t>十五、基金的费用与税收</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_Toc231305821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79</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22" w:history="1">
        <w:r w:rsidRPr="00726CD1">
          <w:rPr>
            <w:rStyle w:val="aa"/>
            <w:rFonts w:ascii="宋体" w:hAnsi="宋体" w:hint="eastAsia"/>
            <w:noProof/>
            <w:sz w:val="24"/>
          </w:rPr>
          <w:t>十六、基金的会计与审计</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_Toc231305822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82</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23" w:history="1">
        <w:r w:rsidRPr="00726CD1">
          <w:rPr>
            <w:rStyle w:val="aa"/>
            <w:rFonts w:ascii="宋体" w:hAnsi="宋体" w:hint="eastAsia"/>
            <w:noProof/>
            <w:sz w:val="24"/>
          </w:rPr>
          <w:t>十七、基金的信息披露</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_Toc231305823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83</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24" w:history="1">
        <w:r w:rsidRPr="00726CD1">
          <w:rPr>
            <w:rStyle w:val="aa"/>
            <w:rFonts w:ascii="宋体" w:hAnsi="宋体" w:hint="eastAsia"/>
            <w:noProof/>
            <w:sz w:val="24"/>
          </w:rPr>
          <w:t>十八、侧袋机制</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_Toc231305824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89</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25" w:history="1">
        <w:r w:rsidRPr="00726CD1">
          <w:rPr>
            <w:rStyle w:val="aa"/>
            <w:rFonts w:ascii="宋体" w:hAnsi="宋体" w:hint="eastAsia"/>
            <w:noProof/>
            <w:sz w:val="24"/>
          </w:rPr>
          <w:t>十九、风险揭示</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_Toc231305825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92</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26" w:history="1">
        <w:r w:rsidRPr="00726CD1">
          <w:rPr>
            <w:rStyle w:val="aa"/>
            <w:rFonts w:ascii="宋体" w:hAnsi="宋体" w:hint="eastAsia"/>
            <w:noProof/>
            <w:sz w:val="24"/>
          </w:rPr>
          <w:t>二十、基金合同的变更、终止与基金财产的清算</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_Toc231305826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101</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27" w:history="1">
        <w:r w:rsidRPr="00726CD1">
          <w:rPr>
            <w:rStyle w:val="aa"/>
            <w:rFonts w:ascii="宋体" w:hAnsi="宋体" w:hint="eastAsia"/>
            <w:noProof/>
            <w:sz w:val="24"/>
          </w:rPr>
          <w:t>二十一、</w:t>
        </w:r>
        <w:r w:rsidRPr="00726CD1">
          <w:rPr>
            <w:rStyle w:val="aa"/>
            <w:rFonts w:ascii="宋体" w:hAnsi="宋体"/>
            <w:noProof/>
            <w:sz w:val="24"/>
          </w:rPr>
          <w:t xml:space="preserve"> </w:t>
        </w:r>
        <w:r w:rsidRPr="00726CD1">
          <w:rPr>
            <w:rStyle w:val="aa"/>
            <w:rFonts w:ascii="宋体" w:hAnsi="宋体" w:hint="eastAsia"/>
            <w:noProof/>
            <w:sz w:val="24"/>
          </w:rPr>
          <w:t>基金合同内容摘要</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_Toc231305827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103</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28" w:history="1">
        <w:r w:rsidRPr="00726CD1">
          <w:rPr>
            <w:rStyle w:val="aa"/>
            <w:rFonts w:ascii="宋体" w:hAnsi="宋体" w:hint="eastAsia"/>
            <w:noProof/>
            <w:sz w:val="24"/>
          </w:rPr>
          <w:t>二十二、托管协议的内容摘要</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_Toc231305828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120</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29" w:history="1">
        <w:r w:rsidRPr="00726CD1">
          <w:rPr>
            <w:rStyle w:val="aa"/>
            <w:rFonts w:ascii="宋体" w:hAnsi="宋体" w:hint="eastAsia"/>
            <w:noProof/>
            <w:sz w:val="24"/>
          </w:rPr>
          <w:t>二十三、对基金份额持有人的服务</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_Toc231305829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132</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30" w:history="1">
        <w:r w:rsidRPr="00726CD1">
          <w:rPr>
            <w:rStyle w:val="aa"/>
            <w:rFonts w:ascii="宋体" w:hAnsi="宋体" w:hint="eastAsia"/>
            <w:noProof/>
            <w:sz w:val="24"/>
          </w:rPr>
          <w:t>二十四、其他应披露事项</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_Toc231305830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134</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31" w:history="1">
        <w:r w:rsidRPr="00726CD1">
          <w:rPr>
            <w:rStyle w:val="aa"/>
            <w:rFonts w:ascii="宋体" w:hAnsi="宋体" w:hint="eastAsia"/>
            <w:noProof/>
            <w:sz w:val="24"/>
          </w:rPr>
          <w:t>二十五、招募说明书的存放及查阅方式</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_Toc231305831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136</w:t>
        </w:r>
        <w:r w:rsidRPr="00726CD1">
          <w:rPr>
            <w:rFonts w:ascii="宋体" w:hAnsi="宋体"/>
            <w:noProof/>
            <w:sz w:val="24"/>
          </w:rPr>
          <w:fldChar w:fldCharType="end"/>
        </w:r>
      </w:hyperlink>
    </w:p>
    <w:p w:rsidR="00726CD1" w:rsidRPr="00726CD1" w:rsidRDefault="00726CD1" w:rsidP="00726CD1">
      <w:pPr>
        <w:pStyle w:val="10"/>
        <w:tabs>
          <w:tab w:val="right" w:leader="dot" w:pos="8550"/>
        </w:tabs>
        <w:spacing w:line="360" w:lineRule="auto"/>
        <w:rPr>
          <w:rFonts w:ascii="宋体" w:hAnsi="宋体" w:cstheme="minorBidi"/>
          <w:noProof/>
          <w:sz w:val="24"/>
        </w:rPr>
      </w:pPr>
      <w:hyperlink w:anchor="_Toc231305832" w:history="1">
        <w:r w:rsidRPr="00726CD1">
          <w:rPr>
            <w:rStyle w:val="aa"/>
            <w:rFonts w:ascii="宋体" w:hAnsi="宋体" w:hint="eastAsia"/>
            <w:noProof/>
            <w:sz w:val="24"/>
          </w:rPr>
          <w:t>二十六、备查文件</w:t>
        </w:r>
        <w:r w:rsidRPr="00726CD1">
          <w:rPr>
            <w:rFonts w:ascii="宋体" w:hAnsi="宋体"/>
            <w:noProof/>
            <w:sz w:val="24"/>
          </w:rPr>
          <w:tab/>
        </w:r>
        <w:r w:rsidRPr="00726CD1">
          <w:rPr>
            <w:rFonts w:ascii="宋体" w:hAnsi="宋体"/>
            <w:noProof/>
            <w:sz w:val="24"/>
          </w:rPr>
          <w:fldChar w:fldCharType="begin"/>
        </w:r>
        <w:r w:rsidRPr="00726CD1">
          <w:rPr>
            <w:rFonts w:ascii="宋体" w:hAnsi="宋体"/>
            <w:noProof/>
            <w:sz w:val="24"/>
          </w:rPr>
          <w:instrText xml:space="preserve"> PAGEREF _Toc231305832 \h </w:instrText>
        </w:r>
        <w:r w:rsidRPr="00726CD1">
          <w:rPr>
            <w:rFonts w:ascii="宋体" w:hAnsi="宋体"/>
            <w:noProof/>
            <w:sz w:val="24"/>
          </w:rPr>
        </w:r>
        <w:r w:rsidRPr="00726CD1">
          <w:rPr>
            <w:rFonts w:ascii="宋体" w:hAnsi="宋体"/>
            <w:noProof/>
            <w:sz w:val="24"/>
          </w:rPr>
          <w:fldChar w:fldCharType="separate"/>
        </w:r>
        <w:r w:rsidRPr="00726CD1">
          <w:rPr>
            <w:rFonts w:ascii="宋体" w:hAnsi="宋体"/>
            <w:noProof/>
            <w:sz w:val="24"/>
          </w:rPr>
          <w:t>137</w:t>
        </w:r>
        <w:r w:rsidRPr="00726CD1">
          <w:rPr>
            <w:rFonts w:ascii="宋体" w:hAnsi="宋体"/>
            <w:noProof/>
            <w:sz w:val="24"/>
          </w:rPr>
          <w:fldChar w:fldCharType="end"/>
        </w:r>
      </w:hyperlink>
    </w:p>
    <w:p w:rsidR="005A3D1E" w:rsidRPr="00726CD1" w:rsidRDefault="00726CD1" w:rsidP="00726CD1">
      <w:pPr>
        <w:pStyle w:val="ad"/>
        <w:snapToGrid w:val="0"/>
        <w:spacing w:after="240" w:line="360" w:lineRule="auto"/>
        <w:jc w:val="center"/>
        <w:rPr>
          <w:rFonts w:ascii="宋体" w:hAnsi="宋体"/>
          <w:color w:val="000000"/>
          <w:sz w:val="24"/>
        </w:rPr>
      </w:pPr>
      <w:r w:rsidRPr="00726CD1">
        <w:rPr>
          <w:rFonts w:ascii="宋体" w:hAnsi="宋体"/>
          <w:color w:val="000000"/>
          <w:position w:val="-4"/>
          <w:sz w:val="24"/>
          <w:szCs w:val="30"/>
        </w:rPr>
        <w:fldChar w:fldCharType="end"/>
      </w:r>
      <w:bookmarkStart w:id="3" w:name="_GoBack"/>
      <w:bookmarkEnd w:id="3"/>
    </w:p>
    <w:p w:rsidR="005A3D1E" w:rsidRDefault="005A3D1E">
      <w:pPr>
        <w:autoSpaceDE w:val="0"/>
        <w:autoSpaceDN w:val="0"/>
        <w:adjustRightInd w:val="0"/>
        <w:snapToGrid w:val="0"/>
        <w:spacing w:line="360" w:lineRule="auto"/>
        <w:ind w:left="120" w:rightChars="6" w:right="13"/>
        <w:rPr>
          <w:rFonts w:ascii="宋体" w:hAnsi="宋体"/>
          <w:kern w:val="0"/>
          <w:szCs w:val="24"/>
        </w:rPr>
        <w:sectPr w:rsidR="005A3D1E">
          <w:pgSz w:w="11920" w:h="16840"/>
          <w:pgMar w:top="1480" w:right="1680" w:bottom="280" w:left="1680" w:header="0" w:footer="1073" w:gutter="0"/>
          <w:cols w:space="720"/>
        </w:sectPr>
      </w:pPr>
    </w:p>
    <w:p w:rsidR="005A3D1E" w:rsidRDefault="00827B98">
      <w:pPr>
        <w:pStyle w:val="1"/>
        <w:snapToGrid w:val="0"/>
        <w:spacing w:beforeLines="0" w:before="240" w:after="240"/>
        <w:rPr>
          <w:rFonts w:ascii="宋体" w:hAnsi="宋体"/>
          <w:szCs w:val="30"/>
        </w:rPr>
      </w:pPr>
      <w:bookmarkStart w:id="4" w:name="_Toc231305807"/>
      <w:r>
        <w:rPr>
          <w:rFonts w:ascii="Times New Roman" w:hAnsi="Times New Roman"/>
          <w:sz w:val="30"/>
        </w:rPr>
        <w:lastRenderedPageBreak/>
        <w:t>一、绪言</w:t>
      </w:r>
      <w:bookmarkEnd w:id="4"/>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债1-3年政策性金融债指数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和其他相关法律法规的规定以及《交银施罗德中债1-3年政策性金融债指数证券投资基金基金合同》（以下简称“基金合同”）编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5" w:name="_Toc231305808"/>
      <w:r>
        <w:rPr>
          <w:rFonts w:ascii="Times New Roman" w:hAnsi="Times New Roman"/>
          <w:sz w:val="30"/>
        </w:rPr>
        <w:lastRenderedPageBreak/>
        <w:t>二、释义</w:t>
      </w:r>
      <w:bookmarkEnd w:id="5"/>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1、基金或本基金：指交银施罗德中债1-3年政策性金融债指数证券投资基金</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4、基金合同、《基金合同》：指《交银施罗德中债1-3年政策性金融债指数证券投资基金基金合同》及对基金合同的任何有效修订和补充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5、托管协议：指基金管理人与基金托管人就本基金签订之《交银施罗德中债1-3年政策性金融债指数证券投资基金托管协议》及对该托管协议的任何有效修订和补充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6、招募说明书、《招募说明书》或本招募说明书：指《交银施罗德中债1-3年政策性金融债指数证券投资基金招募说明书》及其更新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7、基金产品资料概要：指《交银施罗德中债1-3年政策性金融债指数证券投资基金基金产品资料概要》及其更新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8、基金份额发售公告：指《交银施罗德中债1-3年政策性金融债指数证券投资基金基金份额发售公告》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15、《指数基金指引》：指中国证监会2021年1月22日颁布、同年2月1日实施的</w:t>
      </w:r>
      <w:r>
        <w:rPr>
          <w:rFonts w:ascii="宋体" w:hAnsi="宋体"/>
          <w:sz w:val="24"/>
        </w:rPr>
        <w:lastRenderedPageBreak/>
        <w:t>《公开募集证券投资基金运作指引第3号——指数基金指引》及颁布机关对其不时做出的修订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17、银行业监督管理机构：指中国人民银行和/或中国银行保险监督管理委员会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20、机构投资者：指依法可以投资证券投资基金的、在中华人民共和国境内合法登记并存续或经有关政府部门批准设立并存续的企业法人、事业法人、社会团体或其他组织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21、合格境外机构投资者：指符合《合格境外机构投资者境内证券投资管理办法》及相关法律法规规定可以投资于在中国境内依法募集的证券投资基金的中国境外的机构投资者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22、人民币合格境外机构投资者：指按照《人民币合格境外机构投资者境内证券投资试点办法》及相关法律法规规定，运用来自境外的人民币资金进行境内证券投资的境外法人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23、投资人、投资者：指个人投资者、机构投资者、合格境外机构投资者和人民币合格境外机构投资者以及法律法规或中国证监会允许购买证券投资基金的其他投资人的合称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24、基金份额持有人：指依基金合同和招募说明书合法取得基金份额的投资人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25、基金销售业务：指基金管理人或销售机构宣传推介基金，发售基金份额，办理基金份额的申购、赎回、转换、转托管及定期定额投资等业务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26、销售机构：指交银施罗德基金管理有限公司以及符合《销售办法》和中国证监会规定的其他条件，取得基金销售业务资格并与基金管理人签订了基金销售服务协议，办理基金销售业务的机构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28、登记机构：指办理登记业务的机构。基金的登记机构为交银施罗德基金管</w:t>
      </w:r>
      <w:r>
        <w:rPr>
          <w:rFonts w:ascii="宋体" w:hAnsi="宋体"/>
          <w:sz w:val="24"/>
        </w:rPr>
        <w:lastRenderedPageBreak/>
        <w:t>理有限公司或接受交银施罗德基金管理有限公司委托代为办理登记业务的机构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29、基金账户：指登记机构为投资人开立的、记录其持有的、基金管理人所管理的基金份额余额及其变动情况的账户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30、基金交易账户：指销售机构为投资人开立的、记录投资人通过该销售机构办理认购、申购、赎回、转换及转托管等业务而引起的基金份额变动及结余情况的账户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31、基金合同生效日：指基金募集达到法律法规规定及基金合同规定的条件，基金管理人向中国证监会办理基金备案手续完毕，并获得中国证监会书面确认的日期</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32、基金合同终止日：指基金合同规定的基金合同终止事由出现后，基金财产清算完毕，清算结果报中国证监会备案并予以公告的日期</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33、基金募集期：指自基金份额发售之日起至发售结束之日止的期间，最长不得超过3个月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34、存续期：指基金合同生效至终止之间的不定期期限</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35、工作日：指上海证券交易所、深圳证券交易所的正常交易日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36、T日：指销售机构在规定时间受理投资人申购、赎回或其他业务申请的开放日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37、T+n日：指自T日起第n个工作日（不包含T日）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40、《业务规则》：指《交银施罗德基金管理有限公司开放式基金业务规则》，是规范基金管理人所管理的开放式证券投资基金登记方面的业务规则，由基金管理人和投资人共同遵守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44、基金转换：指基金份额持有人按照基金合同和基金管理人届时有效公告规</w:t>
      </w:r>
      <w:r>
        <w:rPr>
          <w:rFonts w:ascii="宋体" w:hAnsi="宋体"/>
          <w:sz w:val="24"/>
        </w:rPr>
        <w:lastRenderedPageBreak/>
        <w:t>定的条件，申请将其持有基金管理人管理的、某一基金的基金份额转换为基金管理人管理的其他基金基金份额的行为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49、基金收益：指基金投资所得红利、债券利息、买卖证券价差、银行存款利息、已实现的其他合法收入及因运用基金财产带来的成本和费用的节约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50、基金资产总值：指基金拥有的各类有价证券、银行存款本息、基金应收申购款及其他资产的价值总和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54、销售服务费：指从基金财产中计提的，用于本基金市场推广、销售以及基金份额持有人服务的费用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55、A类基金份额：指在投资人认购/申购时收取认购/申购费用、赎回时收取赎回费用且不从本类别基金资产中计提销售服务费的基金份额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56、C类基金份额：指在投资人认购/申购时不收取认购/申购费用、赎回时收取赎回费用，并从本类别基金资产中计提销售服务费的基金份额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57、指定媒介：指中国证监会指定的用以进行信息披露的全国性报刊及指定互联网网站（包括基金管理人网站、基金托管人网站、中国证监会基金电子披露网站）等媒介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58、流动性受限资产：指由于法律法规、监管、合同或操作障碍等原因无法以合理价格予以变现的资产，包括但不限于到期日在10个交易日以上的逆回购与银行</w:t>
      </w:r>
      <w:r>
        <w:rPr>
          <w:rFonts w:ascii="宋体" w:hAnsi="宋体"/>
          <w:sz w:val="24"/>
        </w:rPr>
        <w:lastRenderedPageBreak/>
        <w:t>定期存款（含协议约定有条件提前支取的银行存款）、资产支持证券、因发行人债务违约无法进行转让或交易的债券等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62、不可抗力：指基金合同当事人不能预见、不能避免且不能克服的客观事件</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6" w:name="_Toc231305809"/>
      <w:r>
        <w:rPr>
          <w:rFonts w:ascii="Times New Roman" w:hAnsi="Times New Roman"/>
          <w:sz w:val="30"/>
        </w:rPr>
        <w:lastRenderedPageBreak/>
        <w:t>三、基金管理人</w:t>
      </w:r>
      <w:bookmarkEnd w:id="6"/>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顺晨女士:基金经理。上海财经大学金融学博士，10年证券投资行业从业经验。2016年至2017年任国金证券研究所研究员。2017年加入交银施罗德基金管理有限公司，历任固定收益部研究员，基金经理助理。曾任交银施罗德裕景纯债一年定期开放债券型证券投资基金(2023年06月09日至2026年03月06日)、交银施罗德鑫选回报混合型证券投资基金(2023年06月09日至2024年05月22日)、交银施罗德增利债券证券投资基金(2023年06月09日至2024年11月23日)的基金经理。现任交银施罗德中债1-3年农发行债券指数证券投资基金(2023年06月09日至今)、交银施罗德裕泰两年定期开放债券型证券投资基金(2023年06月09日至今)、交银施罗德裕坤纯债一年定期开放债券型发起式证券投资基金(2023年06月09日至今)、交银施罗德裕如纯债债券型证券投资基金(2023年06月09日至今)、交银施罗德中债1-3年政策性金融债指数证券投资基金(2023年08月23日至今)、交银施罗德裕祥纯债债券型证券投资基金(2024年02月08日至今)、交银施罗德中债0-3年政策性金融债指数证券投资基金(2024年12月19日至今)、交银施罗德丰润收益债券型证券投资基金(2025年01月09日至今)、交银施罗德裕盈纯债债券型证券投资基金(2025年01月17日至今)、交银施罗德境尚收益债券型证券投资基金(2026年01月08日至今)的基金经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苏建文女士:基金经理。上海交通大学金融学硕士、北京大学国际政治经济学学士。7年证券投资行业从业经验。2019年加入交银施罗德基金管理有限公司，曾任固定收益部研究员、基金经理助理、混合资产投资部基金经理助理，现任混合资产投资部基金经理。现任交银施罗德中债1-3年政策性金融债指数证券投资基金(2025年01月23日至今)、交银施罗德裕泰两年定期开放债券型证券投资基金(2025年01月23日至今)、交银施罗德中债1-3年农发行债券指数证券投资基金(2025年01月23日至今)、交银施罗德丰润收益债券型证券投资基金(2025年01月23日至今)、交银施罗德裕盈纯债债券型证券投资基金(2025年01月23日至今)、交银施罗德中债0-3年政策性金融债指数证券投资基金(2025年01月23日至今)、交银施罗德裕道纯债一年定期开放债券型发起式证券投资基金(2025年03月15日至今)、交银施罗德裕</w:t>
      </w:r>
      <w:r>
        <w:rPr>
          <w:rFonts w:ascii="宋体" w:hAnsi="宋体"/>
          <w:sz w:val="24"/>
        </w:rPr>
        <w:lastRenderedPageBreak/>
        <w:t>祥纯债债券型证券投资基金(2025年07月03日至今)的基金经理。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季参平先生(2020年08月20日至2023年08月30日)。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w:t>
      </w:r>
      <w:r>
        <w:rPr>
          <w:rFonts w:ascii="宋体" w:hAnsi="宋体"/>
          <w:sz w:val="24"/>
        </w:rPr>
        <w:lastRenderedPageBreak/>
        <w:t>立健全内部控制制度，采取有效措施，防止违反《中华人民共和国证券法》行为的发生；</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（6）泄露因职务便利获取的未公开信息、利用该信息从事或者明示、暗示他人从事相关的交易活动；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（7）玩忽职守，不按照规定履行职责；</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（8）法律、行政法规和中国证监会禁止的其他行为。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w:t>
      </w:r>
      <w:r>
        <w:rPr>
          <w:rFonts w:ascii="宋体" w:hAnsi="宋体"/>
          <w:sz w:val="24"/>
        </w:rPr>
        <w:lastRenderedPageBreak/>
        <w:t>策、执行、监督、反馈等各个环节。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独立行使督察权利；直接对董事会负责；就内部控制制度和执行情况独立地履行检查、评价、报告、建议职能；定期和不定期地向董事会报告公司内部控制执行情况。</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（4）建立风险分类、识别、评估、报告、提示程序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7" w:name="_Toc231305810"/>
      <w:r>
        <w:rPr>
          <w:rFonts w:ascii="Times New Roman" w:hAnsi="Times New Roman"/>
          <w:sz w:val="30"/>
        </w:rPr>
        <w:lastRenderedPageBreak/>
        <w:t>四、基金托管人</w:t>
      </w:r>
      <w:bookmarkEnd w:id="7"/>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8" w:name="_Toc231305811"/>
      <w:r>
        <w:rPr>
          <w:rFonts w:ascii="Times New Roman" w:hAnsi="Times New Roman"/>
          <w:sz w:val="30"/>
        </w:rPr>
        <w:lastRenderedPageBreak/>
        <w:t>五、相关服务机构</w:t>
      </w:r>
      <w:bookmarkEnd w:id="8"/>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（1）名称：中信银行股份有限公司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（2）名称：宁波银行股份有限公司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住所：宁波市江东区中山东路294号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（4）名称：交通银行股份有限公司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（5）名称：兴业银行股份有限公司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联系电话：021-52629999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（6）名称：中国农业银行股份有限公司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（7）名称：中国邮政储蓄银行股份有限公司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（8）名称：江苏银行股份有限公司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（9）名称：中国民生银行股份有限公司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住所：北京市西城区复兴门内大街2号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（10）名称：广发证券股份有限公司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（11）名称：兴业证券股份有限公司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（12）名称：中信建投证券股份有限公司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（13）名称：东方财富证券股份有限公司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（14）名称：国金证券股份有限公司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（15）名称：西部证券股份有限公司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（16）名称：国新证券股份有限公司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住所：北京市西城区金融大街8号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（17）名称：中信证券（山东）有限责任公司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（18）名称：中信证券股份有限公司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（19）名称：中信证券华南股份有限公司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联系人：郭杏燕</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（20）名称：申万宏源证券有限公司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（21）名称：申万宏源西部证券有限公司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（22）名称：华西证券股份有限公司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（23）名称：中国银河证券股份有限公司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住所：北京市西城区金融大街35号国际企业大厦C座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（24）名称：上海好买基金销售有限公司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（25）名称：珠海盈米基金销售有限公司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（26）名称：北京创金启富基金销售有限公司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魏素清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（27）名称：北京度小满基金销售有限公司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（28）名称：北京汇成基金销售有限公司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（29）名称：上海基煜基金销售有限公司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网址：www.fofund.com.cn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（30）名称：蚂蚁（杭州）基金销售有限公司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（31）名称：嘉实财富管理有限公司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（32）名称：济安财富（北京）基金销售有限公司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（33）名称：上海天天基金销售有限公司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办公地址：上海市徐汇区宛平南路88号金座东方财富大厦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（34）名称：腾安基金销售（深圳）有限公司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（35）名称：博时财富基金销售有限公司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（36）名称：诺亚正行基金销售有限公司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传真：（021）80358749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（37）名称：泛华普益基金销售有限公司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（38）名称：和耕传承基金销售有限公司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（39）名称：深圳众禄基金销售股份有限公司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客户服务电话：4006-788-887</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（40）名称：京东肯特瑞基金销售有限公司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（41）名称：玄元保险代理有限公司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（42）名称：上海华夏财富投资管理有限公司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（43）名称：中信期货有限公司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住所：深圳市福田区中心三路8号卓越时代广场（二期）北座13层1301-1305室、14层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（44）名称：上海攀赢基金销售有限公司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（45）名称：上海联泰基金销售有限公司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（46）名称：上海利得基金销售有限公司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网址：www.leadfund.com.cn</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办公地址：上海浦东新区世纪大道8号国金中心二期21-22楼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电话：（021）61055461</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传真：（021）61055064</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联系人：陈方强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9" w:name="_Toc231305812"/>
      <w:r>
        <w:rPr>
          <w:rFonts w:ascii="Times New Roman" w:hAnsi="Times New Roman"/>
          <w:sz w:val="30"/>
        </w:rPr>
        <w:lastRenderedPageBreak/>
        <w:t>六、基金的募集</w:t>
      </w:r>
      <w:bookmarkEnd w:id="9"/>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本基金由基金管理人依照《基金法》、《运作办法》、《销售办法》、基金合同及其他有关规定，并经中国证监会2020年3月13日证监许可[2020]441号文准予募集注册。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本基金为契约型开放式债券型基金。基金存续期间为不定期。</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本基金于2020年7月6日至2020年8月18日进行发售，本基金设立募集期共募集7,409,983,489.98份基金份额，有效认购户数为230户。</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10" w:name="_Toc231305813"/>
      <w:r>
        <w:rPr>
          <w:rFonts w:ascii="Times New Roman" w:hAnsi="Times New Roman"/>
          <w:sz w:val="30"/>
        </w:rPr>
        <w:lastRenderedPageBreak/>
        <w:t>七、基金合同的生效</w:t>
      </w:r>
      <w:bookmarkEnd w:id="10"/>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根据有关规定，本基金满足基金合同生效条件，基金合同已于2020年8月20日正式生效。自基金合同生效之日起，本基金管理人正式开始管理本基金。</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如果本基金投资的政策性金融债发行人政策性银行发生改制，且可能对基金投资运作、持有人利益产生较大影响的，在履行适当程序后本基金可进行转型或清盘。</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11" w:name="_Toc231305814"/>
      <w:r>
        <w:rPr>
          <w:rFonts w:ascii="Times New Roman" w:hAnsi="Times New Roman"/>
          <w:sz w:val="30"/>
        </w:rPr>
        <w:lastRenderedPageBreak/>
        <w:t>八、基金份额的申购与赎回</w:t>
      </w:r>
      <w:bookmarkEnd w:id="11"/>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个人投资者可以通过基金管理人网上直销交易平台办理开户、本基金的申购、赎回、转换等业务，具体交易细则请参阅基金管理人网站。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本基金已于2020年9月21日起开放申购、赎回业务。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w:t>
      </w:r>
      <w:r>
        <w:rPr>
          <w:rFonts w:ascii="宋体" w:hAnsi="宋体"/>
          <w:sz w:val="24"/>
        </w:rPr>
        <w:lastRenderedPageBreak/>
        <w:t>受申购申请的最低金额为单笔1元，如果销售机构业务规则规定的最低单笔申购金额高于1元，以该销售机构的规定为准。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3、最低余额的限制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每个工作日投资人在单个交易账户的本基金份额余额少于1份时，若当日该账户同时有基金份额减少类业务（如赎回、转换出等）被确认，则基金管理人有权将投资人在该账户的本基金份额一次性全部赎回。</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基金管理人届时发布的相关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5、基金管理人可在法律法规允许的情况下，调整申购的金额和赎回的份额的数量限制等，基金管理人必须在调整实施前依照《信息披露办法》的有关规定在指定媒介上公告。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登记机构确认赎回时，赎回生效。投资者赎回申请生效后，基金管理人将在T＋7日（包括该日）内支付赎回款项。在发生巨额赎回或基金合同载明的其他暂停赎回或延缓支付赎回款项的情形时，款项</w:t>
      </w:r>
      <w:r>
        <w:rPr>
          <w:rFonts w:ascii="宋体" w:hAnsi="宋体"/>
          <w:sz w:val="24"/>
        </w:rPr>
        <w:lastRenderedPageBreak/>
        <w:t>的支付办法参照基金合同有关条款处理。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赎回时收取赎回费用；申购C类基金份额不支付申购费用、赎回时收取赎回费用，并从该类别基金资产中计提销售服务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A类基金份额的申购费用由A类基金份额申购人承担，不列入基金财产，主要用于本基金的市场推广、销售、登记结算等各项费用。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5A3D1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5A3D1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投资者赎回A类基金份额或C类基金份额收取赎回费用，该费用随基金份额的持</w:t>
      </w:r>
      <w:r>
        <w:rPr>
          <w:rFonts w:ascii="宋体" w:hAnsi="宋体"/>
          <w:sz w:val="24"/>
        </w:rPr>
        <w:lastRenderedPageBreak/>
        <w:t>有时间递减。本基金A类基金份额和C类基金份额的赎回费用由该类基金份额赎回人承担，对于持续持有期间少于7天的投资人收取的赎回费全额计入基金财产，对于持续持有期间大于等于7天的投资人收取的赎回费总额的25%应归基金财产，其余用于支付登记费和其他必要的手续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5A3D1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5A3D1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5A3D1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3D1E" w:rsidRDefault="005A3D1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且对现有基金份额持有人利益无实质性不利影响的情况下，根据市场情况制定基金促销计划，针对投资人定期和不定期地开展基金促销活动。在基金促销活动期间，基金管理人可以按中国证监会要求履行必要手续后，对投资人适当调低基金销售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5、当本基金发生大额申购或赎回情形时，基金管理人可以采用摆动定价机制以确保基金估值的公平性。具体处理原则与操作规范遵循相关法律法规以及监管部门、自律规则的规定。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（2）A类基金份额或C类基金份额的赎回金额为按实际确认的有效赎回份额乘以当日该类基金份额的基金份额净值并扣除相应的费用（如有），赎回金额单位为</w:t>
      </w:r>
      <w:r>
        <w:rPr>
          <w:rFonts w:ascii="宋体" w:hAnsi="宋体"/>
          <w:sz w:val="24"/>
        </w:rPr>
        <w:lastRenderedPageBreak/>
        <w:t>元。赎回金额计算结果按四舍五入方法，保留到小数点后2位，由此产生的收益或损失由基金财产承担。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例四：某投资者（非养老金客户）投资100,000元申购本基金的A类基金份额，假设申购当日A类基金份额净值为1.0400元，申购费率为0.8%，则其可得到的申购份额为：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即：某投资者（非养老金客户）投资100,000元申购本基金的A类基金份额，假设申购当日A类基金份额净值为1.0400元，则其可得到95,390.72份A类基金份额。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例五：某养老金客户投资100,000元通过基金管理人的直销柜台申购本基金的A类基金份额，假设申购当日A类基金份额净值为1.0400元，申购费率为0.32%，则其可得到的申购份额为：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（2）C类基金份额的申购</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或C类基金份额的赎回金额为按实际确认的有效赎回份额乘以当日该类基金份额的基金份额净值并扣除相应的费用（如有），赎回金额单位为元，计算结果保留到小数点后两位，第三位四舍五入，由此产生的收益或损失由基金财产承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例七：某投资者在持有期限为20天时赎回100,000份A类基金份额，对应的赎回费率为0.1%，假设赎回当日A类基金份额净值是1.0160元，则其可得到的赎回金额为：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即：投资者在持有期限为20天时赎回100,000份A类基金份额，对应的赎回费率为0.1%，假设赎回当日A类基金份额净值是1.0160元，则其可得到的赎回金额为101,498.40元。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例八：某投资者在持有期限为20天时赎回100,000份C类基金份额，对应的赎回费率为0.1%，假设赎回当日C类基金份额净值是1.0160元，则其可得到的赎回金额为：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即：投资者在持有期限为20天时赎回100,000份C类基金份额，对应的赎回费率为0.1%，假设赎回当日C类基金份额净值是1.0160元，则其可得到的赎回金额为101,498.40元。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保留到小数点后4位，小数点后第5位四舍五入，由此产生的收益或损失由基金财产承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7、基金管理人接受某笔或者某些申购申请有可能导致单一投资者持有基金份额的比例达到或超过20%，或者变相规避20%集中度的。出现上述情形时，基金管理人有权将上述申购申请全部或部分确认失败。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8、法律法规规定、中国证监会认定或基金合同约定的其他情形。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项暂停申购情形之一且基金管理人决定暂停接受投资人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（十）巨额赎回的情形及处理方式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当发生上述巨额赎回并延期办理时，基金管理人应当通过邮寄、传真或者通知销售机构代为告知等其他方式在3个交易日内通知基金份额持有人，说明有关处理方法，并在两日内在指定媒介上刊登公告。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2、如发生暂停的时间为1日，基金管理人应于重新开放日，在指定媒介上刊登基金重新开放申购或赎回公告，并公布最近1个开放日的各类基金份额净值。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（十二）基金的非交易过户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（十三）基金的转托管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（十五）基金份额的冻结和解冻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（十六）基金份额的转让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（十八）其他业务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12" w:name="_Toc231305815"/>
      <w:r>
        <w:rPr>
          <w:rFonts w:ascii="Times New Roman" w:hAnsi="Times New Roman"/>
          <w:sz w:val="30"/>
        </w:rPr>
        <w:lastRenderedPageBreak/>
        <w:t>九、基金的转换</w:t>
      </w:r>
      <w:bookmarkEnd w:id="12"/>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本基金2021年12月18日刊登公告自2021年12月22日起开放日常转换业务。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3、转出与转入基金的申购补差费用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申购费用低的基金向申购费用高的基金转换，收取申购补差费用；从申购费用高的基金向申购费用低的基金或不收取申购费用的基金转换，不收取申购补差费用。申购补差费用原则上按照转出确认金额对应的转入基金申购费减去转出基金申购费差额进行计算补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4、网上直销的申购补差费率优惠</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w:t>
      </w:r>
      <w:r>
        <w:rPr>
          <w:rFonts w:ascii="宋体" w:hAnsi="宋体"/>
          <w:sz w:val="24"/>
        </w:rPr>
        <w:lastRenderedPageBreak/>
        <w:t>阅本基金管理人网站。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5、本基金管理人可以根据法律法规及基金合同的规定对上述转换费用收费方式和费率进行调整，并应于调整后的收费方式和费率实施前依照《信息披露办法》的有关规定在中国证监会规定媒介上公告。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转出基金申购费用=转入确认金额×转出基金申购费率/（1+转出基金申购费率）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转入基金申购费用=转入确认金额×转入基金申购费率/（1+转入基金申购费率）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转出与转入基金的申购补差费=MAX（0，转入基金申购费用-转出基金申购费用）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稳利A类基金份额100,000份，持有期半年，转换申请当日交银稳利的A类基金份额净值为1.0100元，交银现金宝A类基金份额的基金份额净值为1.00元。若该投资者将100,000份交银稳利A类基金份额转换为交银现金宝A类基金份额，则转入交银现金宝确认的A类基金份额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转入确认金额=101,000-0=101,000元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转出基金申购费用=101,000×0.30%/（1+0.30%）=302.09元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转出与转入基金的申购补差费=0元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转入基金确认份额=（101,000-0）/1.00=101,000份</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现金宝A类基金份额100,000份，该100,000份基金份额未结转的待支付收益为61.52元，转换申请当日交银现金宝的A类基金份额净值为1.00元，交银稳利的A类基金份额净值为1.0100元。若该投资者将100,000份交银现金宝A类基金份额转换为交银稳利A类基金份额，则转入交银稳利确认的A类基金份额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转入基金申购费用=100,000×0.30%/（1+0.30%）=299.10元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转出与转入基金的申购补差费=299.10-0=299.10元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转入基金确认份额=（100,000-299.10+61.52）/1.0100=98,774.67份</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w:t>
      </w:r>
      <w:r>
        <w:rPr>
          <w:rFonts w:ascii="宋体" w:hAnsi="宋体"/>
          <w:sz w:val="24"/>
        </w:rPr>
        <w:lastRenderedPageBreak/>
        <w:t>将自转入基金份额被确认日起重新开始计算。</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13" w:name="_Toc231305816"/>
      <w:r>
        <w:rPr>
          <w:rFonts w:ascii="Times New Roman" w:hAnsi="Times New Roman"/>
          <w:sz w:val="30"/>
        </w:rPr>
        <w:lastRenderedPageBreak/>
        <w:t>十、基金的投资</w:t>
      </w:r>
      <w:bookmarkEnd w:id="13"/>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本基金通过指数化投资，争取在扣除各项费用之前获得与标的指数相似的总回报，追求跟踪偏离度及跟踪误差的最小化。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标的指数成份券及备选成份券。为了更好地实现投资目标，本基金还可以投资于具有良好流动性的金融工具，包括国内依法发行上市的国债、政策性金融债、债券回购、同业存单、银行存款（包括定期存款、协议存款、通知存款等）、货币市场工具以及法律、法规或中国证监会允许基金投资的其他金融工具（但须符合中国证监会相关规定）。本基金不投资股票等权益类资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为：本基金投资于债券资产的比例不低于基金资产的80%，其中投资于剩余期限在1年至3年（包含1年和3年）的标的指数成份券和备选成份券的比例不低于本基金非现金基金资产的80%；每个交易日日终，现金或到期日在一年以内的政府债券的投资比例合计不低于基金资产净值的5%，其中现金不包括结算备付金、存出保证金、应收申购款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（三）投资标的指数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中债-1-3年政策性金融债指数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出现标的指数不符合要求（不包括因成份券价格波动等指数编制方法变动之外的因素致使标的指数不符合要求的情形）、指数编制机构退出等情形，基金管理人应当自该情形发生之日起十个工作日内向中国证监会报告并提出解决方案，更换基金标的指数、转换运作方式，与其他基金合并或者终止基金合同等，并在6个月内召集基金份额持有人大会进行表决，基金份额持有人大会未成功召开或就上述事项表决未通过的，基金合同终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w:t>
      </w:r>
      <w:r>
        <w:rPr>
          <w:rFonts w:ascii="宋体" w:hAnsi="宋体"/>
          <w:sz w:val="24"/>
        </w:rPr>
        <w:lastRenderedPageBreak/>
        <w:t>先原则维持基金投资运作。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若基金标的指数发生变更，基金业绩比较基准随之变更，由基金管理人根据标的指数变更情形履行对应适当程序，并在调整实施前依照《信息披露办法》的有关规定在中国证监会指定媒介上刊登公告。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（四）投资策略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指数基金，主要采用抽样复制和动态最优化的方法，投资于标的指数中具有代表性和流动性的成份券和备选成份券，或选择非成份券作为替代，构造与标的指数风险收益特征相似的资产组合，以实现对标的指数的有效跟踪。</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正常市场情况下，本基金力争追求日均跟踪偏离度的绝对值不超过0.35%，将年化跟踪误差控制在4%以内。如因标的指数编制规则调整等其他原因，导致基金跟踪偏离度和跟踪误差超过了上述范围，基金管理人应采取合理措施，避免跟踪误差进一步扩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1、债券指数化投资策略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（1）债券投资组合的构建策略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构建投资组合的过程主要分为三步：划分债券层级、筛选目标组合成份券和逐步调整建仓。</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①划分债券层级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本基金根据债券的剩余期限将标的指数成份券划分层级，按照分层抽样的原理，确定各层级成份券及其权重。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②筛选目标组合成份券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分层完成后，本基金在各层级成份券内利用动态最优化或随机抽样等方法筛选出与各层级总体风险收益特征（例如久期、凸性等）相近的且流动性较好（主要考虑发行规模、日均成交金额、期间成交天数等指标）的个券组合，或部分投资于非成份券，以更好的实现对标的指数的跟踪。</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③逐步建仓</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本基金将根据实际的市场流动性情况和投资机会逐步建仓。</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（2）债券投资组合的调整策略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①定期调整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基金管理人将每月评估投资组合整体以及各层级债券与标的指数的偏离情 况，定期对投资组合进行调整，以确保总体特征与标的指数相似，并缩小跟踪误</w:t>
      </w:r>
      <w:r>
        <w:rPr>
          <w:rFonts w:ascii="宋体" w:hAnsi="宋体"/>
          <w:sz w:val="24"/>
        </w:rPr>
        <w:lastRenderedPageBreak/>
        <w:t>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②不定期调整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较大的申购赎回、组合中债券派息、债券到期以及市场波动剧烈等情况，导致投资组合与标的指数出现偏离，本基金将综合考虑市场流动性、交易成本、偏离程度等因素，对投资组合进行不定期的动态调整以缩小跟踪误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2、其他投资策略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在一定程度上弥补基金费用，基金管理人还可以在控制风险的前提下，使用其他投资策略。未来，随着市场的发展和基金管理运作的需要，基金管理人可以在不改变投资目标的前提下，遵循法律法规的规定并履行适当程序后，相应调整或更新投资策略，并在招募说明书更新中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（五）投资限制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（1）本基金投资于债券资产的比例不低于基金资产的80%，其中投资于剩余期限在1年至3年（包含1年和3年）的标的指数成份券和备选成份券的比例不低于本基金非现金基金资产的80%；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（2）每个交易日日终，保持不低于基金资产净值5%的现金或者到期日在一年以内的政府债券，其中现金不包括结算备付金、存出保证金、应收申购款等；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（3）本基金进入全国银行间同业市场进行债券回购的资金余额不得超过基金资产净值的40%，进入全国银行间同业市场进行债券回购的最长期限为1 年，债券回购到期后不得展期；</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（5）本基金与私募类证券资管产品及中国证监会认定的其他主体为交易对手开展逆回购交易的，可接受质押品的资质要求应当与基金合同约定的投资范围保持一致；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（6）本基金资产总值不超过基金资产净值的140%；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（7）法律法规及中国证监会规定的和《基金合同》约定的其他投资限制。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除上述第（2）、（4）、（5）项外，因证券市场波动、证券发行人合并或基金规</w:t>
      </w:r>
      <w:r>
        <w:rPr>
          <w:rFonts w:ascii="宋体" w:hAnsi="宋体"/>
          <w:sz w:val="24"/>
        </w:rPr>
        <w:lastRenderedPageBreak/>
        <w:t>模变动等基金管理人之外的因素致使基金投资比例不符合上述规定投资比例的，基金管理人应当在10个交易日内进行调整，但中国证监会规定的特殊情形除外。法律法规另有规定的，从其规定。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（六）业绩比较基准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中债-1-3年政策性金融债指数收益率*95%+银行活期存款利率（税后）*5%</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未来若出现标的指数不符合要求（不包括因成份券价格波动等指数编制方法变</w:t>
      </w:r>
      <w:r>
        <w:rPr>
          <w:rFonts w:ascii="宋体" w:hAnsi="宋体"/>
          <w:sz w:val="24"/>
        </w:rPr>
        <w:lastRenderedPageBreak/>
        <w:t>动之外的因素致使标的指数不符合要求的情形）、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若基金标的指数发生变更，基金业绩比较基准随之变更，由基金管理人根据标的指数变更情形履行对应适当程序，并在调整实施前依照《信息披露办法》的有关规定在中国证监会指定媒介上刊登公告。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（七）风险收益特征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预期风险与预期收益高于货币市场基金，低于混合型基金和股票型基金。本基金为指数型基金，主要采用抽样复制和动态最优化的方法跟踪标的指数的表现，具有与标的指数、以及标的指数所代表的债券市场相似的风险收益特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（八）基金管理人代表基金行使债权人权利的处理原则及方法</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2、有利于基金财产的安全与增值；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3、不通过关联交易为自身、雇员、授权代理人或任何存在利害关系的第三人牟取任何不当利益。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（九）侧袋机制的实施和投资运作安排</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w:t>
      </w:r>
      <w:r>
        <w:rPr>
          <w:rFonts w:ascii="宋体" w:hAnsi="宋体"/>
          <w:sz w:val="24"/>
        </w:rPr>
        <w:lastRenderedPageBreak/>
        <w:t>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（十）基金投资组合报告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本基金托管人中国农业银行股份有限公司根据本基金合同规定,于2026年04月20日复核了本报告中的财务指标、净值表现和投资组合报告等内容,保证复核内容不存在虚假记载、误导性陈述或者重大遗漏。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3,076,721,948.00</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99.95</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3,076,721,948.00</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99.95</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1,578,028.19</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2,939.04</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3,078,302,915.23</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40,046,671.27</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1.53</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3,036,675,276.73</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115.92</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3,036,675,276.73</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115.92</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3,076,721,948.00</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117.44</w:t>
            </w:r>
          </w:p>
        </w:tc>
      </w:tr>
    </w:tbl>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250413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3,400,000</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345,640,646.58</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13.19</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220208</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r>
              <w:rPr>
                <w:rFonts w:ascii="Times New Roman" w:hAnsi="Times New Roman"/>
                <w:color w:val="000000"/>
                <w:kern w:val="0"/>
                <w:sz w:val="25"/>
                <w:szCs w:val="24"/>
              </w:rPr>
              <w:t>国开</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2,900,000</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300,381,682.19</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11.47</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250403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03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2,600,000</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259,957,830.14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9.92</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250423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2,400,000</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242,940,953.42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9.27</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250202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2,200,000</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222,975,786.30</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8.51</w:t>
            </w:r>
          </w:p>
        </w:tc>
      </w:tr>
    </w:tbl>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注：序号1　250413　25农发13　3,400,000　345,640,646.58　　13.19　　　序号2　220208　22国开08　2,900,000　300,381,682.19　　11.47　　　序号3　250403　25农发03　2,600,000　259,957,830.14　　9.92　　　序号4　250423　25农发23　2,400,000　242,940,953.42　　9.27　　　序号5　250202　25国开02　2,200,000　222,975,786.30　　8.51　　　序号6　230203　23国开03　2,000,000　205,496,712.33　　7.84　　　序号7　9250207　25国开清发07　1,800,000　182,692,306.85　　6.97　　　序号8　230208　23国开08　1,400,000　145,918,049.32　　5.57　　　序号9　220407　22农发07　1,000,000　102,896,849.32　　3.93　　　序号10　240413　24农发13　1,000,000　101,662,739.73　　3.88　　　序号11　9250202　25国开清发02　1,000,000　100,105,260.27　　3.82　　　序号12　170210　17国开10　700,000　74,606,268.49　　2.85　　　序号13　230315　23进出15　700,000　</w:t>
      </w:r>
      <w:r>
        <w:rPr>
          <w:rFonts w:ascii="宋体" w:hAnsi="宋体"/>
          <w:sz w:val="24"/>
        </w:rPr>
        <w:lastRenderedPageBreak/>
        <w:t xml:space="preserve">72,690,684.93　　2.77　　　序号14　250415　25农发15　700,000　70,816,928.77　　2.70　　　序号15　190210　19国开10　600,000　65,652,000.00　　2.51　　　序号16　180205　18国开05　600,000　64,087,117.81　　2.45　　　序号17　250218　25国开18　600,000　60,773,736.99　　2.32　　　序号18　250208　25国开08　600,000　60,499,200.00　　2.31　　　序号19　240403　24农发03　600,000　60,465,698.63　　2.31　　　序号20　220203　22国开03　500,000　50,690,684.93　　1.93　　　序号21　260411　26农发11　500,000　50,028,356.16　　1.91　　　序号22　250203　25国开03　300,000　29,707,726.03　　1.13　　　序号23　220405　22农发05　200,000　22,009,336.99　　0.84　　　序号24　220215　22国开15　200,000　21,828,832.88　　0.83　　　序号25　240415　24农发15　200,000　20,398,328.77　　0.78　　　序号26　250303　25进出03　200,000　20,089,287.67　　0.77　　　序号27　250220　25国开20　200,000　20,059,128.77　　0.77　　　序号28　250016　25附息国债16　200,000　20,053,386.74　　0.77　　　序号29　250215　25国开15　200,000　19,817,479.45　　0.76　　　序号30　220205　22国开05　100,000　10,759,821.92　　0.41　　　序号31　92218004　22农发清发04　100,000　10,578,654.79　　0.40　　　序号32　240215　24国开15　100,000　10,455,509.59　　0.40　　　序号33　250022　25附息国债22　100,000　10,032,364.64　　0.38　　　序号34　260205　26国开05　100,000　9,991,676.71　　0.38　　　序号35　260005　26附息国债05　100,000　9,960,919.89　　0.38　</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遵循指数化投资理念，绝大部分资产采用完全复制法跟踪指数，以完全按照标的指数成份股组成及其权重构建基金股票投资组合为原则，进行被动式指数化投资。本基金对上述主体发行证券的投资遵守本基金管理人基金投资管理相关制度及被动式指数化投资策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2,939.04</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right"/>
              <w:rPr>
                <w:rFonts w:ascii="宋体" w:hAnsi="宋体"/>
                <w:color w:val="000000"/>
                <w:kern w:val="0"/>
                <w:sz w:val="25"/>
                <w:szCs w:val="24"/>
              </w:rPr>
            </w:pPr>
            <w:r>
              <w:rPr>
                <w:rFonts w:ascii="Times New Roman" w:hAnsi="Times New Roman"/>
                <w:color w:val="000000"/>
                <w:kern w:val="0"/>
                <w:sz w:val="25"/>
                <w:szCs w:val="24"/>
              </w:rPr>
              <w:t>2,939.04</w:t>
            </w:r>
          </w:p>
        </w:tc>
      </w:tr>
    </w:tbl>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14" w:name="_Toc231305817"/>
      <w:r>
        <w:rPr>
          <w:rFonts w:ascii="Times New Roman" w:hAnsi="Times New Roman"/>
          <w:sz w:val="30"/>
        </w:rPr>
        <w:lastRenderedPageBreak/>
        <w:t>十一、基金的业绩</w:t>
      </w:r>
      <w:bookmarkEnd w:id="14"/>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（1）交银中债1-3年政金债指数A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5A3D1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5A3D1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5A3D1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5A3D1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4.92%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3.33%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5A3D1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2.68%</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5A3D1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2.50%</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2.54%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5A3D1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3.78%</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3.40%</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5A3D1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2020</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1.24%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（2）交银中债1-3年政金债指数C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5A3D1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5A3D1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5A3D1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5A3D1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4.84%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3.33%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5A3D1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2.67%</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2.68%</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5A3D1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2.54%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5A3D1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2.41%</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2.22%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注：1、本基金的业绩比较基准为中债-1-3年政策性金融债指数收益率*95%+银行活期存款利率（税后）*5%，每日进行再平衡过程。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2、交银中债1-3年政金债指数C上述“自基金合同生效起至2021年12月31日”实际为“自基金份额类别首次确认起至2021年12月31日”，下同。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5A3D1E" w:rsidRDefault="00827B98">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交银施罗德中债1-3年政策性金融债指数证券投资基金</w:t>
      </w:r>
    </w:p>
    <w:p w:rsidR="005A3D1E" w:rsidRDefault="00827B98">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5A3D1E" w:rsidRDefault="00827B98">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（2020年8月20日至2026年03月31日）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交银中债1-3年政金债指数A</w:t>
      </w:r>
    </w:p>
    <w:p w:rsidR="005A3D1E" w:rsidRDefault="00726CD1">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交银中债1-3年政金债指数C</w:t>
      </w:r>
    </w:p>
    <w:p w:rsidR="005A3D1E" w:rsidRDefault="00726CD1">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15" w:name="_Toc231305818"/>
      <w:r>
        <w:rPr>
          <w:rFonts w:ascii="Times New Roman" w:hAnsi="Times New Roman"/>
          <w:sz w:val="30"/>
        </w:rPr>
        <w:lastRenderedPageBreak/>
        <w:t>十二、基金的财产</w:t>
      </w:r>
      <w:bookmarkEnd w:id="15"/>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16" w:name="_Toc231305819"/>
      <w:r>
        <w:rPr>
          <w:rFonts w:ascii="Times New Roman" w:hAnsi="Times New Roman"/>
          <w:sz w:val="30"/>
        </w:rPr>
        <w:lastRenderedPageBreak/>
        <w:t>十三、基金资产的估值</w:t>
      </w:r>
      <w:bookmarkEnd w:id="16"/>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基金所拥有的债券和其它投资等持续以公允价值计量的金融资产及负债。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（三）估值原则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形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本基金所持有的投资品种，按如下原则进行估值：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（1）交易所上市交易或挂牌转让的固定收益品种（另有规定的除外），选取估值日第三方估值机构提供的相应品种当日的估值净价进行估值；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（2）交易所上市实行全价交易的债券（可转债除外），选取第三方估值机构提供的估值全价减去估值全价中所含的债券（税后）应收利息得到的净价进行估值；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（3）交易所上市不存在活跃市场的有价证券，采用估值技术确定公允价值。交易所市场挂牌转让的资产支持证券，采用估值技术确定公允价值；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2、首次公开发行未上市的债券，采用估值技术确定公允价值，在估值技术难以可靠计量公允价值的情况下，按成本估值。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6、当发生大额申购或赎回情形时，基金管理人可以采用摆动定价机制，以确保基金估值的公平性。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7、相关法律法规以及监管部门有强制规定的，从其规定。如有新增事项，按国家最新规定估值。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w:t>
      </w:r>
      <w:r>
        <w:rPr>
          <w:rFonts w:ascii="宋体" w:hAnsi="宋体"/>
          <w:sz w:val="24"/>
        </w:rPr>
        <w:lastRenderedPageBreak/>
        <w:t>方，共同查明原因，双方协商解决。</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w:t>
      </w:r>
      <w:r>
        <w:rPr>
          <w:rFonts w:ascii="宋体" w:hAnsi="宋体"/>
          <w:sz w:val="24"/>
        </w:rPr>
        <w:lastRenderedPageBreak/>
        <w:t>登记机构进行更正，并就估值错误的更正向有关当事人进行确认。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w:t>
      </w:r>
      <w:r>
        <w:rPr>
          <w:rFonts w:ascii="宋体" w:hAnsi="宋体"/>
          <w:sz w:val="24"/>
        </w:rPr>
        <w:lastRenderedPageBreak/>
        <w:t>主袋账户的基金净值信息，暂停披露侧袋账户份额净值。</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17" w:name="_Toc231305820"/>
      <w:r>
        <w:rPr>
          <w:rFonts w:ascii="Times New Roman" w:hAnsi="Times New Roman"/>
          <w:sz w:val="30"/>
        </w:rPr>
        <w:lastRenderedPageBreak/>
        <w:t>十四、基金收益与分配</w:t>
      </w:r>
      <w:bookmarkEnd w:id="17"/>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2、在符合有关基金分红条件的前提下，基金管理人可以根据实际情况进行收益分配，具体分配方案以公告为准，若基金合同生效不满3个月可不进行收益分配；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本基金收益分配方案由基金管理人拟定，并由基金托管人复核，依照《信息披露办法》的规定在指定媒介公告。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18" w:name="_Toc231305821"/>
      <w:r>
        <w:rPr>
          <w:rFonts w:ascii="Times New Roman" w:hAnsi="Times New Roman"/>
          <w:sz w:val="30"/>
        </w:rPr>
        <w:lastRenderedPageBreak/>
        <w:t>十五、基金的费用与税收</w:t>
      </w:r>
      <w:bookmarkEnd w:id="18"/>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本基金的管理费按前一日基金资产净值的0.15%年费率计提。管理费的计算方法如下：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本基金的托管费按前一日基金资产净值的0.05%年费率计提。托管费的计算方法如下：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H＝E×0.05%÷当年天数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本基金A类基金份额不收取销售服务费，C类基金份额的销售服务费按前一日C类基金资产净值的0.1%年费率计提。计算方法如下：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3个工作日内从基金资产中一次性支付给基金管理人，由基金管理人代付给销售机构。若遇法定节假日、休息日或不可抗力致使无法按时支付的，顺延至最近可支付日支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（三）不列入基金费用的项目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4、标的指数许可使用费。标的指数许可使用费由基金管理人承担，不得从基金财产中列支；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5、其他根据相关法律法规及中国证监会的有关规定不得列入基金费用的项目。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基金财产投资的相关税收，由基金份额持有人承担，基金管理人或者其他扣缴义务人按照国家有关税收征收的规定代扣代缴。</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19" w:name="_Toc231305822"/>
      <w:r>
        <w:rPr>
          <w:rFonts w:ascii="Times New Roman" w:hAnsi="Times New Roman"/>
          <w:sz w:val="30"/>
        </w:rPr>
        <w:lastRenderedPageBreak/>
        <w:t>十六、基金的会计与审计</w:t>
      </w:r>
      <w:bookmarkEnd w:id="19"/>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3、基金管理人认为有充足理由更换会计师事务所，须通报基金托管人。更换会计师事务所需依照《信息披露办法》的规定在指定媒介公告。</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20" w:name="_Toc231305823"/>
      <w:r>
        <w:rPr>
          <w:rFonts w:ascii="Times New Roman" w:hAnsi="Times New Roman"/>
          <w:sz w:val="30"/>
        </w:rPr>
        <w:lastRenderedPageBreak/>
        <w:t>十七、基金的信息披露</w:t>
      </w:r>
      <w:bookmarkEnd w:id="20"/>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一、基金招募说明书、《基金合同》、基金托管协议、基金产品资料概要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网站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二、基金份额发售公告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三、《基金合同》生效公告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四、基金净值信息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《基金合同》生效后，在开始办理基金份额申购或者赎回前，基金管理人应当至少每周在指定网站分别披露一次A类基金份额和C类基金份额所对应的基金份额净值和基金份额累计净值。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分别披露开放日的A类基金份额和C类基金份额所对应的基金份额净值和基金份额累计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五、基金份额申购、赎回价格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六、基金定期报告，包括基金年度报告、基金中期报告和基金季度报告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七、临时报告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本基金发生重大事件，有关信息披露义务人应当依照《信息披露办法》的规定编制临时报告书，并登载在指定报刊和指定网站上。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17、本基金开始办理申购、赎回；</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25、《基金合同》生效后，连续30、40、45个工作日出现基金份额持有人数量不满200人或者基金资产净值低于5000万元情形，基金管理人应当发布提示性公告；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八、澄清公告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九、基金份额持有人大会决议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十、实施侧袋机制期间的信息披露</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十一、中国证监会规定的其他信息。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基金信息披露义务人公开披露基金信息，应当符合中国证监会相关基金信息披露内容与格式准则等法规的规定。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基金管理人、基金托管人应当在指定报刊中选择披露信息的报刊。基金管理人、基金托管人应当向中国证监会基金电子披露网站报送拟披露的基金信息，并保证相关报送信息的真实、准确、完整、及时。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为基金信息披露义务人公开披露的基金信息出具审计报告、法律意见书的专业机构，应当制作工作底稿，并将相关档案至少保存到《基金合同》终止后十年。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21" w:name="_Toc231305824"/>
      <w:r>
        <w:rPr>
          <w:rFonts w:ascii="Times New Roman" w:hAnsi="Times New Roman"/>
          <w:sz w:val="30"/>
        </w:rPr>
        <w:lastRenderedPageBreak/>
        <w:t>十八、侧袋机制</w:t>
      </w:r>
      <w:bookmarkEnd w:id="21"/>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5A3D1E" w:rsidRDefault="00827B98">
      <w:pPr>
        <w:pStyle w:val="1"/>
        <w:snapToGrid w:val="0"/>
        <w:spacing w:beforeLines="0" w:before="240" w:after="240"/>
        <w:rPr>
          <w:rFonts w:ascii="宋体" w:hAnsi="宋体"/>
          <w:szCs w:val="30"/>
        </w:rPr>
      </w:pPr>
      <w:bookmarkStart w:id="22" w:name="_Toc231305825"/>
      <w:r>
        <w:rPr>
          <w:rFonts w:ascii="Times New Roman" w:hAnsi="Times New Roman"/>
          <w:sz w:val="30"/>
        </w:rPr>
        <w:lastRenderedPageBreak/>
        <w:t>十九、风险揭示</w:t>
      </w:r>
      <w:bookmarkEnd w:id="22"/>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w:t>
      </w:r>
      <w:r>
        <w:rPr>
          <w:rFonts w:ascii="宋体" w:hAnsi="宋体"/>
          <w:sz w:val="24"/>
        </w:rPr>
        <w:lastRenderedPageBreak/>
        <w:t>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本基金的投资市场主要为证券交易所、全国银行间债券市场等流动性较好的规范型交易场所，主要投资对象为具有良好流动性的金融工具，综合评估在正常市场环境下本基金的流动性风险适中。</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当基金出现巨额赎回时，基金管理人可以根据基金当时的资产组合状况决定全额赎回或部分延期赎回。</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w:t>
      </w:r>
      <w:r>
        <w:rPr>
          <w:rFonts w:ascii="宋体" w:hAnsi="宋体"/>
          <w:sz w:val="24"/>
        </w:rPr>
        <w:lastRenderedPageBreak/>
        <w:t>款项，但不得超过20个工作日，并应当在指定媒介上进行公告。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（五）本基金投资策略所特有的指数化投资风险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1、标的指数的风险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（1）标的指数下跌的风险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标的指数成份券的价格可能受到政治因素、经济因素、投资者心理和交易制度等各种因素的影响而波动，导致指数值波动，从而使基金收益水平发生变化，产生风险。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（2）标的指数计算出错的风险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数编制方法的缺陷可能导致标的指数的表现与总体市场表现产生差异，从而使基金收益发生变化。同时，标的指数许可方不对指数的实时性、完整性和准确性做出任何承诺。标的指数值可能出现错误，投资者若参考指数值进行投资决策可能导致损失。</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（3）标的指数变更的风险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尽管可能性很小，但根据基金合同规定，如出现变更标的指数的情形，本基金将变更标的指数。基于原标的指数的投资政策将会改变，投资组合将随之调整，基金的收益风险特征将与新的标的指数保持一致，投资者须承担此项调整带来的风险与成本。</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2、基金跟踪偏离风险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基金在跟踪标的指数时由于各种原因导致基金的业绩表现与标的指数表现之间可能产生差异，主要影响因素可能包括：</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主要采用抽样复制和动态最优化的方法，投资于标的指数中具有代表性和流动性的成份券和备选成份券，或选择非成份券作为替代，构造与标的指数风险收益特征相似的资产组合，基金投资组合与标的指数构成可能存在差异，从而可能导致基金实际收益率与标的指数收益率产生偏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（2）在标的指数编制中，债券利息计算再投资收益，而基金再投资中未必能获得相同的收益率；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（3）指数调整成份券时，基金在相应的组合调整中可能暂时扩大与标的指数的构成差异，而且会产生相应的交易成本。</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（4）基金运作过程中发生的费用，包括交易成本、市场冲击成本、管理费和托管费等，可能导致本基金在跟踪指数时产生收益上的偏离；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（5）基金发生申购或赎回时将带来一定的现金流或变现需求，当债券市场流动性不足时，或受银行间债券市场债券交易起点的限制，本基金投资组合面临一定</w:t>
      </w:r>
      <w:r>
        <w:rPr>
          <w:rFonts w:ascii="宋体" w:hAnsi="宋体"/>
          <w:sz w:val="24"/>
        </w:rPr>
        <w:lastRenderedPageBreak/>
        <w:t>程度的跟踪偏离风险；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（6）在指数化投资过程中，基金管理人对指数基金的管理能力例如跟踪指数的技术手段、买入卖出的时机选择等都会对本基金的收益产生影响，从而影响本基金对业绩比较基准的跟踪程度。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3、标的指数回报与债券市场平均回报偏离的风险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标的指数并不能完全代表整个债券市场。标的指数成份券的平均回报率与整个债券市场的平均回报率可能存在偏离。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4、跟踪误差控制未达约定目标的风险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本基金力争控制本基金日均跟踪偏离度的绝对值不超过0.35%，年跟踪误差不超过4%。但因标的指数编制规则调整或其他因素可能导致跟踪误差超过上述范围，本基金净值表现与指数价格走势可能发生较大偏离。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5、指数编制机构停止服务的风险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投资人将面临更换基金标的指数、转换运作方式，与其他基金合并或者终止基金合同等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6、成份券停牌或违约的风险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成份券可能因各种原因临时或长期停牌。发生停牌时，基金可能面临因无法及时调整投资组合而导致跟踪偏离度和跟踪误差扩大的风险。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基金可能面临因成份券发行人不能按时支付债券利息或偿还本金，从而带来损失的风险。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本基金运作过程中，当指数成份券发生明显负面事件面临违约风险，且指数编制机构暂未作出调整的，基金管理人应当按照持有人利益优先的原则，履行内部决</w:t>
      </w:r>
      <w:r>
        <w:rPr>
          <w:rFonts w:ascii="宋体" w:hAnsi="宋体"/>
          <w:sz w:val="24"/>
        </w:rPr>
        <w:lastRenderedPageBreak/>
        <w:t>策程序后及时对相关成份券进行调整，由此可能影响投资者的投资损益并使基金产生跟踪偏离度和跟踪误差。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（六）本基金主要投资于政策性金融债，可能面临以下风险：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1、政策性银行改制后的信用风险，若未来政策性银行进行改制，政策性金融债的性质有可能发生较大变化，债券信用等级也可能相应调整，基金投资可能面临一定信用风险；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2、政策性金融债流动性风险，政策性金融债市场投资者行为具有一定趋同性，在极端市场环境下可能集中买入或卖出，存在流动性风险；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3、投资者集中度风险，政策性金融债发行人较为单一，若单一主体发生重大事项变化，可能对基金净值表现产生较大影响。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（七）本基金的特有风险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1、本基金为债券型基金，投资于债券资产的比例不低于基金资产的80%，因投资债券资产而面临债券资产市场的系统性风险和个券风险；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2、基金合同提前终止风险。连续50个工作日出现基金份额持有人数量不满200人或者基金资产净值低于5000万元情形的，基金管理人提前终止基金合同，不需召开基金份额持有人大会。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（八）本基金法律文件风险收益特征表述与销售机构基金风险评价可能不一致的风险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（九）其他风险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4、对主要业务人员如基金经理的依赖而可能产生的风险；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23" w:name="_Toc231305826"/>
      <w:r>
        <w:rPr>
          <w:rFonts w:ascii="Times New Roman" w:hAnsi="Times New Roman"/>
          <w:sz w:val="30"/>
        </w:rPr>
        <w:lastRenderedPageBreak/>
        <w:t>二十、基金合同的变更、终止与基金财产的清算</w:t>
      </w:r>
      <w:bookmarkEnd w:id="23"/>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出现标的指数不符合要求（不包括因成份券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w:t>
      </w:r>
      <w:r>
        <w:rPr>
          <w:rFonts w:ascii="宋体" w:hAnsi="宋体"/>
          <w:sz w:val="24"/>
        </w:rPr>
        <w:lastRenderedPageBreak/>
        <w:t>估价、变现和分配。基金财产清算小组可以依法进行必要的民事活动。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24" w:name="_Toc231305827"/>
      <w:r>
        <w:rPr>
          <w:rFonts w:ascii="Times New Roman" w:hAnsi="Times New Roman"/>
          <w:sz w:val="30"/>
        </w:rPr>
        <w:lastRenderedPageBreak/>
        <w:t>二十一、</w:t>
      </w:r>
      <w:r>
        <w:rPr>
          <w:rFonts w:ascii="Times New Roman" w:hAnsi="Times New Roman"/>
          <w:sz w:val="30"/>
        </w:rPr>
        <w:t xml:space="preserve"> </w:t>
      </w:r>
      <w:r>
        <w:rPr>
          <w:rFonts w:ascii="Times New Roman" w:hAnsi="Times New Roman"/>
          <w:sz w:val="30"/>
        </w:rPr>
        <w:t>基金合同内容摘要</w:t>
      </w:r>
      <w:bookmarkEnd w:id="24"/>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16）在符合有关法律、法规的前提下，制定和调整有关基金认购、申购、赎回、转换等的业务规则；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2）依《基金合同》约定获得基金托管费以及法律法规规定或监管部门批准的其他费用；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w:t>
      </w:r>
      <w:r>
        <w:rPr>
          <w:rFonts w:ascii="宋体" w:hAnsi="宋体"/>
          <w:sz w:val="24"/>
        </w:rPr>
        <w:lastRenderedPageBreak/>
        <w:t>金管理人在各重要方面的运作是否严格按照《基金合同》的规定进行；如果基金管理人有未执行《基金合同》规定的行为，还应当说明基金托管人是否采取了适当的措施；</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1）分享基金财产收益；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3）依法转让或者申请赎回其持有的基金份额；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w:t>
      </w:r>
      <w:r>
        <w:rPr>
          <w:rFonts w:ascii="宋体" w:hAnsi="宋体"/>
          <w:sz w:val="24"/>
        </w:rPr>
        <w:lastRenderedPageBreak/>
        <w:t>有权代表基金份额持有人出席会议并表决。基金份额持有人持有的每一基金份额拥有平等的投票权。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（1）当出现或需要决定下列事由之一的，应当召开基金份额持有人大会，法律法规、中国证监会另有规定的除外：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8）变更基金投资目标、范围或策略，基金合同另有规定的除外；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9）变更基金份额持有人大会程序，基金合同另有规定的除外；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3）在法律法规和《基金合同》规定的范围内调整本基金的申购费率、调低赎回费率、在对现有基金份额持有人利益无实质性不利影响的前提下变更收费方式；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w:t>
      </w:r>
      <w:r>
        <w:rPr>
          <w:rFonts w:ascii="宋体" w:hAnsi="宋体"/>
          <w:sz w:val="24"/>
        </w:rPr>
        <w:lastRenderedPageBreak/>
        <w:t>同》进行修改；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w:t>
      </w:r>
      <w:r>
        <w:rPr>
          <w:rFonts w:ascii="宋体" w:hAnsi="宋体"/>
          <w:sz w:val="24"/>
        </w:rPr>
        <w:lastRenderedPageBreak/>
        <w:t>基金管理人，基金管理人应当配合；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w:t>
      </w:r>
      <w:r>
        <w:rPr>
          <w:rFonts w:ascii="宋体" w:hAnsi="宋体"/>
          <w:sz w:val="24"/>
        </w:rPr>
        <w:lastRenderedPageBreak/>
        <w:t>构允许的其他方式召开，会议的召开方式由会议召集人确定。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w:t>
      </w:r>
      <w:r>
        <w:rPr>
          <w:rFonts w:ascii="宋体" w:hAnsi="宋体"/>
          <w:sz w:val="24"/>
        </w:rPr>
        <w:lastRenderedPageBreak/>
        <w:t>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w:t>
      </w:r>
      <w:r>
        <w:rPr>
          <w:rFonts w:ascii="宋体" w:hAnsi="宋体"/>
          <w:sz w:val="24"/>
        </w:rPr>
        <w:lastRenderedPageBreak/>
        <w:t>额持有人大会的主持人。基金管理人和基金托管人拒不出席或主持基金份额持有人大会，不影响基金份额持有人大会作出的决议的效力。</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w:t>
      </w:r>
      <w:r>
        <w:rPr>
          <w:rFonts w:ascii="宋体" w:hAnsi="宋体"/>
          <w:sz w:val="24"/>
        </w:rPr>
        <w:lastRenderedPageBreak/>
        <w:t>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基金份额持有人大会的决议，召集人应当自通过之日起5日内报中国证监会备案。基金份额持有人大会的决议自表决通过之日起生效。法律法规另有规定的，从其规定。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基金份额持有人大会决议自生效之日起依照《信息披露办法》的规定在指定媒介上公告。如果采用通讯方式进行表决，在公告基金份额持有人大会决议时，必须将公证书全文、公证机构、公证员姓名等一同公告。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w:t>
      </w:r>
      <w:r>
        <w:rPr>
          <w:rFonts w:ascii="宋体" w:hAnsi="宋体"/>
          <w:sz w:val="24"/>
        </w:rPr>
        <w:lastRenderedPageBreak/>
        <w:t>份额持有人大会召集和审议事项不涉及侧袋账户的，则仅指主袋份额持有人持有或代表的基金份额或表决权符合该等比例：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w:t>
      </w:r>
      <w:r>
        <w:rPr>
          <w:rFonts w:ascii="宋体" w:hAnsi="宋体"/>
          <w:sz w:val="24"/>
        </w:rPr>
        <w:lastRenderedPageBreak/>
        <w:t>和基金合同约定可不经基金份额持有人大会决议通过的事项，由基金管理人和基金托管人同意后变更并公告，并报中国证监会备案。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出现标的指数不符合要求（不包括因成份券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期货相关业务资格的注册会计师、律师以及中国证监会指定的人员组成。基金财产清算小组可以聘用必要的工作人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w:t>
      </w:r>
      <w:r>
        <w:rPr>
          <w:rFonts w:ascii="宋体" w:hAnsi="宋体"/>
          <w:sz w:val="24"/>
        </w:rPr>
        <w:lastRenderedPageBreak/>
        <w:t>履行基金合同规定的义务，维护基金份额持有人的合法权益。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25" w:name="_Toc231305828"/>
      <w:r>
        <w:rPr>
          <w:rFonts w:ascii="Times New Roman" w:hAnsi="Times New Roman"/>
          <w:sz w:val="30"/>
        </w:rPr>
        <w:lastRenderedPageBreak/>
        <w:t>二十二、托管协议的内容摘要</w:t>
      </w:r>
      <w:bookmarkEnd w:id="25"/>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法定代表人：谷澎</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w:t>
      </w:r>
      <w:r>
        <w:rPr>
          <w:rFonts w:ascii="宋体" w:hAnsi="宋体"/>
          <w:sz w:val="24"/>
        </w:rPr>
        <w:lastRenderedPageBreak/>
        <w:t>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投资于标的指数成份券及备选成份券。为了更好地实现投资目标，本基金还可以投资于具有良好流动性的金融工具，包括国内依法发行上市的国债、政策性金融债、债券回购、同业存单、银行存款（包括定期存款、协议存款、通知存款等）、货币市场工具以及法律、法规或中国证监会允许基金投资的其他金融工具（但须符合中国证监会相关规定）。本基金不投资股票等权益类资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其中投资于剩余期限在1年至3年（包含1年和3年）的标的指数成份券和备选成份券的比例不低于本基金非现金基金资产的80%；每个交易日日终，现金或到期日在一年以内的政府债券的投资比例合计不低于基金资产净值的5%，其中现金不包括结算备付金、存出保证金、应收申购款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（2）基金托管人根据有关法律法规的规定及基金合同的约定，对基金投资、融资比例进行监督。基金托管人按下述比例和调整期限进行监督：</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1）本基金投资于债券资产的比例不低于基金资产的80%，其中投资于剩余期限在1年至3年（包含1年和3年）的标的指数成份券和备选成份券的比例不低于本基金非现金基金资产的80%；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2）每个交易日日终，保持不低于基金资产净值5%的现金或者到期日在一年以内的政府债券，其中现金不包括结算备付金、存出保证金、应收申购款等；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3）本基金进入全国银行间同业市场进行债券回购的资金余额不得超过基金资产净值的40%，进入全国银行间同业市场中进行债券回购的最长期限为1 年，债券回购到期后不得展期；</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5）本基金与私募类证券资管产品及中国证监会认定的其他主体为交易对手开展逆回购交易的，可接受质押品的资质要求应当与基金合同约定的投资范围保持一致；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6）本基金资产总值不超过基金资产净值的140%；</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7）法律法规及中国证监会规定的和《基金合同》约定的其他投资限制。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4）、5）项外，因证券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（3）基金托管人根据有关法律法规的规定及基金合同的约定，对本协议第十五条第（11）项基金投资禁止行为进行监督。</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基金投资银行存款的，基金管理人应根据法律法规的规定及基金合同的约定，建立投资制度、审慎选择存款银行，做好风险控制；并按照基金托管人的要求配合基金托管人完成相关业务办理。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各类基金份额净值、根据基金管理人指令办理清算交收、相关信息披露和监督基金投资运作等行为。</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w:t>
      </w:r>
      <w:r>
        <w:rPr>
          <w:rFonts w:ascii="宋体" w:hAnsi="宋体"/>
          <w:sz w:val="24"/>
        </w:rPr>
        <w:lastRenderedPageBreak/>
        <w:t>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具有从事证券相关业务资格的会计师事务所进行验资，出具验资报告。出具的验资报告由参加验资的2名或2名以上中国注册会计师签字方为有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w:t>
      </w:r>
      <w:r>
        <w:rPr>
          <w:rFonts w:ascii="宋体" w:hAnsi="宋体"/>
          <w:sz w:val="24"/>
        </w:rPr>
        <w:lastRenderedPageBreak/>
        <w:t>金的任何账户进行本基金业务以外的活动。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（7）基金财产投资的有关有价凭证等的保管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月末、年中和年末估值复核与基金会计账目的核对同时进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w:t>
      </w:r>
      <w:r>
        <w:rPr>
          <w:rFonts w:ascii="宋体" w:hAnsi="宋体"/>
          <w:sz w:val="24"/>
        </w:rPr>
        <w:lastRenderedPageBreak/>
        <w:t>登记日、每年6月30日、12月31日的基金份额持有人名册。基金份额持有人名册的内容至少应包括持有人的名称和持有的基金份额。</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本协议适用中华人民共和国法律（不含港澳台地区法律）并从其解释。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3）基金管理人解散、依法被撤销、破产或由其他基金管理人接管基金管理权；</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26" w:name="_Toc231305829"/>
      <w:r>
        <w:rPr>
          <w:rFonts w:ascii="Times New Roman" w:hAnsi="Times New Roman"/>
          <w:sz w:val="30"/>
        </w:rPr>
        <w:lastRenderedPageBreak/>
        <w:t>二十三、对基金份额持有人的服务</w:t>
      </w:r>
      <w:bookmarkEnd w:id="26"/>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转换等业务。通过网上直销交易平台办理本基金A类基金份额的申购和定期定额投资业务的个人投资者将享受前端申购费率的优惠。具体优惠费率请参见公司网站列示的网上直销交易平台申购、定期定额投资费率表或相关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（四）基金转换业务</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（五）基金红利再投资</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收益分配方式是现金分红；基金份额持有人可对其持有的A类以及C类基金份额分别选择不同的收益分配方式。再投资红利按红利再投日（即除息日）除息后的基金份额净值自动转为基金份额，并免收申购费用。</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（六）定期定额投资计划</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（七）如本招募说明书存在任何您/贵机构无法理解的内容，请通过上述方式联系基金管理人。请确保投资前，您/贵机构已经全面理解了本招募说明书。</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27" w:name="_Toc231305830"/>
      <w:r>
        <w:rPr>
          <w:rFonts w:ascii="Times New Roman" w:hAnsi="Times New Roman"/>
          <w:sz w:val="30"/>
        </w:rPr>
        <w:lastRenderedPageBreak/>
        <w:t>二十四、其他应披露事项</w:t>
      </w:r>
      <w:bookmarkEnd w:id="27"/>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交银施罗德基金管理有限公司关于增加上海攀赢基金销售有限公司为旗下基金的销售机构的公告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2025-06-03</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交银施罗德基金管理有限公司关于增加华西证券股份有限公司为旗下基金的销售机构的公告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2025-06-16</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年政策性金融债指数证券投资基金招募说明书更新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年政策性金融债指数证券投资基金（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年政策性金融债指数证券投资基金（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年政策性金融债指数证券投资基金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年政策性金融债指数证券投资基金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交银施罗德基金管理有限公司关于增加上海联泰基金销售有限公司为旗下基金的销售机构的公告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2025-09-02</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年政策性金融债指数证券投资基金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年政策性金融债指数证券投资基金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年政策性金融债指数证券投资基金暂停及恢复大额申购（转换转入、定期定额投资）业务的公告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2026-01-23</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年政策性金融债指数证券投资基金分红公告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2026-01-27</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年政策性金融债指数证券投资基金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5A3D1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交银施罗德中债</w:t>
            </w:r>
            <w:r>
              <w:rPr>
                <w:rFonts w:ascii="Times New Roman" w:hAnsi="Times New Roman"/>
                <w:color w:val="000000"/>
                <w:kern w:val="0"/>
                <w:sz w:val="25"/>
                <w:szCs w:val="24"/>
              </w:rPr>
              <w:t>1-3</w:t>
            </w:r>
            <w:r>
              <w:rPr>
                <w:rFonts w:ascii="Times New Roman" w:hAnsi="Times New Roman"/>
                <w:color w:val="000000"/>
                <w:kern w:val="0"/>
                <w:sz w:val="25"/>
                <w:szCs w:val="24"/>
              </w:rPr>
              <w:t>年政策性金融债指数证券投资基金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3D1E" w:rsidRDefault="00827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28" w:name="_Toc231305831"/>
      <w:r>
        <w:rPr>
          <w:rFonts w:ascii="Times New Roman" w:hAnsi="Times New Roman"/>
          <w:sz w:val="30"/>
        </w:rPr>
        <w:lastRenderedPageBreak/>
        <w:t>二十五、招募说明书的存放及查阅方式</w:t>
      </w:r>
      <w:bookmarkEnd w:id="28"/>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827B98"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3D1E" w:rsidRDefault="00827B98">
      <w:pPr>
        <w:pStyle w:val="1"/>
        <w:snapToGrid w:val="0"/>
        <w:spacing w:beforeLines="0" w:before="240" w:after="240"/>
        <w:rPr>
          <w:rFonts w:ascii="宋体" w:hAnsi="宋体"/>
          <w:szCs w:val="30"/>
        </w:rPr>
      </w:pPr>
      <w:bookmarkStart w:id="29" w:name="_Toc231305832"/>
      <w:r>
        <w:rPr>
          <w:rFonts w:ascii="Times New Roman" w:hAnsi="Times New Roman"/>
          <w:sz w:val="30"/>
        </w:rPr>
        <w:lastRenderedPageBreak/>
        <w:t>二十六、备查文件</w:t>
      </w:r>
      <w:bookmarkEnd w:id="29"/>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（一）中国证监会准予交银施罗德中债1-3年政策性金融债指数证券投资基金募集注册的文件</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（二）《交银施罗德中债1-3年政策性金融债指数证券投资基金基金合同》</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（三）《交银施罗德中债1-3年政策性金融债指数证券投资基金托管协议》</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5A3D1E" w:rsidRDefault="00827B98">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（六）关于申请募集注册交银施罗德中债1-3年政策性金融债指数证券投资基金的法律意见书</w:t>
      </w:r>
    </w:p>
    <w:sectPr w:rsidR="005A3D1E">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C54" w:rsidRDefault="00827B98">
      <w:r>
        <w:separator/>
      </w:r>
    </w:p>
  </w:endnote>
  <w:endnote w:type="continuationSeparator" w:id="0">
    <w:p w:rsidR="00233C54" w:rsidRDefault="00827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D1E" w:rsidRDefault="005A3D1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D1E" w:rsidRDefault="00726CD1">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5A3D1E" w:rsidRDefault="00827B98">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26CD1">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D1E" w:rsidRDefault="005A3D1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D1E" w:rsidRDefault="00726CD1">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5A3D1E" w:rsidRDefault="00827B98">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726CD1">
                  <w:rPr>
                    <w:rFonts w:ascii="Times New Roman" w:hAnsi="Times New Roman"/>
                    <w:noProof/>
                    <w:kern w:val="0"/>
                    <w:sz w:val="18"/>
                    <w:szCs w:val="18"/>
                  </w:rPr>
                  <w:t>137</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C54" w:rsidRDefault="00827B98">
      <w:r>
        <w:separator/>
      </w:r>
    </w:p>
  </w:footnote>
  <w:footnote w:type="continuationSeparator" w:id="0">
    <w:p w:rsidR="00233C54" w:rsidRDefault="00827B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D1E" w:rsidRDefault="005A3D1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D1E" w:rsidRDefault="00827B98">
    <w:pPr>
      <w:pStyle w:val="a3"/>
      <w:jc w:val="right"/>
      <w:rPr>
        <w:rFonts w:ascii="宋体" w:hAnsi="宋体"/>
      </w:rPr>
    </w:pPr>
    <w:r>
      <w:rPr>
        <w:rFonts w:ascii="宋体" w:hAnsi="宋体" w:hint="eastAsia"/>
      </w:rPr>
      <w:t>交银施罗德中债1-3年政策性金融债指数证券投资基金招募说明书更新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D1E" w:rsidRDefault="005A3D1E">
    <w:pPr>
      <w:pStyle w:val="10"/>
      <w:jc w:val="right"/>
    </w:pPr>
  </w:p>
  <w:p w:rsidR="005A3D1E" w:rsidRDefault="005A3D1E">
    <w:pPr>
      <w:pStyle w:val="10"/>
      <w:jc w:val="right"/>
    </w:pPr>
  </w:p>
  <w:p w:rsidR="005A3D1E" w:rsidRDefault="005A3D1E">
    <w:pPr>
      <w:pStyle w:val="a3"/>
      <w:jc w:val="right"/>
    </w:pPr>
  </w:p>
  <w:p w:rsidR="005A3D1E" w:rsidRDefault="00827B98">
    <w:pPr>
      <w:pStyle w:val="a3"/>
      <w:jc w:val="right"/>
      <w:rPr>
        <w:rFonts w:ascii="宋体" w:hAnsi="宋体"/>
      </w:rPr>
    </w:pPr>
    <w:r>
      <w:rPr>
        <w:rFonts w:ascii="宋体" w:hAnsi="宋体" w:hint="eastAsia"/>
      </w:rPr>
      <w:t>交银施罗德中债1-3年政策性金融债指数证券投资基金招募说明书更新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D1E" w:rsidRDefault="005A3D1E">
    <w:pPr>
      <w:pStyle w:val="a3"/>
      <w:jc w:val="right"/>
    </w:pPr>
  </w:p>
  <w:p w:rsidR="005A3D1E" w:rsidRDefault="005A3D1E">
    <w:pPr>
      <w:pStyle w:val="a3"/>
      <w:jc w:val="right"/>
    </w:pPr>
  </w:p>
  <w:p w:rsidR="005A3D1E" w:rsidRDefault="005A3D1E">
    <w:pPr>
      <w:pStyle w:val="a3"/>
      <w:jc w:val="right"/>
    </w:pPr>
  </w:p>
  <w:p w:rsidR="005A3D1E" w:rsidRDefault="00827B98">
    <w:pPr>
      <w:pStyle w:val="a3"/>
      <w:jc w:val="right"/>
      <w:rPr>
        <w:rFonts w:ascii="宋体" w:hAnsi="宋体"/>
      </w:rPr>
    </w:pPr>
    <w:r>
      <w:rPr>
        <w:rFonts w:ascii="宋体" w:hAnsi="宋体" w:hint="eastAsia"/>
      </w:rPr>
      <w:t>交银施罗德中债1-3年政策性金融债指数证券投资基金招募说明书更新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3C54"/>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3D1E"/>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26CD1"/>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B98"/>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A434A0BE-6395-441F-965A-0E1B26EB8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138</Pages>
  <Words>14367</Words>
  <Characters>81897</Characters>
  <Application>Microsoft Office Word</Application>
  <DocSecurity>0</DocSecurity>
  <Lines>682</Lines>
  <Paragraphs>192</Paragraphs>
  <ScaleCrop>false</ScaleCrop>
  <Company>Microsoft</Company>
  <LinksUpToDate>false</LinksUpToDate>
  <CharactersWithSpaces>96072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2026-06-02T07:16:00Z</dcterms:created>
  <dcterms:modified xsi:type="dcterms:W3CDTF">2026-06-02T07:16:00Z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