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交银施罗德医药创新股票型证券投资基金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基金托管人：中国工商银行股份有限公司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231211955"/>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医药创新股票型证券投资基金（以下简称“本基金”）经2016年12月14日中国证券监督管理委员会（以下简称“中国证监会”）证监许可【2016】3086号文准予募集注册。本基金基金合同于2017年3月23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资产支持证券的特定风险；投资科创板股票的特定风险；投资本基金特有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本基金是一只股票型基金，其预期风险与预期收益高于混合型基金、债券型基金和货币市场基金，属于承担较高预期风险、预期收益较高的证券投资基金品种。</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"_Toc231211955"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_Toc231211955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"_Toc231211956"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_Toc231211956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"_Toc231211957"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_Toc231211957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"_Toc231211958"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_Toc231211958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"_Toc231211959"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_Toc231211959 \h </w:instrText>
      </w:r>
      <w:r>
        <w:rPr>
          <w:rFonts w:ascii="宋体" w:hAnsi="宋体"/>
          <w:sz w:val="24"/>
        </w:rPr>
        <w:fldChar w:fldCharType="separate"/>
      </w:r>
      <w:r>
        <w:rPr>
          <w:rFonts w:ascii="宋体" w:hAnsi="宋体"/>
          <w:sz w:val="24"/>
        </w:rPr>
        <w:t>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"_Toc231211960"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_Toc231211960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"_Toc231211961"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_Toc231211961 \h </w:instrText>
      </w:r>
      <w:r>
        <w:rPr>
          <w:rFonts w:ascii="宋体" w:hAnsi="宋体"/>
          <w:sz w:val="24"/>
        </w:rPr>
        <w:fldChar w:fldCharType="separate"/>
      </w:r>
      <w:r>
        <w:rPr>
          <w:rFonts w:ascii="宋体" w:hAnsi="宋体"/>
          <w:sz w:val="24"/>
        </w:rPr>
        <w:t>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"_Toc231211962"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_Toc231211962 \h </w:instrText>
      </w:r>
      <w:r>
        <w:rPr>
          <w:rFonts w:ascii="宋体" w:hAnsi="宋体"/>
          <w:sz w:val="24"/>
        </w:rPr>
        <w:fldChar w:fldCharType="separate"/>
      </w:r>
      <w:r>
        <w:rPr>
          <w:rFonts w:ascii="宋体" w:hAnsi="宋体"/>
          <w:sz w:val="24"/>
        </w:rPr>
        <w:t>58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"_Toc231211963"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_Toc231211963 \h </w:instrText>
      </w:r>
      <w:r>
        <w:rPr>
          <w:rFonts w:ascii="宋体" w:hAnsi="宋体"/>
          <w:sz w:val="24"/>
        </w:rPr>
        <w:fldChar w:fldCharType="separate"/>
      </w:r>
      <w:r>
        <w:rPr>
          <w:rFonts w:ascii="宋体" w:hAnsi="宋体"/>
          <w:sz w:val="24"/>
        </w:rPr>
        <w:t>59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"_Toc231211964"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_Toc231211964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"_Toc231211965"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_Toc231211965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"_Toc231211966"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_Toc231211966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"_Toc231211967"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_Toc231211967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"_Toc231211968"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_Toc231211968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"_Toc231211969"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_Toc231211969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"_Toc231211970"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_Toc231211970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"_Toc231211971"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_Toc231211971 \h </w:instrText>
      </w:r>
      <w:r>
        <w:rPr>
          <w:rFonts w:ascii="宋体" w:hAnsi="宋体"/>
          <w:sz w:val="24"/>
        </w:rPr>
        <w:fldChar w:fldCharType="separate"/>
      </w:r>
      <w:r>
        <w:rPr>
          <w:rFonts w:ascii="宋体" w:hAnsi="宋体"/>
          <w:sz w:val="24"/>
        </w:rPr>
        <w:t>106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"_Toc231211972"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_Toc231211972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"_Toc231211973"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_Toc231211973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"_Toc231211974"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_Toc231211974 \h </w:instrText>
      </w:r>
      <w:r>
        <w:rPr>
          <w:rFonts w:ascii="宋体" w:hAnsi="宋体"/>
          <w:sz w:val="24"/>
        </w:rPr>
        <w:fldChar w:fldCharType="separate"/>
      </w:r>
      <w:r>
        <w:rPr>
          <w:rFonts w:ascii="宋体" w:hAnsi="宋体"/>
          <w:sz w:val="24"/>
        </w:rPr>
        <w:t>117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"_Toc231211975"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_Toc231211975 \h </w:instrText>
      </w:r>
      <w:r>
        <w:rPr>
          <w:rFonts w:ascii="宋体" w:hAnsi="宋体"/>
          <w:sz w:val="24"/>
        </w:rPr>
        <w:fldChar w:fldCharType="separate"/>
      </w:r>
      <w:r>
        <w:rPr>
          <w:rFonts w:ascii="宋体" w:hAnsi="宋体"/>
          <w:sz w:val="24"/>
        </w:rPr>
        <w:t>125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"_Toc231211976"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_Toc231211976 \h </w:instrText>
      </w:r>
      <w:r>
        <w:rPr>
          <w:rFonts w:ascii="宋体" w:hAnsi="宋体"/>
          <w:sz w:val="24"/>
        </w:rPr>
        <w:fldChar w:fldCharType="separate"/>
      </w:r>
      <w:r>
        <w:rPr>
          <w:rFonts w:ascii="宋体" w:hAnsi="宋体"/>
          <w:sz w:val="24"/>
        </w:rPr>
        <w:t>127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"_Toc231211977"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_Toc231211977 \h </w:instrText>
      </w:r>
      <w:r>
        <w:rPr>
          <w:rFonts w:ascii="宋体" w:hAnsi="宋体"/>
          <w:sz w:val="24"/>
        </w:rPr>
        <w:fldChar w:fldCharType="separate"/>
      </w:r>
      <w:r>
        <w:rPr>
          <w:rFonts w:ascii="宋体" w:hAnsi="宋体"/>
          <w:sz w:val="24"/>
        </w:rPr>
        <w:t>144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"_Toc231211978"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_Toc231211978 \h </w:instrText>
      </w:r>
      <w:r>
        <w:rPr>
          <w:rFonts w:ascii="宋体" w:hAnsi="宋体"/>
          <w:sz w:val="24"/>
        </w:rPr>
        <w:fldChar w:fldCharType="separate"/>
      </w:r>
      <w:r>
        <w:rPr>
          <w:rFonts w:ascii="宋体" w:hAnsi="宋体"/>
          <w:sz w:val="24"/>
        </w:rPr>
        <w:t>161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"_Toc231211979"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_Toc231211979 \h </w:instrText>
      </w:r>
      <w:r>
        <w:rPr>
          <w:rFonts w:ascii="宋体" w:hAnsi="宋体"/>
          <w:sz w:val="24"/>
        </w:rPr>
        <w:fldChar w:fldCharType="separate"/>
      </w:r>
      <w:r>
        <w:rPr>
          <w:rFonts w:ascii="宋体" w:hAnsi="宋体"/>
          <w:sz w:val="24"/>
        </w:rPr>
        <w:t>163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"_Toc231211980"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_Toc231211980 \h </w:instrText>
      </w:r>
      <w:r>
        <w:rPr>
          <w:rFonts w:ascii="宋体" w:hAnsi="宋体"/>
          <w:sz w:val="24"/>
        </w:rPr>
        <w:fldChar w:fldCharType="separate"/>
      </w:r>
      <w:r>
        <w:rPr>
          <w:rFonts w:ascii="宋体" w:hAnsi="宋体"/>
          <w:sz w:val="24"/>
        </w:rPr>
        <w:t>166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"_Toc231211981"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_Toc231211981 \h </w:instrText>
      </w:r>
      <w:r>
        <w:rPr>
          <w:rFonts w:ascii="宋体" w:hAnsi="宋体"/>
          <w:sz w:val="24"/>
        </w:rPr>
        <w:fldChar w:fldCharType="separate"/>
      </w:r>
      <w:r>
        <w:rPr>
          <w:rFonts w:ascii="宋体" w:hAnsi="宋体"/>
          <w:sz w:val="24"/>
        </w:rPr>
        <w:t>167</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211956"/>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医药创新股票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医药创新股票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211957"/>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1、基金或本基金：指交银施罗德医药创新股票型证券投资基金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3、基金托管人或本基金托管人：指中国工商银行股份有限公司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4、《基金合同》或基金合同：指《交银施罗德医药创新股票型证券投资基金基金合同》及对基金合同的任何有效修订和补充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5、托管协议：指基金管理人与基金托管人就本基金签订之《交银施罗德医药创新股票型证券投资基金托管协议》及对该托管协议的任何有效修订和补充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6、招募说明书或《招募说明书》或本招募说明书：指《交银施罗德医药创新股票型证券投资基金招募说明书》及其更新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7、基金份额发售公告：指《交银施罗德医药创新股票型证券投资基金基金份额发售公告》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8、基金产品资料概要：指《交银施罗德医药创新股票型证券投资基金基金产品资料概要》及其更新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29、基金交易账户：指销售机构为投资人开立的、记录投资人通过该销售机构办理认购、申购、赎回、转换、定期定额投资及转托管等业务而引起的基金份额变动及结余情况的账户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54、A类基金份额：指在投资人申购时收取申购费用且不从本类别基金资产中计提销售服务费的基金份额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55、C类基金份额：指在投资人申购时不收取申购费用，并从本类别基金资产中计提销售服务费的基金份额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211958"/>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楼慧源女士:基金经理。复旦大学金融学硕士、浙江大学应用生物科学学士。12年证券投资行业从业经验。2014年至2015年任中国国际金融有限公司研究员。2015年加入交银施罗德基金管理有限公司，曾任行业分析师，现任权益部基金经理。现任交银施罗德医药创新股票型证券投资基金(2018年09月12日至今)、交银施罗德启汇混合型证券投资基金(2020年07月07日至今)、交银施罗德悦信精选混合型证券投资基金(2023年09月06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盖婷婷女士(2017年03月23日至2018年09月21日)。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211959"/>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名称：中国工商银行股份有限公司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成立时间：1984年1月1日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法定代表人：廖林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注册资本：人民币35,640,625.7089万元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联系电话：010-66105799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联系人：郭明</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截至2026年3月，中国工商银行资产托管部共有员工209人，平均年龄38岁，99%以上员工拥有大学本科以上学历，高管人员均拥有研究生以上学历或高级技术职称。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3月，中国工商银行共托管证券投资基金1577只。自2003年以来，本行连续二十二年获得香港《亚洲货币》、英国《全球托管人》、香港《财资》、美国《环球金融》、内地《证券时报》、《上海证券报》等境内外权威财经媒体评选的113项最佳托管银行大奖；是获得奖项最多的国内托管银行，优良的服务品质获得国内外金融领域的持续认可和广泛好评。</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（1）资产托管业务经营管理合法合规；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（2）促进实现资产托管业务发展战略和经营目标；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（3）资产托管业务风险管理的有效性和资产安全；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（4）提高资产托管经营效率和效果；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（5）业务记录、会计信息和其他经营管理相关信息的真实、准确、完整、及时。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（1）全面性原则。资产托管业务内部控制应贯穿决策、执行和监督全过程，覆盖资产托管业务各项业务流程和管理活动，覆盖所有机构、部门和从业人员。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（2）重要性原则。资产托管业务内部控制应在全面控制基础上，关注重要业务事项、重点业务环节和高风险领域。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（3）制衡性原则。资产托管业务内部控制应在机构设置、权责分配及业务流程等方面形成相互制约、相互监督的机制，同时兼顾运营效率。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（4）适应性原则。资产托管业务内部控制应当与经营规模、业务范围和风险特点相适应，并进行动态调整，以合理成本实现内部控制目标。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（5）审慎性原则。资产托管业务内部控制应坚持风险为本、审慎经营的理念，设立机构或开展各项经营管理活动均应坚持内控优先。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（6）成本效益原则。资产托管业务内部控制应权衡实施成本与预期效益，以合理成本实现有效控制。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资产托管业务内部控制纳入全行统一的内部控制体系。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（2）总行内控合规部负责托管业务的内控管理工作再监督，根据年度工作重点，定期或不定期在全行开展相关业务监督检查，将托管业务检查项目整合到全行业务监督检查工作中。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（3）总行内部审计局负责对资产托管业务的审计与评价工作。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（4）一级（直属）分行资产托管业务部门作为内部控制的执行机构，负责组织开展本机构内部控制的日常运行及自查工作，及时整改、纠正、处理存在的问题。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5.风险控制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6.业务连续性保障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211960"/>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本基金直销机构为基金管理人直销柜台以及基金管理人的网上直销交易平台（网站及手机APP，下同）。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个人投资者可以通过基金管理人网上直销交易平台办理开户、本基金的申购、赎回、转换以及定期定额投资等业务，具体交易细则请参阅基金管理人网站。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（4）名称：中国工商银行股份有限公司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法定代表人：廖林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网址：www.icbc.com.cn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（17）名称：五矿证券有限公司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住所：深圳市福田区金田路4028号荣超经贸中心47层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法定代表人：赵立功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公司客服电话：400180028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传真号：075582545500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网址：www.wkzq.com.cn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（25）名称：爱建证券有限责任公司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（26）名称：长江证券股份有限公司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（29）名称：联储证券有限责任公司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住所：深圳市福田区福田街道岗厦社区深南大道南侧金地中心大厦9楼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办公地址：北京市朝阳区安定路5号院3号楼中建财富国际中心27层联储证券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法定代表人：吕春卫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传真：010-86499401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祝博文、张婉婷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 400-620-6868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www.lczq.com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（47）名称：万联证券股份有限公司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注册地址：广州市天河区珠江东路11号18、19楼全层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办公地址：广东省广州市天河区珠江东路13号高德置地广场E座12层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 系 人：丁思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联系方式：020-83988334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公司官网：www.wlzq.cn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（55）名称：中邮证券有限责任公司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（58）名称：国元证券股份有限公司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（59）名称：天风证券股份有限公司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注册地址：湖北省武汉市东湖新技术开发区关东园路2号高科大厦4楼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办公地址：武汉市武昌区中南路99号保利广场A座37楼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法定代表人：余磊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联系电话：027-87107535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传真：027-87618863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联系人：王雅薇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客户服务电话：95391 / 400-800-5000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网址：www.tfzq.com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（60）名称：南京证券股份有限公司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（64）名称：东兴证券股份有限公司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（107）名称：北京度小满基金销售有限公司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（108）名称：上海华夏财富投资管理有限公司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（109）名称：珠海盈米基金销售有限公司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（110）名称：和耕传承基金销售有限公司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211961"/>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本基金由基金管理人依照《基金法》、《运作办法》、《销售办法》、基金合同及其他有关规定，并经中国证监会2016年12月14日证监许可[2016]3086号文准予募集注册。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本基金为契约型开放式股票型基金。基金存续期间为不定期。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本基金自2017年2月20日至2017年3月20日进行发售，本基金设立募集期共募集1,344,657,163.85份基金份额，有效认购户数为14,827户。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211962"/>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根据有关规定，本基金满足基金合同生效条件，基金合同已于2017年3月23日正式生效。自基金合同生效之日起，本基金管理人正式开始管理本基金。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211963"/>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个人投资者可以通过基金管理人网上直销交易平台办理开户、本基金A类基金份额及C类基金份额的申购、赎回、转换、定期定额投资等业务，具体交易细则请参阅基金管理人网站。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本基金A类基金份额已于2017年4月24日起开放申购、赎回业务。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本基金C类基金份额已于2021年11月5日起开放申购、赎回业务。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1年（含）—2年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投资者赎回A类基金份额，赎回金额的计算方法如下：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 = 10,000×1.0160×0.5% ＝ 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 = 10,000×1.0160-50.80 ＝ 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即：投资者赎回本基金10,000份A类基金份额，持有期限为30日，对应的赎回费率为0.5%，假设赎回当日A类基金份额净值是1.0160元，则其可得到的赎回金额为10,109.20元。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并依法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5、发生继续接受赎回申请将损害现有基金份额持有人利益的情形时，可暂停接受投资人的赎回申请。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2017年4月21日刊登公告自2017年4月24日起开通A类基金份额的定期定额投资计划业务，2021年11月2日刊登公告自2021年11月5日起增设C类基金份额并开通C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211964"/>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2017年8月23日刊登公告自2017年8月25日起开放A类基金份额的日常转换业务。本基金2021年12月20日刊登公告自2021年12月20日起开放C类基金份额的日常转换业务。本基金2025年8月26日刊登公告自2025年8月26日起开放开通同一基金不同类别基金份额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5、本基金管理人可以根据法律法规及基金合同的规定对上述转换费用收费方式和费率进行调整，并应于调整后的收费方式和费率在实施前依照《信息披露办法》的有关规定在中国证监会规定媒介上公告。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211965"/>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本基金将深度挖掘医药创新过程中产业的各类投资机会，精选医药创新主题的优质上市公司，在控制风险并保持基金资产良好的流动性的前提下，谋求基金资产的长期、稳定增值。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权证、资产支持证券、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资产（含存托凭证）占基金资产的80%-95%，其中投资于医药创新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研究优势，将严谨、规范化的选股方法与积极主动的投资风格相结合，在经济转型大背景下，深入研究医药创新行业的发展趋势，积极挖掘不同子行业和子行业景气度新变化下的个股投资机会，通过团队对个股深入的基本面研究和细致的实地调研，精选个股，以谋求超额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本基金管理人的股票投资具体分以下几个层次进行：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（1）医药创新主题的定义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指的医药创新主题是指沪深两市中涉及医药创新领域的上市公司，包括研发、生产、销售创新药的医药领域企业以及应用于诊疗技术创新以及精准医疗技术的医疗技术领域企业（涵盖化学制药行业、中药行业、生物制品行业、医药商业行业、医疗器械行业、医疗服务行业）。此外，随着医改的不断深入以及互联网医疗的不断进步与发展，本基金还将关注不断涌现的新商业模式，投资受益于医药创新产业链的其他优质企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相关业务涉及本基金所界定的医药创新领域范围内的上市公司，以及未来相关业务转型成为医药创新领域的上市公司也是本基金的关注重点，一并纳入本基金的投资范围。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如果随着医药行业的变化及发展、政策或市场环境变化导致本基金对医药创新领域的界定范围发生变动，本基金可调整上述界定标准。本基金由于上述原因调整界定范围应及时告知基金托管人，并在更新的招募说明书中进行公告。若因本基金界定医药创新领域的方法调整或者上市公司经营发生变化等原因导致本基金持有的医药创新主题相关证券的比例低于非现金基金资产的80%，本基金将在三十个交易日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（2）股票选择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本基金将充分发挥研究团队自下而上的选股能力，基于对个股深入的基本面研究和细致的实地调研，精选股票构建股票投资组合。具体分以下几个层次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盈利能力指标（如P/E、P/Cash Flow、P/FCF、P/S、P/EBIT等）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经营效率指标（如ROE、ROA、Return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财务状况指标（如D/A、流动比率等）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如PE、PB、EV/EBITDA、DCF模型等）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最后，本基金根据对个股价值的评估和市场机会的判断构建股票组合，其中投资于医药创新主题相关证券的比例不低于非现金基金资产的80%。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（3）收益率曲线配置策略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（6）可转换债券投资策略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4、权证投资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5、资产支持证券投资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6、股指期货投资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（1）股票资产（含存托凭证）占基金资产的80%-95%，其中投资于医药创新主题相关证券的比例不低于非现金基金资产的80%；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（6）本基金管理人管理的全部基金持有的同一权证，不得超过该权证的10%；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（15）本基金若投资股指期货，则：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12）、（19）、（20）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85%×中证医药卫生指数收益率+15%×中证综合债券指数收益率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中证医药卫生指数是由中证指数有限公司编制并发布。该指数为反映沪深A股医药卫生行业的整体表现，将中证800 指数800 只样本股中的全部医药卫生行业成份股编制而成，综合反映了A 股市场的医药卫生行业整体表现。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本基金托管人中国工商银行股份有限公司根据本基金合同规定，于2026年04月20日复核了本报告中的财务指标、净值表现和投资组合报告等内容，保证复核内容不存在虚假记载、误导性陈述或者重大遗漏。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本投资组合报告期为2026年01月01日起至03月31日，所载财务数据未经审计师审计。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1,615,989,650.38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1,615,989,650.38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147,369,427.53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50,013,740.08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1,813,372,817.99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1,207,526,650.52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66.91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15,560,651.20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372,796,250.24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19,839,090.29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1,615,989,650.38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89.55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1,812,175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177,774,367.50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2,924,425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161,486,748.50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百利天恒</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489,712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136,139,936.00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科伦药业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3,833,490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132,983,768.10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荣昌生物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844,267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108,716,261.59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三生国健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896,760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67,777,120.80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凯莱英</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547,827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60,682,796.79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美迪西</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894,488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55,816,051.20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688428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诺诚健华</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1,990,720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53,789,254.40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泽璟制药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539,092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53,262,289.60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713,922.30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47,027,450.79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2,272,366.99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50,013,740.08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211966"/>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（1）交银医药创新A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96.29%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43.17%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2017年度（自基金合同生效日起至2017年12月31日）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（2）交银医药创新C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2021年度（自基金份额类别首次确认起至2021年12月31日）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注：本基金的业绩比较基准为85%×中证医药卫生指数收益率+15%×中证综合债券指数收益率，每日进行再平衡过程。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交银施罗德医药创新股票型证券投资基金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（2017年3月23日至2026年03月31日）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（1）交银医药创新A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（2）交银医药创新C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w:t>
      </w:r>
      <w:bookmarkStart w:id="29" w:name="_GoBack"/>
      <w:bookmarkEnd w:id="29"/>
      <w:r>
        <w:rPr>
          <w:rFonts w:ascii="宋体" w:hAnsi="宋体"/>
          <w:sz w:val="24"/>
        </w:rPr>
        <w:t>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211967"/>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211968"/>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基金所拥有的股票、债券、衍生工具和其它投资等持续以公允价值计量的金融资产及负债。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（4）交易所市场挂牌转让的资产支持证券和私募债券，采用估值技术确定公允价值。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2、证券交易所发行未上市期间的有价证券应区分如下情况处理：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（2）首次公开发行未上市的股票和权证，采用估值技术确定公允价值；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（4）交易所市场发行未上市或未挂牌转让的债券，采用估值技术确定公允价值。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的约定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4、法律法规或中国证监会规定的和基金合同认定的其它情形。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211969"/>
      <w:r>
        <w:rPr>
          <w:rFonts w:ascii="Times New Roman" w:hAnsi="Times New Roman"/>
          <w:sz w:val="30"/>
        </w:rPr>
        <w:t>十四、基金的收益与分配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211970"/>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基金管理费按基金资产净值的1.2%年费率计提。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在通常情况下，基金管理费按前一日基金资产净值1.2%年费率计提。计算方法如下：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H＝E×1.2%÷当年天数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基金托管费按基金资产净值的 0.2%年费率计提。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在通常情况下，基金托管费按前一日基金资产净值的0.2%年费率计提。计算方法如下：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和基金托管人可根据基金发展情况调整基金管理费率、基金托管费率、销售服务费率等相关费率。调整基金管理费率、基金托管费率，须召开基金份额持有人大会。基金管理人必须依照有关规定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211971"/>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211972"/>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13、基金管理人在本基金投资非公开发行股票后2个交易日内，在中国证监会指定媒介披露所投资非公开发行股票的名称、数量、总成本、账面价值，以及总成本和账面价值占基金资产净值的比例、锁定期等信息。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211973"/>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211974"/>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1、本基金为股票型基金，将维持较高的股票持仓比例，如果股票市场出现整体下跌，本基金的净值表现将受到影响。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211975"/>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3、本基金作为被合并方与其他基金进行合并的；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211976"/>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（12）从基金管理人或其委托的登记机构处接收并保存基金份额持有人名册；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同一类别的每份基金份额具有同等的合法权益。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（3）依法并按照基金合同和招募说明书的规定申请赎回或转让其持有的基金份额；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1）调低除基金管理费、基金托管费之外的其他应由本基金或基金份额持有人承担的费用；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3）在法律法规和《基金合同》规定的范围内，且在对现有基金份额持有人利益无实质性不利影响的前提下调整本基金的申购费率、调低赎回费率及销售服务费率、变更或增加收费方式；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（3）本基金作为被合并方与其他基金进行合并的；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211977"/>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 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 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 （021）61055034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联系人：郭佳敏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名称：中国工商银行股份有限公司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住所：北京市西城区复兴门内大街55号（100032）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法定代表人：陈四清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电话：（010）66105799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传真：（010）66105798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联系人：洪渊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成立时间：1984年1月1日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注册资本：人民币35,640,625.71万元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批准设立机关和设立文号：国务院《关于中国人民银行专门行使中央银行职能的决定》（国发[1983]146号）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权证、资产支持证券、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如法律法规或监管机构以后允许基金投资其他品种，基金管理人在履行适当程序后，可以将其纳入投资范围。本基金不得投资于相关法律、法规、部门规章及《基金合同》禁止投资的投资工具。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法律法规的规定及《基金合同》的约定，本基金的投资资产配置比例为：股票资产（含存托凭证）占基金资产的80%-95%，其中投资于医药创新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将拟投资的医药创新主题相关的证券库提供给基金托管人，基金管理人可以根据实际情况的变化，对上述证券库予以调整和更新，并通知基金托管人，基金托管人根据上述投资范围对基金的投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2）根据法律法规的规定及《基金合同》的约定，本基金投资组合遵循以下投资限制：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a、股票资产（含存托凭证）占基金资产的80%-95%，其中投资于医药创新主题相关证券的比例不低于非现金基金资产的80%；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b、每个交易日日终在扣除股指期货合约需缴纳的交易保证金后，保持不低于基金资产净值5％的现金或者到期日在一年以内的政府债券，其中现金不包括结算备付金、存出保证金和应收申购款等；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d、本基金管理人管理并由本基金托管人托管的全部基金持有一家公司发行的证券，不超过该证券的10%；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f、本基金管理人管理并由本基金托管人托管的全部基金持有的同一权证，不得超过该权证的10%；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g、本基金在任何交易日买入权证的总金额，不得超过上一交易日基金资产净值的0.5%；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j、本基金持有的同一(指同一信用级别)资产支持证券的比例，不得超过该资产支持证券规模的10%；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k、本基金管理人管理并由本基金托管人托管的全部基金投资于同一原始权益人的各类资产支持证券，不得超过其各类资产支持证券合计规模的10%；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l、本基金应投资于信用级别评级为BBB以上(含BBB)的资产支持证券。基金持有资产支持证券期间，如果其信用等级下降、不再符合投资标准，应在评级报告发布之日起3个月内予以全部卖出；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m、基金财产参与股票发行申购，本基金所申报的金额不超过本基金的总资产，本基金所申报的股票数量不超过拟发行股票公司本次发行股票的总量；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n、本基金进入全国银行间同业市场进行债券回购的资金余额不得超过基金资产净值的40%，本基金在全国银行间同业市场中的债券回购最长期限为1年，债券回购到期后不得展期；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o、本基金若投资股指期货，则：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 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ii. 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iii. 本基金在任何交易日日终，持有的卖出期货合约价值不得超过基金持有的股票总市值的20%；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iv. 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v. 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p、本基金的基金资产总值不得超过基金资产净值的140%；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q、本基金持有的同一流通受限证券，其公允价值不得超过基金资产净值的10%；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r、本基金管理人管理并由本基金托管人托管的全部开放式基金（包括开放式基金以及处于开放期的定期开放基金）持有一家上市公司发行的可流通股票，不得超过该上市公司可流通股票的15%；本基金管理人管理并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s、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u、本基金投资存托凭证的比例限制依照境内上市交易的股票执行。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但须与基金托管人协商一致后方可纳入基金托管人投资监督范围。《基金法》及其他有关法律法规或监管部门取消上述限制的，如适用于本基金，基金管理人在履行适当程序后，基金不受上述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3）法规允许的基金投资比例调整期限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b、l、s、t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应当符合基金合同的约定。基金托管人对基金投资的监督和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根据法律法规的规定及《基金合同》的约定，本基金禁止从事下列行为：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1）基金托管人按以下方式对基金管理人参与银行间市场交易的交易对手资信风险控制措施进行监督。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向基金托管人提供符合法律法规及行业标准的银行间市场交易对手的名单。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参与银行间市场交易的核心交易对手为中国工商银行、中国银行、中国建设银行、中国农业银行和交通银行，基金管理人在通知基金托管人后，可以根据当时的市场情况调整核心交易对手名单。基金管理人有责任建立完善的内部流程防范交易对手的资信风险，在与核心交易对手以外的交易对手进行交易时，由于交易对手资信风险引起的损失不由托管人承担。基金托管人的监督责任仅限于根据已提供的名单，审核交易对手是否在名单内列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的信用风险主要包括存款银行的信用等级、存款银行的支付能力等涉及到存款银行选择方面的风险。本基金核心存款银行名单为中国工商银行、中国银行、中国建设银行、中国农业银行和交通银行，本基金投资除核心存款银行以外的银行存款出现由于存款银行信用风险而造成的损失时，该损失不由托管人承担。基金管理人在通知基金托管人后，可以根据当时的市场情况对于核心存款银行名单进行调整。基金托管人的监督责任仅限于根据已提供的名单，审核核心存款银行是否在名单内列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1）基金投资流通受限证券，应遵守《关于基金投资非公开发行股票等流通受限证券有关问题的通知》规定。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基金资产净值的比例、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依据交易程序尚未成交的且基金托管人在交易前能够监控的投资指令，基金托管人发现该投资指令违反关法律法规规定或者违反《基金合同》约定的，应当拒绝执行，立即通知基金管理人，并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律法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证券账户、协助开立股指期货业务相关账户及交易编码、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（3）基金托管人按照规定开设基金财产的资金账户、证券账户，协助开立股指期货业务相关账户及交易编码。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募集期内销售机构按基金销售服务协议的约定，将认购资金划入基金管理人在具有托管资格的商业银行开设的交银施罗德基金管理有限公司基金认购专户。该账户由基金管理人开立并管理。基金募集期满，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划入基金托管人为基金开立的资产托管专户中，基金托管人在收到资金当日出具确认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若基金募集期限届满，未能达到《基金合同》生效的条件，由基金管理人按规定办理退款事宜。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3、基金的银行账户的开立和管理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基金托管人以基金托管人的名义在其营业机构开设资产托管专户，保管基金的银行存款。该账户的开设和管理由基金托管人承担。本基金的一切货币收支活动，均需通过基金托管人的资产托管专户进行。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资产托管专户的开立和使用，限于满足开展本基金业务的需要。基金托管人和基金管理人不得假借本基金的名义开立其他任何银行账户；亦不得使用基金的任何银行账户进行本基金业务以外的活动。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基金托管人负责以基金的名义在中央国债登记结算有限责任公司开设银行间债券市场债券托管自营账户，并由基金托管人负责基金的债券的后台匹配及资金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2）基金管理人和基金托管人应一起负责为基金对外签订全国银行间债券市场回购主协议，正本由基金托管人保管，基金管理人保存副本。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（五）基金资产净值计算和会计复核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（1）基金资产净值的计算、复核的时间和程序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价值。各类基金份额的基金份额净值是指计算日该类基金份额的基金资产净值除以该计算日该类基金份额总份额后的数值。各类基金份额的基金份额净值的计算均保留到小数点后4位，小数点后第5位四舍五入，由此产生的误差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工作日对基金资产估值。估值原则应符合《基金合同》、《证券投资基金会计核算业务指引》及其他法律、法规的规定。用于基金信息披露的各类基金份额的基金资产净值和基金份额净值由基金管理人负责计算，基金托管人复核。基金管理人应于每个工作日交易结束后计算当日各类基金份额的基金份额资产净值和基金份额净值并以双方认可的方式发送给基金托管人。基金托管人对净值计算结果复核后以双方认可的方式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管理人计算并公告各类基金份额的基金资产净值和基金份额净值，基金托管人复核、审查基金管理人计算各类基金份额的基金资产净值和基金份额净值。因此，本基金的会计责任方是基金管理人，就与本基金有关的会计问题，如经相关各方在平等基础上充分讨论后，仍无法达成一致的意见，按照基金管理人对各类基金份额的基金资产净值和基金份额净值的计算结果对外予以公布。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基金所拥有的股票、债券、衍生工具和其它投资等持续以公允价值计量的金融资产及负债。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c、交易所市场上市交易的可转换债券，按估值日收盘价减去可转换债券收盘价中所含债券应收利息后得到的净价进行估值；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d、交易所市场挂牌转让的资产支持证券和私募债券，采用估值技术确定公允价值。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2）证券交易所发行未上市期间的有价证券应区分如下情况处理：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b、首次公开发行未上市的股票和权证，采用估值技术确定公允价值；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d、交易所市场发行未上市或未挂牌转让的债券，采用估值技术确定公允价值。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3、估值差错处理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证券、期货交易所及其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5、基金定期报告的编制和复核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基金招募说明书、基金产品资料概要。基金管理人在季度结束之日起15个工作日内完成季度报告编制并公告；在上半年终了后两个月内完成中期报告编制并公告；在每年结束后三个月内完成年度报告编制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月度报告完成当日，对报告加盖公章后，以加密传真方式将有关报告提供基金托管人复核；基金托管人在3个工作日内进行复核，并将复核结果及时书面通知基金管理人。基金管理人在季度报告完成当日，将有关报告提供基金托管人复核，基金托管人在收到后7个工作日内进行复核，并将复核结果书面通知基金管理人。基金管理人在中期报告完成当日，将有关报告提供基金托管人复核，基金托管人在收到后30日内进行复核，并将复核结果书面通知基金管理人。基金管理人在年度报告完成当日，将有关报告提供基金托管人复核，基金托管人在收到后45日内复核，并将复核结果书面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基金登记机构根据基金管理人的指令编制和保管，基金份额登记机构的保存期限自基金账户销户之日起不得少于20年。基金管理人和基金托管人应按照目前相关规则分别保管基金份额持有人名册。保管方式可以采用电子或文档的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基金托管人以电子版形式妥善保管基金份额持有人名册，并定期刻成光盘备份，保存期限为15年。基金托管人不得将所保管的基金份额持有人名册用于基金托管业务以外的其他用途，并应遵守保密义务。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在北京市，仲裁裁决是终局性的并对相关各方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（2）基金托管人解散、依法被撤销、破产或有其他基金托管人接管基金资产；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（3）基金管理人解散、依法被撤销、破产或有其他基金管理人接管基金管理权；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211978"/>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转换和定期定额投资及本基金C类基金份额的申购、赎回、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211979"/>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交银施罗德基金管理有限公司关于交银施罗德医药创新股票型证券投资基金暂停及恢复大额申购（转换转入、定期定额投资）业务的公告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交银施罗德基金管理有限公司关于交银施罗德医药创新股票型证券投资基金分红公告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交银施罗德基金管理有限公司关于交银施罗德医药创新股票型证券投资基金暂停及恢复大额申购（转换转入、定期定额投资）业务的公告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交银施罗德基金管理有限公司关于交银施罗德医药创新股票型证券投资基金分红公告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交银施罗德医药创新股票型证券投资基金2026年第1季度报告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211980"/>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1211981"/>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（一）中国证监会准予交银施罗德医药创新股票型证券投资基金募集注册的文件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（二）《交银施罗德医药创新股票型证券投资基金基金合同》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（三）《交银施罗德医药创新股票型证券投资基金托管协议》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（六）关于申请募集注册交银施罗德医药创新股票型证券投资基金的法律意见书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167</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交银施罗德医药创新股票型证券投资基金招募说明书更新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交银施罗德医药创新股票型证券投资基金招募说明书更新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交银施罗德医药创新股票型证券投资基金招募说明书更新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3E1B"/>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A1C"/>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3990"/>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052B8"/>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36111CD8"/>
    <w:rsid w:val="454F05B5"/>
    <w:rsid w:val="4D8212ED"/>
    <w:rsid w:val="53455B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168</Pages>
  <Words>17000</Words>
  <Characters>96904</Characters>
  <Lines>807</Lines>
  <Paragraphs>227</Paragraphs>
  <TotalTime>66</TotalTime>
  <ScaleCrop>false</ScaleCrop>
  <LinksUpToDate>false</LinksUpToDate>
  <CharactersWithSpaces>113677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2026-06-01T05:12:00Z</dcterms:created>
  <dc:creator>系统用户</dc:creator>
  <cp:lastModifiedBy>haotingting</cp:lastModifiedBy>
  <cp:lastPrinted>2013-02-18T03:10:00Z</cp:lastPrinted>
  <dcterms:modified xsi:type="dcterms:W3CDTF">2026-06-02T02:29:22Z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6EDD6531300848B0973DF49503E88ACE</vt:lpwstr>
  </property>
</Properties>
</file>