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F46927">
      <w:pPr>
        <w:rPr>
          <w:sz w:val="32"/>
        </w:rPr>
      </w:pPr>
    </w:p>
    <w:p w:rsidR="00C92FC0" w:rsidRPr="00EB07BC" w:rsidRDefault="00F46927">
      <w:pPr>
        <w:rPr>
          <w:sz w:val="32"/>
        </w:rPr>
      </w:pPr>
    </w:p>
    <w:p w:rsidR="00C92FC0" w:rsidRPr="00EB07BC" w:rsidRDefault="00F46927">
      <w:pPr>
        <w:rPr>
          <w:sz w:val="32"/>
        </w:rPr>
      </w:pPr>
    </w:p>
    <w:p w:rsidR="005A54EF" w:rsidRDefault="005A54E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A54EF" w:rsidRDefault="005A54E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A54EF" w:rsidRDefault="005A54EF">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5A54EF" w:rsidRDefault="00D73F2E">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交银施罗德稳健配置混合型证券投资基金</w:t>
      </w:r>
    </w:p>
    <w:p w:rsidR="005A54EF" w:rsidRDefault="00D73F2E">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5A54EF" w:rsidRDefault="005A54EF">
      <w:pPr>
        <w:snapToGrid w:val="0"/>
        <w:spacing w:line="360" w:lineRule="auto"/>
        <w:jc w:val="center"/>
        <w:rPr>
          <w:rFonts w:ascii="宋体" w:hAnsi="宋体"/>
          <w:b/>
          <w:sz w:val="30"/>
          <w:szCs w:val="30"/>
        </w:rPr>
      </w:pPr>
    </w:p>
    <w:p w:rsidR="005A54EF" w:rsidRDefault="005A54E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54EF" w:rsidRDefault="005A54E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54EF" w:rsidRDefault="005A54E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54EF" w:rsidRDefault="005A54E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54EF" w:rsidRDefault="005A54E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54EF" w:rsidRDefault="005A54E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54EF" w:rsidRDefault="00D73F2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5A54EF" w:rsidRDefault="00D73F2E">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5A54EF" w:rsidRDefault="005A54E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54EF" w:rsidRDefault="005A54EF">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5A54EF" w:rsidRDefault="00D73F2E">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5A54EF" w:rsidRDefault="005A54EF">
      <w:pPr>
        <w:autoSpaceDE w:val="0"/>
        <w:autoSpaceDN w:val="0"/>
        <w:adjustRightInd w:val="0"/>
        <w:snapToGrid w:val="0"/>
        <w:spacing w:line="360" w:lineRule="auto"/>
        <w:ind w:left="1347" w:rightChars="6" w:right="13"/>
        <w:rPr>
          <w:rFonts w:ascii="宋体" w:hAnsi="宋体"/>
          <w:kern w:val="0"/>
          <w:sz w:val="32"/>
          <w:szCs w:val="32"/>
        </w:rPr>
        <w:sectPr w:rsidR="005A54EF">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5A54EF" w:rsidRDefault="00D73F2E">
      <w:pPr>
        <w:pStyle w:val="1"/>
        <w:snapToGrid w:val="0"/>
        <w:spacing w:beforeLines="0" w:before="240" w:after="240"/>
        <w:rPr>
          <w:rFonts w:ascii="宋体" w:hAnsi="宋体"/>
          <w:kern w:val="0"/>
        </w:rPr>
      </w:pPr>
      <w:bookmarkStart w:id="0" w:name="_Toc324920538"/>
      <w:bookmarkStart w:id="1" w:name="_Toc496884613"/>
      <w:bookmarkStart w:id="2" w:name="_Toc231982077"/>
      <w:r>
        <w:rPr>
          <w:rFonts w:ascii="Times New Roman" w:hAnsi="Times New Roman"/>
          <w:kern w:val="0"/>
        </w:rPr>
        <w:lastRenderedPageBreak/>
        <w:t>重要提示</w:t>
      </w:r>
      <w:bookmarkEnd w:id="0"/>
      <w:bookmarkEnd w:id="1"/>
      <w:bookmarkEnd w:id="2"/>
    </w:p>
    <w:p w:rsidR="005A54EF" w:rsidRDefault="00D73F2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交银施罗德稳健配置混合型证券投资基金（以下简称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2006</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25</w:t>
      </w:r>
      <w:r>
        <w:rPr>
          <w:rFonts w:ascii="Times New Roman" w:hAnsi="Times New Roman"/>
          <w:kern w:val="0"/>
          <w:sz w:val="24"/>
        </w:rPr>
        <w:t>日中国证券监督管理委员会证监基金字【</w:t>
      </w:r>
      <w:r>
        <w:rPr>
          <w:rFonts w:ascii="Times New Roman" w:hAnsi="Times New Roman"/>
          <w:kern w:val="0"/>
          <w:sz w:val="24"/>
        </w:rPr>
        <w:t>2006</w:t>
      </w:r>
      <w:r>
        <w:rPr>
          <w:rFonts w:ascii="Times New Roman" w:hAnsi="Times New Roman"/>
          <w:kern w:val="0"/>
          <w:sz w:val="24"/>
        </w:rPr>
        <w:t>】</w:t>
      </w:r>
      <w:r>
        <w:rPr>
          <w:rFonts w:ascii="Times New Roman" w:hAnsi="Times New Roman"/>
          <w:kern w:val="0"/>
          <w:sz w:val="24"/>
        </w:rPr>
        <w:t>78</w:t>
      </w:r>
      <w:r>
        <w:rPr>
          <w:rFonts w:ascii="Times New Roman" w:hAnsi="Times New Roman"/>
          <w:kern w:val="0"/>
          <w:sz w:val="24"/>
        </w:rPr>
        <w:t>号文核准募集。本基金基金合同于</w:t>
      </w:r>
      <w:r>
        <w:rPr>
          <w:rFonts w:ascii="Times New Roman" w:hAnsi="Times New Roman"/>
          <w:kern w:val="0"/>
          <w:sz w:val="24"/>
        </w:rPr>
        <w:t>2006</w:t>
      </w:r>
      <w:r>
        <w:rPr>
          <w:rFonts w:ascii="Times New Roman" w:hAnsi="Times New Roman"/>
          <w:kern w:val="0"/>
          <w:sz w:val="24"/>
        </w:rPr>
        <w:t>年</w:t>
      </w:r>
      <w:r>
        <w:rPr>
          <w:rFonts w:ascii="Times New Roman" w:hAnsi="Times New Roman"/>
          <w:kern w:val="0"/>
          <w:sz w:val="24"/>
        </w:rPr>
        <w:t>6</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日正式生效。</w:t>
      </w:r>
    </w:p>
    <w:p w:rsidR="005A54EF" w:rsidRDefault="00D73F2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审核同意，但中国证监会对本基金作出的任何决定，均不表明其对本基金的价值和收益作出实质性判断或保证，也不表明投资于本基金没有风险。</w:t>
      </w:r>
    </w:p>
    <w:p w:rsidR="005A54EF" w:rsidRDefault="00D73F2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5A54EF" w:rsidRDefault="00D73F2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5A54EF" w:rsidRDefault="00D73F2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5A54EF" w:rsidRDefault="00D73F2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投资有风险，投资人在认（申）购本基金前应认真阅读本招募说明书及基金产品资料概要。基金的过往业绩并不代表未来表现。基金管理人管理的其他基金的业绩并不构成对本基金业绩表现的保证。</w:t>
      </w:r>
    </w:p>
    <w:p w:rsidR="005A54EF" w:rsidRDefault="00D73F2E">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5A54EF" w:rsidRDefault="005A54EF">
      <w:pPr>
        <w:autoSpaceDE w:val="0"/>
        <w:autoSpaceDN w:val="0"/>
        <w:adjustRightInd w:val="0"/>
        <w:snapToGrid w:val="0"/>
        <w:spacing w:before="51" w:line="360" w:lineRule="auto"/>
        <w:ind w:left="120" w:rightChars="6" w:right="13" w:firstLine="480"/>
        <w:rPr>
          <w:rFonts w:ascii="宋体" w:hAnsi="宋体"/>
          <w:kern w:val="0"/>
          <w:szCs w:val="24"/>
        </w:rPr>
        <w:sectPr w:rsidR="005A54EF">
          <w:headerReference w:type="default" r:id="rId14"/>
          <w:pgSz w:w="11920" w:h="16840"/>
          <w:pgMar w:top="1440" w:right="1680" w:bottom="280" w:left="1680" w:header="0" w:footer="1073" w:gutter="0"/>
          <w:pgNumType w:start="1"/>
          <w:cols w:space="720"/>
        </w:sectPr>
      </w:pPr>
    </w:p>
    <w:p w:rsidR="00F46927" w:rsidRPr="00F46927" w:rsidRDefault="00D73F2E" w:rsidP="00F46927">
      <w:pPr>
        <w:pStyle w:val="ad"/>
        <w:snapToGrid w:val="0"/>
        <w:spacing w:after="240" w:line="360" w:lineRule="auto"/>
        <w:jc w:val="center"/>
        <w:rPr>
          <w:rFonts w:ascii="宋体" w:hAnsi="宋体"/>
          <w:noProof/>
          <w:sz w:val="24"/>
        </w:rPr>
      </w:pPr>
      <w:r w:rsidRPr="00F46927">
        <w:rPr>
          <w:rFonts w:ascii="宋体" w:hAnsi="宋体"/>
          <w:color w:val="000000"/>
          <w:position w:val="-4"/>
          <w:sz w:val="24"/>
          <w:szCs w:val="30"/>
        </w:rPr>
        <w:lastRenderedPageBreak/>
        <w:t>目</w:t>
      </w:r>
      <w:r w:rsidRPr="00F46927">
        <w:rPr>
          <w:rFonts w:ascii="宋体" w:hAnsi="宋体"/>
          <w:color w:val="000000"/>
          <w:position w:val="-4"/>
          <w:sz w:val="24"/>
          <w:szCs w:val="30"/>
        </w:rPr>
        <w:tab/>
        <w:t>录</w:t>
      </w:r>
      <w:r w:rsidR="00F46927" w:rsidRPr="00F46927">
        <w:rPr>
          <w:rFonts w:ascii="宋体" w:hAnsi="宋体"/>
          <w:color w:val="000000"/>
          <w:position w:val="-4"/>
          <w:sz w:val="24"/>
          <w:szCs w:val="30"/>
        </w:rPr>
        <w:fldChar w:fldCharType="begin"/>
      </w:r>
      <w:r w:rsidR="00F46927" w:rsidRPr="00F46927">
        <w:rPr>
          <w:rFonts w:ascii="宋体" w:hAnsi="宋体"/>
          <w:color w:val="000000"/>
          <w:position w:val="-4"/>
          <w:sz w:val="24"/>
          <w:szCs w:val="30"/>
        </w:rPr>
        <w:instrText xml:space="preserve"> TOC \o "1-3" \f - \h \t "-1" </w:instrText>
      </w:r>
      <w:r w:rsidR="00F46927" w:rsidRPr="00F46927">
        <w:rPr>
          <w:rFonts w:ascii="宋体" w:hAnsi="宋体"/>
          <w:color w:val="000000"/>
          <w:position w:val="-4"/>
          <w:sz w:val="24"/>
          <w:szCs w:val="30"/>
        </w:rPr>
        <w:fldChar w:fldCharType="separate"/>
      </w:r>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77" w:history="1">
        <w:r w:rsidRPr="00F46927">
          <w:rPr>
            <w:rStyle w:val="aa"/>
            <w:rFonts w:ascii="宋体" w:hAnsi="宋体" w:hint="eastAsia"/>
            <w:noProof/>
            <w:kern w:val="0"/>
            <w:sz w:val="24"/>
          </w:rPr>
          <w:t>重要提示</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_Toc231982077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78" w:history="1">
        <w:r w:rsidRPr="00F46927">
          <w:rPr>
            <w:rStyle w:val="aa"/>
            <w:rFonts w:ascii="宋体" w:hAnsi="宋体" w:hint="eastAsia"/>
            <w:noProof/>
            <w:sz w:val="24"/>
          </w:rPr>
          <w:t>一、绪言</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_Toc231982078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3</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79" w:history="1">
        <w:r w:rsidRPr="00F46927">
          <w:rPr>
            <w:rStyle w:val="aa"/>
            <w:rFonts w:ascii="宋体" w:hAnsi="宋体" w:hint="eastAsia"/>
            <w:noProof/>
            <w:sz w:val="24"/>
          </w:rPr>
          <w:t>二、释义</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_Toc231982079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4</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80" w:history="1">
        <w:r w:rsidRPr="00F46927">
          <w:rPr>
            <w:rStyle w:val="aa"/>
            <w:rFonts w:ascii="宋体" w:hAnsi="宋体" w:hint="eastAsia"/>
            <w:noProof/>
            <w:sz w:val="24"/>
          </w:rPr>
          <w:t>三、基金管理人</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_Toc231982080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8</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81" w:history="1">
        <w:r w:rsidRPr="00F46927">
          <w:rPr>
            <w:rStyle w:val="aa"/>
            <w:rFonts w:ascii="宋体" w:hAnsi="宋体" w:hint="eastAsia"/>
            <w:noProof/>
            <w:sz w:val="24"/>
          </w:rPr>
          <w:t>四、基金托管人</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_Toc231982081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15</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82" w:history="1">
        <w:r w:rsidRPr="00F46927">
          <w:rPr>
            <w:rStyle w:val="aa"/>
            <w:rFonts w:ascii="宋体" w:hAnsi="宋体" w:hint="eastAsia"/>
            <w:noProof/>
            <w:sz w:val="24"/>
          </w:rPr>
          <w:t>五、相关服务机构</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_Toc231982082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18</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83" w:history="1">
        <w:r w:rsidRPr="00F46927">
          <w:rPr>
            <w:rStyle w:val="aa"/>
            <w:rFonts w:ascii="宋体" w:hAnsi="宋体" w:hint="eastAsia"/>
            <w:noProof/>
            <w:sz w:val="24"/>
          </w:rPr>
          <w:t>六、基金的历史沿革</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_Toc231982083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56</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84" w:history="1">
        <w:r w:rsidRPr="00F46927">
          <w:rPr>
            <w:rStyle w:val="aa"/>
            <w:rFonts w:ascii="宋体" w:hAnsi="宋体" w:hint="eastAsia"/>
            <w:noProof/>
            <w:sz w:val="24"/>
          </w:rPr>
          <w:t>七、基金合同的生效</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_Toc231982084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57</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85" w:history="1">
        <w:r w:rsidRPr="00F46927">
          <w:rPr>
            <w:rStyle w:val="aa"/>
            <w:rFonts w:ascii="宋体" w:hAnsi="宋体" w:hint="eastAsia"/>
            <w:noProof/>
            <w:sz w:val="24"/>
          </w:rPr>
          <w:t>八、基金份额的申购与赎回</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_Toc231982085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58</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86" w:history="1">
        <w:r w:rsidRPr="00F46927">
          <w:rPr>
            <w:rStyle w:val="aa"/>
            <w:rFonts w:ascii="宋体" w:hAnsi="宋体" w:hint="eastAsia"/>
            <w:noProof/>
            <w:sz w:val="24"/>
          </w:rPr>
          <w:t>九、基金的转换</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_Toc231982086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70</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87" w:history="1">
        <w:r w:rsidRPr="00F46927">
          <w:rPr>
            <w:rStyle w:val="aa"/>
            <w:rFonts w:ascii="宋体" w:hAnsi="宋体" w:hint="eastAsia"/>
            <w:noProof/>
            <w:sz w:val="24"/>
          </w:rPr>
          <w:t>十、基金的投资</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_Toc231982087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77</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88" w:history="1">
        <w:r w:rsidRPr="00F46927">
          <w:rPr>
            <w:rStyle w:val="aa"/>
            <w:rFonts w:ascii="宋体" w:hAnsi="宋体" w:hint="eastAsia"/>
            <w:noProof/>
            <w:sz w:val="24"/>
          </w:rPr>
          <w:t>十一、基金的业绩</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_Toc231982088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89</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89" w:history="1">
        <w:r w:rsidRPr="00F46927">
          <w:rPr>
            <w:rStyle w:val="aa"/>
            <w:rFonts w:ascii="宋体" w:hAnsi="宋体" w:hint="eastAsia"/>
            <w:noProof/>
            <w:sz w:val="24"/>
          </w:rPr>
          <w:t>十二、基金的财产</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_Toc231982089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92</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90" w:history="1">
        <w:r w:rsidRPr="00F46927">
          <w:rPr>
            <w:rStyle w:val="aa"/>
            <w:rFonts w:ascii="宋体" w:hAnsi="宋体" w:hint="eastAsia"/>
            <w:noProof/>
            <w:sz w:val="24"/>
          </w:rPr>
          <w:t>十三、基金资产的估值</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_Toc231982090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93</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91" w:history="1">
        <w:r w:rsidRPr="00F46927">
          <w:rPr>
            <w:rStyle w:val="aa"/>
            <w:rFonts w:ascii="宋体" w:hAnsi="宋体" w:hint="eastAsia"/>
            <w:noProof/>
            <w:sz w:val="24"/>
          </w:rPr>
          <w:t>十四、基金收益与分配</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_Toc231982091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99</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92" w:history="1">
        <w:r w:rsidRPr="00F46927">
          <w:rPr>
            <w:rStyle w:val="aa"/>
            <w:rFonts w:ascii="宋体" w:hAnsi="宋体" w:hint="eastAsia"/>
            <w:noProof/>
            <w:sz w:val="24"/>
          </w:rPr>
          <w:t>十五、基金的费用与税收</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_Toc231982092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101</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93" w:history="1">
        <w:r w:rsidRPr="00F46927">
          <w:rPr>
            <w:rStyle w:val="aa"/>
            <w:rFonts w:ascii="宋体" w:hAnsi="宋体" w:hint="eastAsia"/>
            <w:noProof/>
            <w:sz w:val="24"/>
          </w:rPr>
          <w:t>十六、基金的会计与审计</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_Toc231982093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104</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94" w:history="1">
        <w:r w:rsidRPr="00F46927">
          <w:rPr>
            <w:rStyle w:val="aa"/>
            <w:rFonts w:ascii="宋体" w:hAnsi="宋体" w:hint="eastAsia"/>
            <w:noProof/>
            <w:sz w:val="24"/>
          </w:rPr>
          <w:t>十七、基金的信息披露</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_Toc231982094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105</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95" w:history="1">
        <w:r w:rsidRPr="00F46927">
          <w:rPr>
            <w:rStyle w:val="aa"/>
            <w:rFonts w:ascii="宋体" w:hAnsi="宋体" w:hint="eastAsia"/>
            <w:noProof/>
            <w:sz w:val="24"/>
          </w:rPr>
          <w:t>十八、风险揭示</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_Toc231982095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111</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96" w:history="1">
        <w:r w:rsidRPr="00F46927">
          <w:rPr>
            <w:rStyle w:val="aa"/>
            <w:rFonts w:ascii="宋体" w:hAnsi="宋体" w:hint="eastAsia"/>
            <w:noProof/>
            <w:sz w:val="24"/>
          </w:rPr>
          <w:t>十九、基金合同的终止与基金财产的清算</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_Toc231982096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118</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97" w:history="1">
        <w:r w:rsidRPr="00F46927">
          <w:rPr>
            <w:rStyle w:val="aa"/>
            <w:rFonts w:ascii="宋体" w:hAnsi="宋体" w:hint="eastAsia"/>
            <w:noProof/>
            <w:sz w:val="24"/>
          </w:rPr>
          <w:t>二十、基金合同内容摘要</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_Toc231982097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120</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98" w:history="1">
        <w:r w:rsidRPr="00F46927">
          <w:rPr>
            <w:rStyle w:val="aa"/>
            <w:rFonts w:ascii="宋体" w:hAnsi="宋体" w:hint="eastAsia"/>
            <w:noProof/>
            <w:sz w:val="24"/>
          </w:rPr>
          <w:t>二十一、托管协议的内容摘要</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_Toc231982098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135</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099" w:history="1">
        <w:r w:rsidRPr="00F46927">
          <w:rPr>
            <w:rStyle w:val="aa"/>
            <w:rFonts w:ascii="宋体" w:hAnsi="宋体" w:hint="eastAsia"/>
            <w:noProof/>
            <w:sz w:val="24"/>
          </w:rPr>
          <w:t>二十二、对基金份额持有人的服务</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_Toc231982099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144</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100" w:history="1">
        <w:r w:rsidRPr="00F46927">
          <w:rPr>
            <w:rStyle w:val="aa"/>
            <w:rFonts w:ascii="宋体" w:hAnsi="宋体" w:hint="eastAsia"/>
            <w:noProof/>
            <w:sz w:val="24"/>
          </w:rPr>
          <w:t>二十三、其他应披露事项</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_Toc231982100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146</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101" w:history="1">
        <w:r w:rsidRPr="00F46927">
          <w:rPr>
            <w:rStyle w:val="aa"/>
            <w:rFonts w:ascii="宋体" w:hAnsi="宋体" w:hint="eastAsia"/>
            <w:noProof/>
            <w:sz w:val="24"/>
          </w:rPr>
          <w:t>二十四、招募说明书的存放及查阅方式</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_Toc231982101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148</w:t>
        </w:r>
        <w:r w:rsidRPr="00F46927">
          <w:rPr>
            <w:rFonts w:ascii="宋体" w:hAnsi="宋体"/>
            <w:noProof/>
            <w:sz w:val="24"/>
          </w:rPr>
          <w:fldChar w:fldCharType="end"/>
        </w:r>
      </w:hyperlink>
    </w:p>
    <w:p w:rsidR="00F46927" w:rsidRPr="00F46927" w:rsidRDefault="00F46927" w:rsidP="00F46927">
      <w:pPr>
        <w:pStyle w:val="10"/>
        <w:tabs>
          <w:tab w:val="right" w:leader="dot" w:pos="8550"/>
        </w:tabs>
        <w:spacing w:line="360" w:lineRule="auto"/>
        <w:rPr>
          <w:rFonts w:ascii="宋体" w:hAnsi="宋体" w:cstheme="minorBidi"/>
          <w:noProof/>
          <w:sz w:val="24"/>
        </w:rPr>
      </w:pPr>
      <w:hyperlink w:anchor="_Toc231982102" w:history="1">
        <w:r w:rsidRPr="00F46927">
          <w:rPr>
            <w:rStyle w:val="aa"/>
            <w:rFonts w:ascii="宋体" w:hAnsi="宋体" w:hint="eastAsia"/>
            <w:noProof/>
            <w:sz w:val="24"/>
          </w:rPr>
          <w:t>二十五、备查文件</w:t>
        </w:r>
        <w:r w:rsidRPr="00F46927">
          <w:rPr>
            <w:rFonts w:ascii="宋体" w:hAnsi="宋体"/>
            <w:noProof/>
            <w:sz w:val="24"/>
          </w:rPr>
          <w:tab/>
        </w:r>
        <w:r w:rsidRPr="00F46927">
          <w:rPr>
            <w:rFonts w:ascii="宋体" w:hAnsi="宋体"/>
            <w:noProof/>
            <w:sz w:val="24"/>
          </w:rPr>
          <w:fldChar w:fldCharType="begin"/>
        </w:r>
        <w:r w:rsidRPr="00F46927">
          <w:rPr>
            <w:rFonts w:ascii="宋体" w:hAnsi="宋体"/>
            <w:noProof/>
            <w:sz w:val="24"/>
          </w:rPr>
          <w:instrText xml:space="preserve"> PAGEREF _Toc231982102 \h </w:instrText>
        </w:r>
        <w:r w:rsidRPr="00F46927">
          <w:rPr>
            <w:rFonts w:ascii="宋体" w:hAnsi="宋体"/>
            <w:noProof/>
            <w:sz w:val="24"/>
          </w:rPr>
        </w:r>
        <w:r w:rsidRPr="00F46927">
          <w:rPr>
            <w:rFonts w:ascii="宋体" w:hAnsi="宋体"/>
            <w:noProof/>
            <w:sz w:val="24"/>
          </w:rPr>
          <w:fldChar w:fldCharType="separate"/>
        </w:r>
        <w:r w:rsidRPr="00F46927">
          <w:rPr>
            <w:rFonts w:ascii="宋体" w:hAnsi="宋体"/>
            <w:noProof/>
            <w:sz w:val="24"/>
          </w:rPr>
          <w:t>149</w:t>
        </w:r>
        <w:r w:rsidRPr="00F46927">
          <w:rPr>
            <w:rFonts w:ascii="宋体" w:hAnsi="宋体"/>
            <w:noProof/>
            <w:sz w:val="24"/>
          </w:rPr>
          <w:fldChar w:fldCharType="end"/>
        </w:r>
      </w:hyperlink>
    </w:p>
    <w:p w:rsidR="005A54EF" w:rsidRPr="00F46927" w:rsidRDefault="00F46927" w:rsidP="00F46927">
      <w:pPr>
        <w:pStyle w:val="ad"/>
        <w:snapToGrid w:val="0"/>
        <w:spacing w:after="240" w:line="360" w:lineRule="auto"/>
        <w:jc w:val="center"/>
        <w:rPr>
          <w:rFonts w:ascii="宋体" w:hAnsi="宋体"/>
          <w:color w:val="000000"/>
          <w:sz w:val="24"/>
        </w:rPr>
      </w:pPr>
      <w:r w:rsidRPr="00F46927">
        <w:rPr>
          <w:rFonts w:ascii="宋体" w:hAnsi="宋体"/>
          <w:color w:val="000000"/>
          <w:position w:val="-4"/>
          <w:sz w:val="24"/>
          <w:szCs w:val="30"/>
        </w:rPr>
        <w:fldChar w:fldCharType="end"/>
      </w:r>
      <w:bookmarkStart w:id="3" w:name="_GoBack"/>
      <w:bookmarkEnd w:id="3"/>
    </w:p>
    <w:p w:rsidR="005A54EF" w:rsidRDefault="005A54EF">
      <w:pPr>
        <w:autoSpaceDE w:val="0"/>
        <w:autoSpaceDN w:val="0"/>
        <w:adjustRightInd w:val="0"/>
        <w:snapToGrid w:val="0"/>
        <w:spacing w:line="360" w:lineRule="auto"/>
        <w:ind w:left="120" w:rightChars="6" w:right="13"/>
        <w:rPr>
          <w:rFonts w:ascii="宋体" w:hAnsi="宋体"/>
          <w:kern w:val="0"/>
          <w:szCs w:val="24"/>
        </w:rPr>
        <w:sectPr w:rsidR="005A54EF">
          <w:pgSz w:w="11920" w:h="16840"/>
          <w:pgMar w:top="1480" w:right="1680" w:bottom="280" w:left="1680" w:header="0" w:footer="1073" w:gutter="0"/>
          <w:cols w:space="720"/>
        </w:sectPr>
      </w:pPr>
    </w:p>
    <w:p w:rsidR="005A54EF" w:rsidRDefault="00D73F2E">
      <w:pPr>
        <w:pStyle w:val="1"/>
        <w:snapToGrid w:val="0"/>
        <w:spacing w:beforeLines="0" w:before="240" w:after="240"/>
        <w:rPr>
          <w:rFonts w:ascii="宋体" w:hAnsi="宋体"/>
          <w:szCs w:val="30"/>
        </w:rPr>
      </w:pPr>
      <w:bookmarkStart w:id="4" w:name="_Toc231982078"/>
      <w:r>
        <w:rPr>
          <w:rFonts w:ascii="Times New Roman" w:hAnsi="Times New Roman"/>
          <w:sz w:val="30"/>
        </w:rPr>
        <w:lastRenderedPageBreak/>
        <w:t>一、绪言</w:t>
      </w:r>
      <w:bookmarkEnd w:id="4"/>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稳健配置混合型证券投资基金招募说明书（更新）》（以下简称“本招募说明书”）依据《中华人民共和国证券投资基金法》、《公开募集证券投资基金运作管理办法》、《证券投资基金销售管理办法》、《公开募集证券投资基金信息披露管理办法》、《公开募集开放式证券投资基金流动性风险管理规定》（以下简称“《流动性规定》”）和其他相关法律法规的规定以及《交银施罗德稳健配置混合型证券投资基金基金合同》（以下简称“基金合同”）编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5" w:name="_Toc231982079"/>
      <w:r>
        <w:rPr>
          <w:rFonts w:ascii="Times New Roman" w:hAnsi="Times New Roman"/>
          <w:sz w:val="30"/>
        </w:rPr>
        <w:lastRenderedPageBreak/>
        <w:t>二、释义</w:t>
      </w:r>
      <w:bookmarkEnd w:id="5"/>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tbl>
      <w:tblPr>
        <w:tblW w:w="5000" w:type="pct"/>
        <w:tblCellMar>
          <w:left w:w="0" w:type="dxa"/>
          <w:right w:w="0" w:type="dxa"/>
        </w:tblCellMar>
        <w:tblLook w:val="0000" w:firstRow="0" w:lastRow="0" w:firstColumn="0" w:lastColumn="0" w:noHBand="0" w:noVBand="0"/>
      </w:tblPr>
      <w:tblGrid>
        <w:gridCol w:w="2167"/>
        <w:gridCol w:w="6503"/>
      </w:tblGrid>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基金或本基金</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指交银施罗德稳健配置混合型证券投资基金</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基金管理人或本基金管理人</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基金托管人或本基金托管人</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指中国建设银行股份有限公司</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指《交银施罗德稳健配置混合型证券投资基金基金合同》及对基金合同的任何有效修订和补充</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托管协议或本托管协议</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指基金管理人与基金托管人就本基金签订之《交银施罗德稳健配置混合型证券投资基金托管协议》及对该托管协议的任何有效修订和补充</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招募说明书或本招募说明书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指《交银施罗德稳健配置混合型证券投资基金招募说明书》及其更新</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基金份额发售公告</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指《交银施罗德稳健配置混合型证券投资基金份额发售公告》</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基金产品资料概要</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指《交银施罗德稳健配置混合型证券投资基金基金产品资料概要》及其更新</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法律法规</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指中国现行有效并公布实施的法律、行政法规、部门规章及规范性文件、地方性法规、地方政府规章、规范性文件及其他对基金合同当事人有约束力的决定、决议、通知等</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《基金法》</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w:t>
            </w:r>
            <w:r>
              <w:rPr>
                <w:rFonts w:ascii="Times New Roman" w:hAnsi="Times New Roman"/>
                <w:color w:val="000000"/>
                <w:kern w:val="0"/>
                <w:sz w:val="25"/>
                <w:szCs w:val="24"/>
              </w:rPr>
              <w:t>2003</w:t>
            </w:r>
            <w:r>
              <w:rPr>
                <w:rFonts w:ascii="Times New Roman" w:hAnsi="Times New Roman"/>
                <w:color w:val="000000"/>
                <w:kern w:val="0"/>
                <w:sz w:val="25"/>
                <w:szCs w:val="24"/>
              </w:rPr>
              <w:t>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28</w:t>
            </w:r>
            <w:r>
              <w:rPr>
                <w:rFonts w:ascii="Times New Roman" w:hAnsi="Times New Roman"/>
                <w:color w:val="000000"/>
                <w:kern w:val="0"/>
                <w:sz w:val="25"/>
                <w:szCs w:val="24"/>
              </w:rPr>
              <w:t>日经第十届全国人民代表大会常务委员会第五次会议通过，自</w:t>
            </w:r>
            <w:r>
              <w:rPr>
                <w:rFonts w:ascii="Times New Roman" w:hAnsi="Times New Roman"/>
                <w:color w:val="000000"/>
                <w:kern w:val="0"/>
                <w:sz w:val="25"/>
                <w:szCs w:val="24"/>
              </w:rPr>
              <w:t>2004</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日起实施的《中华人民共和国证券投资基金法》及颁布机关对其不时作出的修订</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《销售办法》</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2013</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月</w:t>
            </w:r>
            <w:r>
              <w:rPr>
                <w:rFonts w:ascii="Times New Roman" w:hAnsi="Times New Roman"/>
                <w:color w:val="000000"/>
                <w:kern w:val="0"/>
                <w:sz w:val="25"/>
                <w:szCs w:val="24"/>
              </w:rPr>
              <w:t>15</w:t>
            </w:r>
            <w:r>
              <w:rPr>
                <w:rFonts w:ascii="Times New Roman" w:hAnsi="Times New Roman"/>
                <w:color w:val="000000"/>
                <w:kern w:val="0"/>
                <w:sz w:val="25"/>
                <w:szCs w:val="24"/>
              </w:rPr>
              <w:t>日颁布、同年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日实施的《证券投资基金销售管理办法》及颁布机关对其不时作出的修订</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《信息披露办法》</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26</w:t>
            </w:r>
            <w:r>
              <w:rPr>
                <w:rFonts w:ascii="Times New Roman" w:hAnsi="Times New Roman"/>
                <w:color w:val="000000"/>
                <w:kern w:val="0"/>
                <w:sz w:val="25"/>
                <w:szCs w:val="24"/>
              </w:rPr>
              <w:t>日颁布、同年</w:t>
            </w:r>
            <w:r>
              <w:rPr>
                <w:rFonts w:ascii="Times New Roman" w:hAnsi="Times New Roman"/>
                <w:color w:val="000000"/>
                <w:kern w:val="0"/>
                <w:sz w:val="25"/>
                <w:szCs w:val="24"/>
              </w:rPr>
              <w:t>9</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日实施的《公开募集证券投资基金信息披露管理办法》及颁布机关对其不时作出的修订</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《流动性规定》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2017</w:t>
            </w:r>
            <w:r>
              <w:rPr>
                <w:rFonts w:ascii="Times New Roman" w:hAnsi="Times New Roman"/>
                <w:color w:val="000000"/>
                <w:kern w:val="0"/>
                <w:sz w:val="25"/>
                <w:szCs w:val="24"/>
              </w:rPr>
              <w:t>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日颁布、同年</w:t>
            </w:r>
            <w:r>
              <w:rPr>
                <w:rFonts w:ascii="Times New Roman" w:hAnsi="Times New Roman"/>
                <w:color w:val="000000"/>
                <w:kern w:val="0"/>
                <w:sz w:val="25"/>
                <w:szCs w:val="24"/>
              </w:rPr>
              <w:t>10</w:t>
            </w:r>
            <w:r>
              <w:rPr>
                <w:rFonts w:ascii="Times New Roman" w:hAnsi="Times New Roman"/>
                <w:color w:val="000000"/>
                <w:kern w:val="0"/>
                <w:sz w:val="25"/>
                <w:szCs w:val="24"/>
              </w:rPr>
              <w:t>月</w:t>
            </w:r>
            <w:r>
              <w:rPr>
                <w:rFonts w:ascii="Times New Roman" w:hAnsi="Times New Roman"/>
                <w:color w:val="000000"/>
                <w:kern w:val="0"/>
                <w:sz w:val="25"/>
                <w:szCs w:val="24"/>
              </w:rPr>
              <w:t>1</w:t>
            </w:r>
            <w:r>
              <w:rPr>
                <w:rFonts w:ascii="Times New Roman" w:hAnsi="Times New Roman"/>
                <w:color w:val="000000"/>
                <w:kern w:val="0"/>
                <w:sz w:val="25"/>
                <w:szCs w:val="24"/>
              </w:rPr>
              <w:t>日实施的《公开募集开放式证券投资基金流动性风险管理规定》及颁布机关对其不时做出的修订</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《运作办法》</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w:t>
            </w:r>
            <w:r>
              <w:rPr>
                <w:rFonts w:ascii="Times New Roman" w:hAnsi="Times New Roman"/>
                <w:color w:val="000000"/>
                <w:kern w:val="0"/>
                <w:sz w:val="25"/>
                <w:szCs w:val="24"/>
              </w:rPr>
              <w:t>2014</w:t>
            </w:r>
            <w:r>
              <w:rPr>
                <w:rFonts w:ascii="Times New Roman" w:hAnsi="Times New Roman"/>
                <w:color w:val="000000"/>
                <w:kern w:val="0"/>
                <w:sz w:val="25"/>
                <w:szCs w:val="24"/>
              </w:rPr>
              <w:t>年</w:t>
            </w:r>
            <w:r>
              <w:rPr>
                <w:rFonts w:ascii="Times New Roman" w:hAnsi="Times New Roman"/>
                <w:color w:val="000000"/>
                <w:kern w:val="0"/>
                <w:sz w:val="25"/>
                <w:szCs w:val="24"/>
              </w:rPr>
              <w:t>7</w:t>
            </w:r>
            <w:r>
              <w:rPr>
                <w:rFonts w:ascii="Times New Roman" w:hAnsi="Times New Roman"/>
                <w:color w:val="000000"/>
                <w:kern w:val="0"/>
                <w:sz w:val="25"/>
                <w:szCs w:val="24"/>
              </w:rPr>
              <w:t>月</w:t>
            </w:r>
            <w:r>
              <w:rPr>
                <w:rFonts w:ascii="Times New Roman" w:hAnsi="Times New Roman"/>
                <w:color w:val="000000"/>
                <w:kern w:val="0"/>
                <w:sz w:val="25"/>
                <w:szCs w:val="24"/>
              </w:rPr>
              <w:t>7</w:t>
            </w:r>
            <w:r>
              <w:rPr>
                <w:rFonts w:ascii="Times New Roman" w:hAnsi="Times New Roman"/>
                <w:color w:val="000000"/>
                <w:kern w:val="0"/>
                <w:sz w:val="25"/>
                <w:szCs w:val="24"/>
              </w:rPr>
              <w:t>日颁布、同年</w:t>
            </w:r>
            <w:r>
              <w:rPr>
                <w:rFonts w:ascii="Times New Roman" w:hAnsi="Times New Roman"/>
                <w:color w:val="000000"/>
                <w:kern w:val="0"/>
                <w:sz w:val="25"/>
                <w:szCs w:val="24"/>
              </w:rPr>
              <w:t>8</w:t>
            </w:r>
            <w:r>
              <w:rPr>
                <w:rFonts w:ascii="Times New Roman" w:hAnsi="Times New Roman"/>
                <w:color w:val="000000"/>
                <w:kern w:val="0"/>
                <w:sz w:val="25"/>
                <w:szCs w:val="24"/>
              </w:rPr>
              <w:t>月</w:t>
            </w:r>
            <w:r>
              <w:rPr>
                <w:rFonts w:ascii="Times New Roman" w:hAnsi="Times New Roman"/>
                <w:color w:val="000000"/>
                <w:kern w:val="0"/>
                <w:sz w:val="25"/>
                <w:szCs w:val="24"/>
              </w:rPr>
              <w:t>8</w:t>
            </w:r>
            <w:r>
              <w:rPr>
                <w:rFonts w:ascii="Times New Roman" w:hAnsi="Times New Roman"/>
                <w:color w:val="000000"/>
                <w:kern w:val="0"/>
                <w:sz w:val="25"/>
                <w:szCs w:val="24"/>
              </w:rPr>
              <w:t>日实施的《公开募集证券投资基金运作管理办法》及颁布机关对其不时作出的修订</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指中国证券监督管理委员会</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银行业监督管理机构</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指中国人民银行和</w:t>
            </w:r>
            <w:r>
              <w:rPr>
                <w:rFonts w:ascii="Times New Roman" w:hAnsi="Times New Roman"/>
                <w:color w:val="000000"/>
                <w:kern w:val="0"/>
                <w:sz w:val="25"/>
                <w:szCs w:val="24"/>
              </w:rPr>
              <w:t>/</w:t>
            </w:r>
            <w:r>
              <w:rPr>
                <w:rFonts w:ascii="Times New Roman" w:hAnsi="Times New Roman"/>
                <w:color w:val="000000"/>
                <w:kern w:val="0"/>
                <w:sz w:val="25"/>
                <w:szCs w:val="24"/>
              </w:rPr>
              <w:t>或中国银行业监督管理委员会</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基金合同当事人</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指受基金合同约束，根据基金合同享有权利并承担义务的法律主体，包括基金管理人、基金托管人和基金份额持有人</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个人投资者</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指合法持有现时有效的身份证件的中国公民，以及中国证监会批准的其他可以投资基金的自然人</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法可以投资开放式证券投资基金的、在中华人民共和国境内合法注册登记并存续或经有关政府部门批准设立并存续的企业法人、事业法人、社会团体或其他组织，以及中国证监会批准的其他可以投资基金的机构</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合格境外机构投资者</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指符合有关法律法规规定的条件，经中国证监会批准投资于中国证券市场，并取得国家外汇管理局额度批准的中国境外基金管理机构、保险公司、证券公司以及其他资产管理机构</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投资人</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指个人投资者、机构投资者和合格境外机构投资者的合称</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基金份额持有人</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指依基金合同或招募说明书合法取得基金份额的投资人</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基金销售业务</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指基金的认购、申购、赎回、转换、非交易过户、转托管及定期定额投资等业务</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销售机构</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以及符合《销售办法》和中国证监会规定的其他条件，取得基金销售业务资格并与基金管理人签订了基金销售服务协议，办理基金销售业务的机构，以及可通过上海证券交易所交易系统办理基金销售服务业务的会员单位</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会员单位</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指具有开放式基金销售资格，经上海证券交易所和中国证券登记结算有限责任公司认可的、可通过上海证券交易所交易系统办理开放式基金的认购、申购、赎回和转托管等业务的上海证券交易所会员单位</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注册登记业务</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指基金登记、存管、过户、清算和结算业务，具体内容包括投资人基金账户的建立和管理、基金份额注册登记、基金销售业务的确认、清算和结算、代理发放红利、建立并保管基金份额持有人名册等</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份额登记机构</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指办理注册登记业务的机构。基金的份额登记机构为交银施罗德基金管理有限公司或接受交银施罗德基金管理有限公司委托代为办理注册登记业务的机构</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基金账户</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指份额登记机构为投资人开立的、记录其持有的、基金管理人所管理的基金份额余额及其变动情况的账户</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基金交易账户</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指销售机构为投资人开立的、记录投资人通过该销售机构买卖交银施罗德稳健配置混合型证券投资基金基金份额的变动及结余情况的账户</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基金合同生效日</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指基金募集达到法律规定及基金合同规定的条件，基金管理人向中国证监会办理基金备案手续，中国证监会书面确认的日期</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基金合同终止日</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指基金合同规定的基金合同终止事由出现后，按照基金合同规定的程序终止基金合同的日期</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基金募集期限</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指自基金份额发售之日起至发售结束之日止的期间，最长不得超过</w:t>
            </w:r>
            <w:r>
              <w:rPr>
                <w:rFonts w:ascii="Times New Roman" w:hAnsi="Times New Roman"/>
                <w:color w:val="000000"/>
                <w:kern w:val="0"/>
                <w:sz w:val="25"/>
                <w:szCs w:val="24"/>
              </w:rPr>
              <w:t>3</w:t>
            </w:r>
            <w:r>
              <w:rPr>
                <w:rFonts w:ascii="Times New Roman" w:hAnsi="Times New Roman"/>
                <w:color w:val="000000"/>
                <w:kern w:val="0"/>
                <w:sz w:val="25"/>
                <w:szCs w:val="24"/>
              </w:rPr>
              <w:t>个月</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存续期</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指基金合同生效至终止之间的不定期期限</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日</w:t>
            </w:r>
            <w:r>
              <w:rPr>
                <w:rFonts w:ascii="Times New Roman" w:hAnsi="Times New Roman"/>
                <w:color w:val="000000"/>
                <w:kern w:val="0"/>
                <w:sz w:val="25"/>
                <w:szCs w:val="24"/>
              </w:rPr>
              <w:t>/</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指公历日</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月</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指公历月</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工作日、交易日</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指上海证券交易所、深圳证券交易所的正常交易日</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T</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指销售机构在规定时间受理投资人申购、赎回或其他业务申请的开放日</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T+n</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指自</w:t>
            </w:r>
            <w:r>
              <w:rPr>
                <w:rFonts w:ascii="Times New Roman" w:hAnsi="Times New Roman"/>
                <w:color w:val="000000"/>
                <w:kern w:val="0"/>
                <w:sz w:val="25"/>
                <w:szCs w:val="24"/>
              </w:rPr>
              <w:t>T</w:t>
            </w:r>
            <w:r>
              <w:rPr>
                <w:rFonts w:ascii="Times New Roman" w:hAnsi="Times New Roman"/>
                <w:color w:val="000000"/>
                <w:kern w:val="0"/>
                <w:sz w:val="25"/>
                <w:szCs w:val="24"/>
              </w:rPr>
              <w:t>日起第</w:t>
            </w:r>
            <w:r>
              <w:rPr>
                <w:rFonts w:ascii="Times New Roman" w:hAnsi="Times New Roman"/>
                <w:color w:val="000000"/>
                <w:kern w:val="0"/>
                <w:sz w:val="25"/>
                <w:szCs w:val="24"/>
              </w:rPr>
              <w:t>n</w:t>
            </w:r>
            <w:r>
              <w:rPr>
                <w:rFonts w:ascii="Times New Roman" w:hAnsi="Times New Roman"/>
                <w:color w:val="000000"/>
                <w:kern w:val="0"/>
                <w:sz w:val="25"/>
                <w:szCs w:val="24"/>
              </w:rPr>
              <w:t>个工作日</w:t>
            </w:r>
            <w:r>
              <w:rPr>
                <w:rFonts w:ascii="Times New Roman" w:hAnsi="Times New Roman"/>
                <w:color w:val="000000"/>
                <w:kern w:val="0"/>
                <w:sz w:val="25"/>
                <w:szCs w:val="24"/>
              </w:rPr>
              <w:t>(</w:t>
            </w:r>
            <w:r>
              <w:rPr>
                <w:rFonts w:ascii="Times New Roman" w:hAnsi="Times New Roman"/>
                <w:color w:val="000000"/>
                <w:kern w:val="0"/>
                <w:sz w:val="25"/>
                <w:szCs w:val="24"/>
              </w:rPr>
              <w:t>不包含</w:t>
            </w:r>
            <w:r>
              <w:rPr>
                <w:rFonts w:ascii="Times New Roman" w:hAnsi="Times New Roman"/>
                <w:color w:val="000000"/>
                <w:kern w:val="0"/>
                <w:sz w:val="25"/>
                <w:szCs w:val="24"/>
              </w:rPr>
              <w:t>T</w:t>
            </w:r>
            <w:r>
              <w:rPr>
                <w:rFonts w:ascii="Times New Roman" w:hAnsi="Times New Roman"/>
                <w:color w:val="000000"/>
                <w:kern w:val="0"/>
                <w:sz w:val="25"/>
                <w:szCs w:val="24"/>
              </w:rPr>
              <w:t>日</w:t>
            </w: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开放日</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指销售机构办理基金份额申购、赎回或其他业务的日期</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交易时间</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指开放日销售机构接受基金份额申购、赎回或其他交易申请的时间段</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业务规则</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指《交银施罗德基金管理有限公司开放式基金业务规则》，是规范基金管理人所管理的开放式证券投资基金注册登记运作方面的业务规则，由基金管理人和投资人共同遵守</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认购</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指在基金募集期间，投资人申请购买基金份额的行为</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指基金合同生效后，投资人根据基金合同和招募说明书的规定申请购买基金份额的行为</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指基金合同生效后，基金份额持有人按基金合同规定的条件要求基金管理人购回基金份额的行为</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场外或柜台</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指不通过上海证券交易所的交易系统办理基金份额认购、申购和赎回等业务的销售机构和场所</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场内或交易所</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指通过上海证券交易所的交易系统办理基金份额认购、申购和赎回等业务的销售机构和场所</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基金转换</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指基金份额持有人按照基金合同和基金管理人届时有效的公告在本基金份额与基金管理人管理的其他基金份额间的转换行为</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转托管</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指基金份额持有人在同一基金的不同销售机构之间实施的所持基金份额销售机构变更的操作</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巨额赎回</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本基金单个开放日，基金净赎回申请</w:t>
            </w:r>
            <w:r>
              <w:rPr>
                <w:rFonts w:ascii="Times New Roman" w:hAnsi="Times New Roman"/>
                <w:color w:val="000000"/>
                <w:kern w:val="0"/>
                <w:sz w:val="25"/>
                <w:szCs w:val="24"/>
              </w:rPr>
              <w:t>(</w:t>
            </w:r>
            <w:r>
              <w:rPr>
                <w:rFonts w:ascii="Times New Roman" w:hAnsi="Times New Roman"/>
                <w:color w:val="000000"/>
                <w:kern w:val="0"/>
                <w:sz w:val="25"/>
                <w:szCs w:val="24"/>
              </w:rPr>
              <w:t>赎回申请份额总数加上基金转换中转出申请份额总数后扣除申购申请份额总数及基金转换中转入申请份额总数后的余额</w:t>
            </w:r>
            <w:r>
              <w:rPr>
                <w:rFonts w:ascii="Times New Roman" w:hAnsi="Times New Roman"/>
                <w:color w:val="000000"/>
                <w:kern w:val="0"/>
                <w:sz w:val="25"/>
                <w:szCs w:val="24"/>
              </w:rPr>
              <w:t>)</w:t>
            </w:r>
            <w:r>
              <w:rPr>
                <w:rFonts w:ascii="Times New Roman" w:hAnsi="Times New Roman"/>
                <w:color w:val="000000"/>
                <w:kern w:val="0"/>
                <w:sz w:val="25"/>
                <w:szCs w:val="24"/>
              </w:rPr>
              <w:t>超过上一日基金总份额的</w:t>
            </w:r>
            <w:r>
              <w:rPr>
                <w:rFonts w:ascii="Times New Roman" w:hAnsi="Times New Roman"/>
                <w:color w:val="000000"/>
                <w:kern w:val="0"/>
                <w:sz w:val="25"/>
                <w:szCs w:val="24"/>
              </w:rPr>
              <w:t>10%</w:t>
            </w:r>
            <w:r>
              <w:rPr>
                <w:rFonts w:ascii="Times New Roman" w:hAnsi="Times New Roman"/>
                <w:color w:val="000000"/>
                <w:kern w:val="0"/>
                <w:sz w:val="25"/>
                <w:szCs w:val="24"/>
              </w:rPr>
              <w:t>时</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元</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指人民币元</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投资指令</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指基金管理人在运用基金财产进行投资时，向基金托管人发出的资金划拨及实物券调拨等指令</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定期定额投资计划</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指投资人通过向有关销售机构提出申请，约定每期申购日、扣款金额及扣款方式，由指定的销售机构在投资人指定资金账户内自动扣款并于每期约定申购日提交申购申请的一种投资方式</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基金收益</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指基金投资所得红利、股息、债券利息、买卖证券价差、银行存款利息、已实现的其他合法收入及因运用基金财产带来的成本和费用的节约</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基金资产总值</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指基金拥有的各类有价证券、银行存款本息、基金应收申购款及其他资产的价值总和</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基金资产净值</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指基金资产总值减去基金负债后的价值</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基金份额净值</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指基金份额的资产净值</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基金资产估值</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指计算评估基金资产和负债的价值，以确定基金资产净值和基金份额净值的过程</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流动性受限资产</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指由于法律法规、监管、合同或操作障碍等原因无法以合理价格予以变现的资产，包括但不限于到期日在</w:t>
            </w:r>
            <w:r>
              <w:rPr>
                <w:rFonts w:ascii="Times New Roman" w:hAnsi="Times New Roman"/>
                <w:color w:val="000000"/>
                <w:kern w:val="0"/>
                <w:sz w:val="25"/>
                <w:szCs w:val="24"/>
              </w:rPr>
              <w:t>10</w:t>
            </w:r>
            <w:r>
              <w:rPr>
                <w:rFonts w:ascii="Times New Roman" w:hAnsi="Times New Roman"/>
                <w:color w:val="000000"/>
                <w:kern w:val="0"/>
                <w:sz w:val="25"/>
                <w:szCs w:val="24"/>
              </w:rPr>
              <w:t>个交易日以上的逆回购与银行定期存款（含协议约定有条件提前支取的银行存款）、停牌股票、流通受限的新股及非公开发行股票、资产支持证券、因发行人债务违约无法进行转让或交易的债券等</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指定媒介</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指中国证监会指定的用以进行信息披露的全国性报刊及指定互联网网站（包括基金管理人网站、基金托管人网站、中国证监会基金电子披露网站）等媒介</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不可抗力</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指基金合同当事人不能预见、不能避免并不能克服且在基金合同由基金管理人、基金托管人签署之日后发生的，使基金合同当事人无法全部或部分履行基金合同的任何事件，包括但不限于洪水、地震及其他自然灾害、战争、骚乱、火灾、政府征用、没收、法律法规变化、突发停电或其他突发事件、证券交易所非正常暂停或停止交易</w:t>
            </w:r>
          </w:p>
        </w:tc>
      </w:tr>
    </w:tbl>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6" w:name="_Toc231982080"/>
      <w:r>
        <w:rPr>
          <w:rFonts w:ascii="Times New Roman" w:hAnsi="Times New Roman"/>
          <w:sz w:val="30"/>
        </w:rPr>
        <w:lastRenderedPageBreak/>
        <w:t>三、基金管理人</w:t>
      </w:r>
      <w:bookmarkEnd w:id="6"/>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芮晨先生:基金经理。内蒙古科技大学工学士。19年证券投资行业从业经验。2007年至2009年任深圳尚诚资产管理有限公司研究员、研究副总监，2009年至2013年任国联安基金管理有限公司行业研究员、投资经理，2013年至2014年任浙商证券资产管理有限公司投资主办。2015年加入交银施罗德基金管理有限公司，现任权益部基金经理。曾任交银施罗德先锋混合型证券投资基金(2015年05月18日至2020年07月14日)、交银施罗德数据产业灵活配置混合型证券投资基金(2016年08月16日至2019年05月29日)的基金经理。现任交银施罗德科技创新灵活配置混合型证券投资基金(2016年05月05日至今)、交银施罗德启衡混合型证券投资基金(2022年11月30日至今)、交银施罗德稳健配置混合型证券投资基金(2025年03月25日至今)的基金经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李旭利先生(2006年06月14日至2007年07月03日)；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郑拓先生(2007年07月04日至2009年08月20日)；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李立先生(2009年08月21日至2010年12月30日)；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华昕先生(2009年09月10日至2011年08月03日)；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张科兵先生(2011年07月19日至2014年01月09日)；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唐倩女士(2013年12月12日至2018年07月27日)；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陈孜铎先生(2018年07月04日至2025年04月22日)。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樊继拓（多资产研究部副总经理）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1.依法募集基金，办理或者委托经中国证监会认定的其他机构办理基金份额的发售、申购、赎回和登记事宜；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（5）依照法律、行政法规有关规定，由中国证监会规定禁止的其他行为。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 基金管理人承诺加强人员管理，强化职业操守，督促和约束员工遵守国家有关法律法规及行业规范，诚实信用、勤勉尽责。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（1）董事会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风险管理是每一个业务部门首要的责任。部门负责人对本部门的风险负全部责任，负责履行公司的风险管理程序，负责本部门的风险管理系统的开发、执行和维护，用于识别、监控和降低风险。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7" w:name="_Toc231982081"/>
      <w:r>
        <w:rPr>
          <w:rFonts w:ascii="Times New Roman" w:hAnsi="Times New Roman"/>
          <w:sz w:val="30"/>
        </w:rPr>
        <w:lastRenderedPageBreak/>
        <w:t>四、基金托管人</w:t>
      </w:r>
      <w:bookmarkEnd w:id="7"/>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注册资本：贰仟陆佰壹拾陆亿零叁拾捌万壹仟肆佰伍拾玖元整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w:t>
      </w:r>
      <w:r>
        <w:rPr>
          <w:rFonts w:ascii="宋体" w:hAnsi="宋体"/>
          <w:sz w:val="24"/>
        </w:rPr>
        <w:lastRenderedPageBreak/>
        <w:t>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8" w:name="_Toc231982082"/>
      <w:r>
        <w:rPr>
          <w:rFonts w:ascii="Times New Roman" w:hAnsi="Times New Roman"/>
          <w:sz w:val="30"/>
        </w:rPr>
        <w:lastRenderedPageBreak/>
        <w:t>五、相关服务机构</w:t>
      </w:r>
      <w:bookmarkEnd w:id="8"/>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个人投资者可以通过本公司网上直销交易平台办理开户、本基金前端基金份额的申购、赎回、转换及定期定额投资等业务，具体交易细则请参阅本公司网站。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（2）名称：中国建设银行股份有限公司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住所：北京市西城区金融大街25号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（3）名称：交通银行股份有限公司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（4）名称：招商银行股份有限公司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（5）名称：上海银行股份有限公司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传真：（021）68476111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（7）名称：江苏常熟农村商业银行股份有限公司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（8）名称：东莞农村商业银行股份有限公司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网址：www.drcbank.com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（9）名称：中国农业银行股份有限公司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（10）名称：广发银行股份有限公司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住所：广州市越秀区东风东路713号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法定代表人：杨明生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联系人：李晓鹏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客户服务电话：800-830-8003，400-830-8003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网址：www.gdb.com.cn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（11）名称：中国民生银行股份有限公司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（12）名称：中国光大银行股份有限公司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传真：（010）63639709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（13）名称：宁波银行股份有限公司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（14）名称：北京银行股份有限公司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（15）名称：平安银行股份有限公司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（16）名称：江苏银行股份有限公司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住所：南京市中华路26号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（17）名称：华夏银行股份有限公司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（18）名称：杭州银行股份有限公司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（19）名称：中国工商银行股份有限公司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注册地址：北京市西城区复兴门内大街55号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（20）名称：汇丰银行（中国）有限公司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住所：上海市世纪大道8号上海国金中心汇丰银行大楼22层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办公地址：上海市世纪大道8号上海国金中心汇丰银行大楼22层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法定代表人：廖宜建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电话：（021）38883888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传真：（021）23208550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联系人：徐逸帆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客户服务电话：95366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网址：www.hsbc.com.cn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（21）名称：光大证券股份有限公司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（22）名称：中信证券股份有限公司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（23）名称：中国中金财富证券有限公司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联系人：胡芷境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（24）名称：中国银河证券股份有限公司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（25）名称：申万宏源证券有限公司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（26）名称：国都证券股份有限公司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（27）名称：平安证券股份有限公司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传真：（0755）82400862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（28）名称：中信证券（山东）有限责任公司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（29）名称：申万宏源西部证券有限公司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（30）名称：中泰证券股份有限公司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网址：www.zts.com.cn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（31）名称：江海证券有限公司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（32）名称：中国国际金融股份有限公司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（33）名称：瑞银证券有限责任公司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（34）名称：长城证券有限责任公司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传真：（0755）83516199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（35）名称：国金证券股份有限公司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（36）名称：渤海证券股份有限公司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（37）名称：信达证券股份有限公司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网址：www.cindasc.com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（38）名称：西南证券股份有限公司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（39）名称：国新证券股份有限公司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（40）名称：粤开证券股份有限公司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（41）名称：华西证券股份有限公司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传真：（028）86150400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（42）名称：第一创业证券股份有限公司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（43）名称：中信证券华南股份有限公司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（44）名称：国泰海通证券股份有限公司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网址：www.gtht.com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（45）名称：招商证券股份有限公司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（46）名称：长江证券股份有限公司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（47）名称：爱建证券有限责任公司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（48）名称：长城国瑞证券有限公司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办公地址：厦门市思明区台北路1号海西金谷广场T2办公楼13-14层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（49）名称：华宝证券股份有限公司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（50）名称：华龙证券股份有限公司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（51）名称：广发证券股份有限公司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传真：（020）87553600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（52）名称：兴业证券股份有限公司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（53）名称：湘财证券股份有限公司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（54）名称：华泰证券股份有限公司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（55）名称：金融街证券股份有限公司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（56）名称：国信证券股份有限公司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（57）名称：东方财富证券股份有限公司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（58）名称：中原证券股份有限公司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办公地址：郑州市郑东新区商务外环路10号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（59）名称：中信建投证券股份有限公司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（60）名称：财通证券股份有限公司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网址：www.ctsec.com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（61）名称：中航证券有限公司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联系人：戴蕾</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（62）名称：东莞证券股份有限公司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（63）名称：国元证券股份有限公司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（64）名称：国投证券股份有限公司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（65）名称：德邦证券股份有限公司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办公地址：上海市福山路500号城建大厦26楼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（66）名称：中国民族证券有限责任公司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办公地址：北京市西城区金融街5号新盛大厦A座6-9层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客户服务电话：400-889-5618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（67）名称：方正证券股份有限公司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（68）名称：东方证券股份有限公司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（69）名称：东兴证券股份有限公司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住所：北京市西城区金融大街5号新盛大厦B座12-15层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（70）名称：华福证券股份有限公司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（71）名称：中银国际证券股份有限公司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客户服务电话：400-620-8888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（72）名称：东北证券股份有限公司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电话：（0431）85096709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（73）名称：西部证券股份有限公司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（74）名称：中邮证券有限责任公司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法定代表人：郭成林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（75）名称：开源证券股份有限公司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（76）名称：北京广源达信基金销售有限公司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（77）名称：大连网金基金销售有限公司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（78）名称：阳光人寿保险股份有限公司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（79）名称：玄元保险代理有限公司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（80）名称：京东肯特瑞基金销售有限公司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（81）名称：上海大智慧基金销售有限公司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（82）名称：腾安基金销售（深圳）有限公司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（83）名称：珠海盈米基金销售有限公司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办公地址：广州市海珠区琶洲大道东1号保利国际广场南塔12楼B1201-1203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（84）名称：上海华夏财富投资管理有限公司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（85）名称：北京度小满基金销售有限公司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（86）名称：南京苏宁基金销售有限公司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传真：025-66996699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（87）名称：嘉实财富管理有限公司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（88）名称：北京汇成基金销售有限公司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（89）名称：上海利得基金销售有限公司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网址：www.leadfund.com.cn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（90）名称：北京虹点基金销售有限公司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（91）名称：上海陆金所基金销售有限公司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（92）名称：上海挖财基金销售有限公司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（93）名称：万家财富基金销售（天津）有限公司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住所：天津自贸区（中心商务区）迎宾大道1988号滨海浙商大厦公寓2-2413室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（94）名称：上海万得基金销售有限公司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（95）名称：格上富信投资顾问有限公司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（96）名称：深圳市金斧子基金销售有限公司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电话：（0755）66892301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（97）名称：北京雪球基金销售有限公司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（98）名称：北京新浪仓石基金销售有限公司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（99）名称：中证金牛（北京）基金销售有限公司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沈晨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（100）名称：上海证达通基金销售有限公司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（101）名称：北京创金启富基金销售有限公司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（102）名称：奕丰基金销售有限公司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网址：www.ifastps.com.cn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（103）名称：上海天天基金销售有限公司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（104）名称：和讯信息科技有限公司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（105）名称：诺亚正行基金销售有限公司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（106）名称：上海好买基金销售有限公司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办公地址：上海市浦东新区浦东南路1118号鄂尔多斯国际大厦903-906室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（107）名称：上海长量基金销售有限公司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（108）名称：深圳众禄基金销售股份有限公司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（109）名称：蚂蚁（杭州）基金销售有限公司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联系人：韩爱彬</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（110）名称：中信期货有限公司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（111）名称：天相投资顾问有限公司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（112）名称：上海基煜基金销售有限公司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联系人：俞申莉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（113）名称：浙江同花顺基金销售有限公司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（114）名称：宜信普泽（北京）基金销售有限公司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（115）名称：上海联泰基金销售有限公司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（116）名称：中国人寿保险股份有限公司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（117）名称：泛华普益基金销售有限公司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（118）名称：北京展恒基金销售股份有限公司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（119）名称：深圳市新兰德证券投资咨询有限公司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联系人：刘宝文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（120）名称：和耕传承基金销售有限公司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（121）名称：济安财富（北京）基金销售有限公司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（122）名称：博时财富基金销售有限公司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网址：www.boserawealth.com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（123）名称：上海中欧财富基金销售有限公司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（124）名称：深圳前海微众银行股份有限公司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3.场内销售机构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销售机构是指由中国证监会核准的具有开放式基金销售资格，并经上海证券交易所和中国证券登记结算有限责任公司认可的上海证券交易所会员(以下简称“有资格的上证所会员”)，名单详见上海证券交易所网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法定代表人：于文强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名称：上海源泰律师事务所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住所：上海浦东南路256号华夏银行大厦1405室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办公地址：上海浦东南路256号华夏银行大厦1405室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负责人：廖海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电话：（021）51150298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传真：（021）51150398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联系人：廖海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经办律师：梁丽金、刘佳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9" w:name="_Toc231982083"/>
      <w:r>
        <w:rPr>
          <w:rFonts w:ascii="Times New Roman" w:hAnsi="Times New Roman"/>
          <w:sz w:val="30"/>
        </w:rPr>
        <w:lastRenderedPageBreak/>
        <w:t>六、基金的历史沿革</w:t>
      </w:r>
      <w:bookmarkEnd w:id="9"/>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本基金由基金管理人依照《基金法》、《运作办法》、基金合同及其他有关规定，并经中国证监会证监基金字[2006]78号文批准募集发售。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本基金募集期间基金份额净值为人民币1.00元，按面值发售。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本基金自2006年5月9日至2006年6月8日进行发售。本基金设立募集期共募集7,016,138,522.08份基金份额，有效认购户数为168,858户。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本基金自2015年12月7日起增加本基金的H类基金份额类别并相应修改基金合同。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本基金自2022年6月24日起删除本基金的H类基金份额类别并相应修改基金合同。</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10" w:name="_Toc231982084"/>
      <w:r>
        <w:rPr>
          <w:rFonts w:ascii="Times New Roman" w:hAnsi="Times New Roman"/>
          <w:sz w:val="30"/>
        </w:rPr>
        <w:lastRenderedPageBreak/>
        <w:t>七、基金合同的生效</w:t>
      </w:r>
      <w:bookmarkEnd w:id="10"/>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根据有关规定，本基金满足基金合同生效条件，基金合同已于2006年6月14日正式生效。自基金合同生效之日起，本基金管理人正式开始管理本基金。</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11" w:name="_Toc231982085"/>
      <w:r>
        <w:rPr>
          <w:rFonts w:ascii="Times New Roman" w:hAnsi="Times New Roman"/>
          <w:sz w:val="30"/>
        </w:rPr>
        <w:lastRenderedPageBreak/>
        <w:t>八、基金份额的申购与赎回</w:t>
      </w:r>
      <w:bookmarkEnd w:id="11"/>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1、本基金管理人的直销网点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直销机构为本公司以及本公司的网上直销交易平台。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个人投资者可以通过本公司网上直销交易平台办理开户、本基金前端基金份额的申购、赎回、转换及定期定额投资等业务，具体交易细则请参阅本公司网站。网上直销交易平台网址：www.fund001.com。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2、不通过上海证券交易所交易系统办理相关业务的场外销售机构（除直销机构）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除直销机构之外的其他场外销售机构请见本招募说明书“五、相关服务机构”章节或拨打本公司客户服务电话进行咨询。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3、通过上海证券交易所交易系统办理相关业务的上海证券交易所会员单位，目前场内交易只支持前端收费模式的基金申购。具体名单详见上海证券交易所网站。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基金管理人可根据情况变更或增减销售机构，并在管理人网站公示。条件成熟时，投资人可通过基金管理人或其指定的销售机构以电话、传真或网上等形式进行申购与赎回，具体办法另行公告。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申购和赎回的开放日为上海证券交易所、深圳证券交易所的正常交易日（基金</w:t>
      </w:r>
      <w:r>
        <w:rPr>
          <w:rFonts w:ascii="宋体" w:hAnsi="宋体"/>
          <w:sz w:val="24"/>
        </w:rPr>
        <w:lastRenderedPageBreak/>
        <w:t>管理人根据法律法规或基金合同的规定公告暂停申购、赎回时除外）。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的，其基金份额申购、赎回价格为下次办理基金份额申购、赎回时间所在开放日的价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中国证监会指定媒介上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本基金已于2006年7月24日起开放场外、场内申购业务。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本基金已于2006年8月28日起开放场外、场内赎回业务。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1、“未知价”原则，即申购、赎回价格以T日收市后计算的基金份额净值为基准进行计算。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3、投资人申购基金份额时，必须全额交付申购款项，投资人交付款项后，申购申请方为有效。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4、赎回遵循“先进先出”原则，即按照投资人申（认）购的先后次序进行顺序赎回。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5、当日的申购和赎回申请可以在基金管理人规定的时间以前撤销。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基金管理人可根据基金运作的实际情况并在不影响基金份额持有人实质利益的前提下调整上述原则。基金管理人必须在新规则开始实施前依照《信息披露办法》的有关规定在中国证监会指定媒介上公告。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场外申购时，销售网点每个账户申购的最低金额为单笔1元人民币，如果销售机构业务规则规定的最低单笔申购金额高于1元，以销售机构的规定为准。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直销网点每个账户首次申购的最低金额为单笔100万元，追加申购的最低金额为单笔10万元；已在直销网点有认购本基金记录的投资人不受首次申购最低金额的</w:t>
      </w:r>
      <w:r>
        <w:rPr>
          <w:rFonts w:ascii="宋体" w:hAnsi="宋体"/>
          <w:sz w:val="24"/>
        </w:rPr>
        <w:lastRenderedPageBreak/>
        <w:t>限制。通过本公司网上直销交易平台办理基金申购业务的不受直销网点申购最低金额的限制，申购最低金额为单笔1元。本基金直销网点单笔申购最低金额可由基金管理人酌情调整。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场内申购时，每笔申购金额最低为1,000元人民币，同时每笔申购必须是100元的整数倍，并且单笔申购最高不超过99,999,900元。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时，赎回的最低份额为1份基金份额，如果销售机构业务规则规定的最低单笔赎回份额高于1份，以该销售机构的规定为准；场内赎回时，赎回的最低份额为50份基金份额，同时赎回份额必须是整数份额，并且单笔赎回最多不超过99,999,999份基金份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每个工作日投资人在单个交易账户保留的本基金份额余额少于1份时，若当日该账户同时有份额减少类业务（如赎回、转换出等）被确认，则基金管理人有权将投资人在该账户保留的本基金份额一次性全部赎回。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赎回的份额以及最低保留余额的数量限制，基金管理人必须在调整前依照《信息披露办法》的有关规定在中国证监会指定的媒体上刊登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申请方式：书面申请或销售机构公布的其他方式。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申购和赎回的确认与通知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规定时间受理的申请，正常情况下，本基金份额登记机构在T+1日内为投资人对该交易的有效性进行确认。在T＋2日后（包括该日）投资人可向销售机构或以销售机构规定的其他方式查询申购与赎回申请的确认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申购和赎回款项支付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申购采用全额缴款方式,若申购资金在规定时间内未全额到账则申购不成功,若申购不成功或无效,申购款项将退回投资人账户。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投资人赎回申请成功后,赎回款项在T＋7日(包括该日)内支付。在发生巨额赎回时,款项的支付办法参照基金合同的有关条款处理。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4.申购和赎回基金份额的注册登记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投资人申购申请受理后，份额登记机构在T+1日为投资人办理增加权益的登记手续，投资人自T+2日起可赎回该部分基金份额。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投资人赎回基金成功后，份额登记机构在T+1日为投资人办理扣除权益的登记手续。</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基金管理人可以在法律法规允许的范围内，对上述注册登记办理时间进行调整，但不得实质影响投资人的合法权益，并于开始实施前依照《信息披露办法》的有关规定中国证监会指定的媒体上刊登公告。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本基金的申购费用由申购人承担，不列入基金财产，申购费用用于本基金的市场推广和销售。场外申购可以采取前端收费模式和后端收费模式，场内申购目前只支持前端收费模式。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A54E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前端申购费率</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本基金管理人于2007 年12 月11日刊登公告，自2007年12月14日起统一旗下非货币市场基金的前端申购费率的分档标准，统一后的费率分档标准见上表。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5A54E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申购费率（后端）</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持有时间</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后端申购费率</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1.8%</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因红利自动再投资而产生的基金份额，不再收取申购费用。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本基金自2013年4月11日起，对通过本公司直销柜台申购本基金前端基金份额的养老金客户实施特定申购费率。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也将其纳入养老金客户范围，并按规定向中国证监会备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通过本公司直销柜台申购本基金前端基金份额的养老金客户特定申购费率如下表：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5A54E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特定申购费率（前端）</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前端特定申购费率</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由赎回基金份额的基金份额持有人承担，赎回费总额的25%归基金财产，75%用于支付注册登记费和其他必要的手续费，但对持续持有期少于7日的基金份额持有人收取不低于1.5%的赎回费并全额计入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5A54EF">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年到</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5A54EF">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5A54EF" w:rsidRDefault="005A54EF">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超过</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根据法律法规规定及基金合同调整申购费率和赎回费率,最新的申购费率和赎回费率在更新的招募说明书中列示。费率如发生变更,基金管理人最迟应于新的费率开始实施3个工作日前在指定媒介上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1、申购和赎回数额、余额的处理方式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投资人进行场外申购时，申购的有效份额为按实际确认的申购金额在扣除相应的费用后，以申请当日基金份额净值为基准计算，四舍五入保留到小数点后两位，由此误差产生的收益或损失由基金财产承担；场内申购时，申购的有效份额为按实际确认的申购金额在扣除相应的费用后，以申请当日基金份额净值为基准计算，保留到整数位，剩余部分折回金额返回投资人，折回金额的计算保留到小数点后2位，小数点2位以后的部分四舍五入，由此误差产生的收益或损失由基金财产承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有效赎回份额乘以当日基金份额净值并扣除相应的费用，赎回金额单位为元。上述计算结果均按四舍五入方法，保留到小数点后两位，由此误差产生的收益或损失由基金财产承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场外申购可以采取前端收费模式和后端收费模式，场内申购目前只支持前端收费模式。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T日基金份额净值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例一：某投资人投资4万元申购本基金，申购费率为1.5%，假设申购当日基金份额净值为1.0400元，如果其选择前端收费方式，则其可得到的申购份额为：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如果投资人是场内申购，申购份额为37,893份，其余0.14份对应金额返回给投资人。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申购份额＝申购总金额/T日基金份额净值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当投资人提出赎回时，后端申购费用的计算方法为：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后端申购费用＝赎回份额×申购日基金份额净值×后端申购费率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例二：某投资人投资4万元申购本基金，假设申购当日基金份额净值为1.0400元，如果其选择后端收费方式，则其可得到的申购份额为：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 ＝ 40,000 / 1.0400 ＝ 38,461.54份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即：投资人投资4万元申购本基金，假设申购当日基金份额净值为1.0400元，则可得到38,461.54份基金份额，但其在赎回时需根据其持有时间按对应的后端申购费率交纳后端申购费用。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赎回金额为按实际确认的有效赎回份额乘以T日基金份额净值并扣除相应的费用，赎回金额单位为“元”。上述计算结果均按四舍五入方法，保留到小数点后两位，由此误差产生的收益或损失由基金财产承担。。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（1）如果投资人在认（申）购时选择交纳前端认（申）购费用，则赎回金额的计算方法如下：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例三：某投资人赎回1万份基金份额，对应的赎回费率为0.5%，假设赎回当日基金份额净值是1.0160元，则其可得到的赎回金额为：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即：投资人赎回本基金1万份基金份额，假设赎回当日基金份额净值是1.0160元，则其可得到的赎回金额为10,109.20元。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（2）如果投资人在认（申）购时选择交纳后端认（申）购费用，则赎回金额的计算方法如下：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赎回总额＝赎回份额×T日基金份额净值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例四：某投资人赎回1万份基金份额，对应的赎回费率为0.5%，假设赎回当日</w:t>
      </w:r>
      <w:r>
        <w:rPr>
          <w:rFonts w:ascii="宋体" w:hAnsi="宋体"/>
          <w:sz w:val="24"/>
        </w:rPr>
        <w:lastRenderedPageBreak/>
        <w:t>基金份额净值是1.0160元，投资人对应的后端申购费是1.8%，申购时的基金份额净值为1.0100元，则其可得到的赎回金额为：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赎回总额=10,000×1.0160=10,160元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后端申购费用=10,000×1.0100×1.8%=181.80元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赎回费用=10,160×0.5%=50.80元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赎回金额=10,160-181.80-50.80=9,927.40元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即：投资人赎回本基金1万份基金份额，对应的赎回费率为0.5%，假设赎回当日基金份额净值是1.0160元，投资人对应的后端申购费是1.8%，申购时的基金份额净值为1.0100元，则其可得到的赎回金额为9,927.40元。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T日的基金份额净值在当天收市后计算，并在T+1日内公告，基金管理人根据法律法规或基金合同的规定公告暂停申购、赎回时除外。遇特殊情况，经中国证监会同意，可以适当延迟计算或公告。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（八）暂停申购的情形及处理方式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因不可抗力导致基金无法正常运作。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2.证券交易所在交易时间非正常停市，导致基金管理人无法计算当日基金资产净值。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3.发生基金合同规定的暂停基金资产估值情况。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4.基金财产规模过大，使基金管理人无法找到合适的投资品种，或可能对基金业绩产生负面影响，从而损害现有基金份额持有人的利益。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5.基金管理人认为会有损于现有基金份额持有人利益的，或违反有关法律法规的某笔申购或某些申购。</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6.基金管理人接受某笔或者某些申购申请有可能导致单一投资者持有基金份额的比例超过50%，或者变相规避50%集中度的情形。出现上述情形时，基金管理人有权将上述申购申请全部或部分确认失败。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8.法律法规规定或中国证监会认定的其他情形。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1-4、7、8项暂停申购情形时，基金管理人应当根据有关规定在中国证监会指定媒介上刊登暂停申购公告。如果投资人的申购申请被拒绝，被拒绝的申购款项将退还给投资人。在暂停申购的情况消除时，基金管理人应及时恢复申购业务的办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（九）暂停赎回或者延缓支付赎回款项的情形及处理方式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1.不可抗力。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2.证券交易所在交易时间非正常停市，导致基金管理人无法计算当日基金资产净值。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3.连续两个开放日发生巨额赎回。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4.发生基金合同规定的暂停基金资产估值情况。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时，基金管理人应在当日向中国证监会报告，已接受的赎回申请，基金管理人应按时足额支付；如暂时不能足额支付，可支付部分按单个账户申请量占申请总量的比例分配给赎回申请人，未支付部分由基金管理人按照发生的情况制定相应的处理办法在后续开放日予以支付。同时在出现上述第3项的情形时，对已接受的赎回申请可延期支付赎回款项，但最长不超过正常支付时间20 个工作日，并在中国证监会指定媒介上公告。投资人在申请赎回时可事先选择将当日可能未获受理部分予以撤销。在暂停赎回的情况消除时，基金管理人应及时恢复赎回业务的办理。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日的基金总份额的10%，即认为是发生了巨额赎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2.巨额赎回的处理方式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当基金出现巨额赎回时，基金管理人可以根据基金当时的资产组合状况决定全额赎回或部分顺延赎回。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(1)全额赎回：当基金管理人认为有能力支付投资人的赎回申请时，按正常赎回程序执行。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投资人的赎回申请有困难或认为支付投资人的赎回申请而进行的财产变现可能会对基金资产净值造成较大波动时，基金管理人在当日接受赎回比例不低于上一日基金总份额的10%的前提下，对其余赎回申请延期办理。对于当日的赎回申请，应当按单个账户赎回申请量占赎回申请总量的比例，确定当日受理的赎回份额；投资人未能赎回部分，投资人在提交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放日的基金份额净值为基础计算赎回金额，并以此类推，直到全部赎回为止。如投资人在提交赎回申请时未作明确选择，投资人未能赎回部分作自动延期赎回处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顺延赎回”的约定方式与其他基金份额持有人的赎回申请一并办理。但是，如基金份额持有人在当日选择取消赎回，则其当日未获受理的部分赎回申请将被撤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当发生巨额赎回并顺延赎回时，基金管理人应立即向中国证监会备案，并在2日内通过指定媒介、基金管理人的公司网站或销售机构的网点刊登公告，说明有关处理方法。</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连续2日以上(含本数)发生巨额赎回，如基金管理人认为有必要，可暂停接受基金的赎回申请；已经接受的赎回申请可以延缓支付赎回款项，但不得超过正常支付时间20个工作日，并应当在指定媒介上进行公告。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（十一）重新开放申购或赎回的公告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发生上述暂停申购或赎回情况的，基金管理人应在规定期限内在指定媒介上刊</w:t>
      </w:r>
      <w:r>
        <w:rPr>
          <w:rFonts w:ascii="宋体" w:hAnsi="宋体"/>
          <w:sz w:val="24"/>
        </w:rPr>
        <w:lastRenderedPageBreak/>
        <w:t>登暂停公告。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如发生暂停的时间为1日，第2个工作日基金管理人应在至少一种指定媒介上刊登基金重新开放申购或赎回公告，并公布最近1个开放日的基金份额净值。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如发生暂停的时间超过1日但少于2周，暂停结束，基金重新开放申购或赎回时，基金管理人应提前2日在指定媒介上刊登基金重新开放申购或赎回公告，并公告最近1个开放日的基金份额净值。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发生暂停的时间超过2周，暂停期间，基金管理人应每2周至少刊登暂停公告1次。暂停结束，基金重新开放申购或赎回时，基金管理人应依照《信息披露办法》的有关规定在中国证监会指定媒介上连续刊登基金重新开放申购或赎回公告，并公告最近1个开放日的基金份额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（十二）转托管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目前实行份额托管的交易制度。投资人可将所持有的基金份额在场外不同销售网点之间,上证所场内不同会员之间、或在上证所场内系统和场外系统之间进行份额转移。在上证所场内不同会员营业部之间进行转指定，也可以在上证所场内系统和场外系统之间进行跨市场托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进行份额转托管时，投资人可以将其某个交易账户下的基金份额全部或部分转托管。办理转托管业务的基金份额持有人需在转出方办理基金份额转出手续。对于有效的转托管申请，转出的基金份额将在投资人申请转托管转出手续后次一工作日转入其指定的交易账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（十三）定期定额投资计划</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2006年11月7日刊登公告自2006年11月8日起开通定期定额投资计划业务，具体开通销售机构名单和业务规则参见相关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（十四）定时不定额投资计划</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自2009年2月26日起，投资者可通过中国工商银行股份有限公司的“基智定投”办理本基金的定时不定额投资业务。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基智定投业务是中国工商银行股份有限公司普通基金定投业务的升级业务，基智定投分为定时不定额和定时定额两种投资方式。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中国工商银行股份有限公司办理本基金的基智定投业务，相关流程和业务规则遵循中国工商银行股份有限公司的有关规定。详情请咨询当地中国工商银行股份有限公司的销售网点或中国工商银行股份有限公司客户服务电话（95588）。</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（十五）基金的非交易过户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指基金份额登记机构受理继承、捐赠和司法强制执行而产生的非交易过户。无论在上述何种情况下，接受划转的主体必须是合格的个人投资者或机构投资者。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受理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份额登记机构要求提供的相关资料，对于符合条件的非交易过户申请自申请受理日起2个月内办理，并按基金份额登记机构规定的标准收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（十六）基金的冻结和解冻</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基金份额登记机构只受理国家有权机关依法要求的基金份额的冻结与解冻，以及份额登记机构认可的其他情况下的冻结与解冻。基金份额被冻结的，被冻结部分产生的权益一并冻结。</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12" w:name="_Toc231982086"/>
      <w:r>
        <w:rPr>
          <w:rFonts w:ascii="Times New Roman" w:hAnsi="Times New Roman"/>
          <w:sz w:val="30"/>
        </w:rPr>
        <w:lastRenderedPageBreak/>
        <w:t>九、基金的转换</w:t>
      </w:r>
      <w:bookmarkEnd w:id="12"/>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本基金自2007年12月14日起开放日常转换业务。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本基金遵循“份额转换”的原则，单笔转换份额不得低于1份。基金持有人可将其全部或部分基金份额转换成其它基金，单笔转换申请不受转入基金最低申购限额限制。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w:t>
      </w:r>
      <w:r>
        <w:rPr>
          <w:rFonts w:ascii="宋体" w:hAnsi="宋体"/>
          <w:sz w:val="24"/>
        </w:rPr>
        <w:lastRenderedPageBreak/>
        <w:t>转入基金的后端申购费。后端申购补差费用按照转出份额持有时间对应分档的转出基金后端申购费率减去转入基金后端申购费率差额进行补差。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6、基金管理人可以根据法律法规及基金合同的规定对上述收费方式和费率进行调整，并应于调整后的收费方式和费率在实施前依照《信息披露办法》的有关规定在中国证监会指定媒介上公告。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w:t>
      </w:r>
      <w:r>
        <w:rPr>
          <w:rFonts w:ascii="宋体" w:hAnsi="宋体"/>
          <w:sz w:val="24"/>
        </w:rPr>
        <w:lastRenderedPageBreak/>
        <w:t>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转出确认金额=100,000×1.00=100,000元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w:t>
      </w:r>
      <w:r>
        <w:rPr>
          <w:rFonts w:ascii="宋体" w:hAnsi="宋体"/>
          <w:sz w:val="24"/>
        </w:rPr>
        <w:lastRenderedPageBreak/>
        <w:t>货币，则转入交银货币的基金份额为：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w:t>
      </w:r>
      <w:r>
        <w:rPr>
          <w:rFonts w:ascii="宋体" w:hAnsi="宋体"/>
          <w:sz w:val="24"/>
        </w:rPr>
        <w:lastRenderedPageBreak/>
        <w:t>只能转换到前端收费模式的其他基金，后端收费模式的基金只能转换到后端收费模式的其他基金。货币市场基金、债券基金C类基金份额与其他基金之间的转换不受上述收费模式的限制。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13" w:name="_Toc231982087"/>
      <w:r>
        <w:rPr>
          <w:rFonts w:ascii="Times New Roman" w:hAnsi="Times New Roman"/>
          <w:sz w:val="30"/>
        </w:rPr>
        <w:lastRenderedPageBreak/>
        <w:t>十、基金的投资</w:t>
      </w:r>
      <w:bookmarkEnd w:id="13"/>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稳健配置混合型证券投资基金是在坚持交银施罗德价值投资理念前提下，考虑到中国证券市场未来发展过程中可能存在的多种复杂因素，为了适应不断变化的市场环境，帮助投资人在承受相对较小风险的情况下，尽可能获得稳定持久投资收益而设计的一个混合型基金。</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坚持并不断深化价值投资的基本理念，借鉴施罗德集团专业的投资分析模型和方法，以及其在平衡型基金方面成功的投资经验，通过前瞻性地分析和预测长期经济环境和市场状况的变化，全面地考察风险，合理动态地配置资产，在有效分散和控制风险的前提下，最大程度实现基金资产的长期稳定的增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（一）投资理念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本基金的投资理念是：关注经风险调整后的收益，通过专业化研究分析，积极挖掘非完全有效市场及不断变化的市场环境中的投资机会，追求长期稳定的投资回报。该理念至少包含以下三方面的含义：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1、市场环境在不断变化，证券市场在不同方面显示出不同程度的失效，通过专业研究可以获得信息优势，把握市场环境变化的契机，获得更高的超额收益。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和收益同样重要，在一个尽可能广的投资范围内合理配置资产，有效地分散风险，实现经风险调整后的收益的最大化。本基金管理人在控制风险方面将更全面地考察风险，不仅关注可能出现的最大损失，还要关注不同可能结果发生的概率和对收益的影响程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3、利用专业的分析模型和方法，根据经济周期理论，在市场状况不好的情况下通过灵活调整资产的配置比例提升组合收益，实现长期稳定的投资回报。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（二）投资目标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坚持并不断深化价值投资的基本理念，充分发挥专业研究与管理能力，根据宏观经济周期和市场环境的变化，自上而下灵活配置资产，自下而上精选证券，有效分散风险，谋求实现基金财产的长期稳定增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（三）投资对象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存托凭证）、债券、现金、短期金融工具、权证、资产支持证券及法律法规或中国证监会允许基金投资的其他金融工具。其中债券投资的主要品种包括交易所</w:t>
      </w:r>
      <w:r>
        <w:rPr>
          <w:rFonts w:ascii="宋体" w:hAnsi="宋体"/>
          <w:sz w:val="24"/>
        </w:rPr>
        <w:lastRenderedPageBreak/>
        <w:t>和银行间两个市场的国债、金融债、企业债与可转换债。短期金融工具则包括到期日在一年以内的债券、债券回购、央行票据、银行存款、短期融资券等。如法律法规或监管机构以后允许基金投资的其它品种，基金管理人在履行适当程序后，可以将其纳入投资范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正常市场情况下，基金的投资组合比例为：股票资产（含存托凭证）占基金资产净值的35%—95%；债券资产占基金资产净值的0%—60%；现金、短期金融工具、权证、资产支持证券以及中国证监会允许基金投资的其他证券品种占基金资产净值的5%-65%，其中基金保留的现金以及投资于一年期以内的政府债券的比例合计不低于基金资产净值的5%，现金不包括结算备付金、存出保证金、应收申购款等。在基金实际管理过程中，本基金具体配置比例由基金管理人根据中国宏观经济情况和证券市场的阶段性变化做主动调整，以求基金资产在各类资产的投资中达到风险和收益的最佳平衡，但比例不超出上述限定范围。在法律法规有新规定的情况下，基金管理人可对上述比例做适度调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本基金的资产配置限制如下表所示。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表一：资产类别和配置比例</w:t>
      </w:r>
    </w:p>
    <w:tbl>
      <w:tblPr>
        <w:tblW w:w="5000" w:type="pct"/>
        <w:tblCellMar>
          <w:left w:w="0" w:type="dxa"/>
          <w:right w:w="0" w:type="dxa"/>
        </w:tblCellMar>
        <w:tblLook w:val="0000" w:firstRow="0" w:lastRow="0" w:firstColumn="0" w:lastColumn="0" w:noHBand="0" w:noVBand="0"/>
      </w:tblPr>
      <w:tblGrid>
        <w:gridCol w:w="2167"/>
        <w:gridCol w:w="6503"/>
      </w:tblGrid>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资产类别</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资产配置范围</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股票（含存托凭证）</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35-95%</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现金、短期金融工具、权证、资产支持证券以及中国证监会允许的其他金融工具</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5%-65%</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（四）业绩比较基准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本基金的整体业绩比较基准采用：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65%×MSCI中国A股指数+35%×中证综合债券指数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股票投资部分的业绩比较基准是MSCI中国A股指数。MSCI中国A股指数是著名的全球基准指数供应商MSCI按照MSCI全球指数编制标准，为中国A股市场编制的第一个指数，科学地反应了我国资本市场上市公司市场变化水平，具有较高的权威性和市场代表性，投资人可以方便地从报纸、互联网等财经媒体中获取。同时，根据本基金的目标资产配置比例，本基金的业绩比较基准中加入了中证综合债券指</w:t>
      </w:r>
      <w:r>
        <w:rPr>
          <w:rFonts w:ascii="宋体" w:hAnsi="宋体"/>
          <w:sz w:val="24"/>
        </w:rPr>
        <w:lastRenderedPageBreak/>
        <w:t>数并按照本基金的目标资产配置比例来安排。</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如果市场推出更具权威、且更能够表征本基金风险收益特征的指数,则本基金管理人可以视情况在经过适当的程序后调整本基金的业绩比较基准,并及时公告。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（五）投资策略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本基金的投资策略为：把握宏观经济和投资市场的变化趋势，根据经济周期理论动态调整投资组合比例，自上而下配置资产，自下而上精选证券，有效分散风险。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采用“自上而下”的多因素分析决策支持系统，结合定性分析和定量分析进行大类资产的配置。具体而言，首先利用经济周期理论，对宏观经济的经济周期进行预测，在此基础上形成对不同资产市场表现的预测和判断，确定基金资产在各类别资产间的分配比例，并随着各类证券风险收益特征的相对变化，动态调整组合中各类资产的比例，以规避或分散市场风险，提高基金收益率。与传统的配置型基金不同，借鉴施罗德集团在平衡型基金方面成功的投资经验，本基金在资产配置方面有以下两大特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第一大特点是本基金管理人在进行资产配置的时候，除了考察各类资产的风险收益特征随市场环境的变化，同时关注资产之间相关性随时间的变化。对于配置型基金而言，投资于债券资产是为了分散股票资产投资的风险，以达到投资中风险和收益的最佳平衡。但是随着宏观经济环境和市场环境的变化，各类资产之间的相关性并不是一成不变的，最近一段时间的历史未必总能很好地反映未来的情况。因此，本基金管理人在“自上而下”进行资产配置的时候，除了考虑到不同经济周期下各类资产自身风险收益特征的变化，还会考察各类资产之间相关性随时间的变化，以经风险调整后的收益最大化为前提确定各类资产最优的配置比例，并随时间进行动态调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配置型基金灵活的资产配置使得基金管理人可以因时制宜，把握投资市场的变化趋势，在有效分散风险的同时获得长期稳定的投资回报。因此，正确把握投资市场的变化趋势对于配置型基金的成败至关重要。为了尽可能准确地把握投资市场变化的趋势，本基金管理人在对各种证券进行收益率预测的时候，一方面避免从短期的历史进行推断可能造成的错误，在合理范围内考察较长的历史区间，同时前瞻性地预测中长期经济环境的变化，并将该变化对证券未来收益的影响反映到对证券收</w:t>
      </w:r>
      <w:r>
        <w:rPr>
          <w:rFonts w:ascii="宋体" w:hAnsi="宋体"/>
          <w:sz w:val="24"/>
        </w:rPr>
        <w:lastRenderedPageBreak/>
        <w:t>益率的预期中去。这也是本基金的另一大特点。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操作中，本基金管理人采用经济周期理论下的资产配置模型，通过对宏观经济运行指标、利率和货币政策等相关因素的分析，对中国的宏观经济运行情况进行判断和预测，然后利用经济周期理论确定基金资产在各类别资产间的战略配置策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2、行业配置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对经济周期、产业环境、产业政策和行业竞争格局的分析和预测，确定宏观及行业经济变量的变动对不同行业的潜在影响，得出各行业的相对投资价值与投资时机，并据此对基金股票投资资产的行业分布进行动态调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3、股票选择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本基金综合运用施罗德集团的股票研究分析方法和经济周期理论精选股票构建成份股。具体分以下两个层次进行：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筛选出在财务及管理品质上符合基本品质要求的上市公司。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（2）风格配置和组合优化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对备选股票进行风格分类，利用经济周期理论在不同风格类别的股票之间进行战略配置，同时结合组合优化模型以实现尽可能高的经风险调整后的收益。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配置型基金中债券投资管理的目标是分散股票投资的市场风险，保持投资组合稳定收益和充分流动性，追求基金资产的长期增值。在目前中国债券市场处于制度与规则快速调整的阶段，对于债券投资组合的构建本基金管理人将采取自上而下的主动式管理，灵活运用各种消极和积极策略，寻找各种市场机会，获得超过市场水平的平均收益。消极债券投资的目标是在满足现金管理需要的基础上为基金资产提供稳定的收益。积极债券投资的目标是利用市场定价的无效率来获得低风险甚至是无风险的超额收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在全球经济的框架下，本基金管理人对宏观经济运行趋势及其引致的财政货币政策变化作出判断，运用数量化工具，对未来市场利率趋势及市场信用环境变化作出预测，通过组合优化进行合理的配置。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5、权证投资策略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（六）投资限制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本基金在投资策略上兼顾投资原则以及开放式基金的固有特点，通过分散投资降低基金财产的非系统性风险，保持基金组合良好的流动性。基金的投资组合将遵循以下限制：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(2)本基金持有的全部权证，其市值不得超过基金资产净值的3%；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(3)本基金管理人管理的全部基金持有一家公司发行的证券，其市值不超过该证券的10%；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(4)本基金管理人管理的全部基金持有的同一权证，不得超过该权证的10%；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(5)进入全国银行间同业市场进行债券回购的资金余额不得超过基金资产净值的40%；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不得违反基金合同中有关投资范围、投资策略、投资比例的规定,本基金股票（含存托凭证）、债券、现金、短期金融工具、权证、资产支持证券及法律法规或中国证监会允许基金投资的其他金融工具的投资比例,其中,股票（含存托凭证）为:35%-95%,债券为:0%-60%,现金、短期金融工具、权证、资产支持证券及法律法规或中国证监会允许基金投资的其他金融工具为:5%-65%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(7)基金财产参与股票发行申购，本基金所申报的金额不超过本基金的总资产，本基金所申报的股票数量不超过拟发行股票公司本次发行股票的总量；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(8)本基金在任何交易日买入权证的总金额，不得超过上一交易日基金资产净值的5‰；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(9)保持不低于基金资产净值5%的现金或者到期日在一年以内的政府债券，其</w:t>
      </w:r>
      <w:r>
        <w:rPr>
          <w:rFonts w:ascii="宋体" w:hAnsi="宋体"/>
          <w:sz w:val="24"/>
        </w:rPr>
        <w:lastRenderedPageBreak/>
        <w:t>中现金不包括结算备付金、存出保证金、应收申购款等；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(12)本基金与私募类证券资管产品及中国证监会认定的其他主体为交易对手开展逆回购交易的，可接受质押品的资质要求应当与基金合同约定的投资范围保持一致；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(13)本基金投资于资产支持证券的比例，不得超过该资产支持证券总规模的10%；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(14)本基金持有的同一（指同一信用级别）资产支持证券的比例，不得超过该资产支持证券规模的10%。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(15)本基金投资于同一原始权益人的各类资产支持证券的比例，不得超过基金资产净值的10%。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(16)同一基金管理公司管理的全部证券投资基金投资于同一原始权益人的各类资产支持证券，不得超过其各类资产支持证券合计规模的10%。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(17)本基金持有的全部资产支持证券，其市值不得超过基金资产净值的20%。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 本基金投资存托凭证的比例限制依照境内上市交易的股票执行；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(19)法律法规或监管部门取消上述限制，则本基金不受上述限制。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(9)、(11)、(12)项外，因证券市场波动、上市公司合并、基金规模变动、股权分置改革中支付对价等基金管理人之外的因素致使基金投资比例不符合上述规定的投资比例的，基金管理人应当在10个交易日内进行调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(1)承销证券；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(4)买卖其他基金份额，但是国务院另有规定的除外；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(5)向其基金管理人、基金托管人出资或者买卖其基金管理人、基金托管人发行的股票或者债券；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(6)买卖与其基金管理人、基金托管人有控股关系的股东或者与其基金管理人、基金托管人有其他重大利害关系的公司发行的证券或者承销期内承销的证券；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(8)依照法律法规有关规定，由国务院证券监督管理机构规定禁止的其他活动。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（七）投资组合比例调整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约定。因证券市场波动、上市公司合并、基金规模变动、股权分置改革中支付对价等基金管理人之外的因素致使基金投资不符合基金合同约定的投资比例规定的，基金管理人应当在10个交易日内进行调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（八）风险收益特征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属于证券投资基金产品中的中等风险品种，本基金的风险与预期收益处于股票型基金和债券型基金之间。本基金力争在有效分散风险的前提下谋求实现基金资产长期稳定增长。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（九）基金管理人代表基金行使股东权利的处理原则及方法</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1、基金管理人按照国家有关规定代表基金独立行使股东权利，保护基金份额持有人的利益；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w:t>
      </w:r>
      <w:r>
        <w:rPr>
          <w:rFonts w:ascii="宋体" w:hAnsi="宋体"/>
          <w:sz w:val="24"/>
        </w:rPr>
        <w:lastRenderedPageBreak/>
        <w:t>牟取任何不当利益。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（十）基金投资组合报告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本基金托管人中国建设银行根据本基金合同规定，于2026年04月20日复核了本报告中的财务指标、净值表现和投资组合报告等内容，保证复核内容不存在虚假记载、误导性陈述或者重大遗漏。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1,003,083,439.28</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89.04</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1,003,083,439.28</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89.04</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64,257,485.75</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5.70</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64,257,485.75</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5.70</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58,618,573.91</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5.20</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622,154.21</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1,126,581,653.15</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120,658,597.57</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10.75</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698,486,507.13</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62.21</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27,301,317.44</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2.43</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F</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26,884.64</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5,387,819.80</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0.48</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124,720,011.18</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11.11</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9,112,194.00</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0.81</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2,879,155.52</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0.26</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14,510,952.00</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1.29</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1,003,083,439.28</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89.34</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688777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中控技术</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985,900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63,541,255.00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5.66</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002594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比亚迪</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529,100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55,687,775.00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4.96</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601689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拓普集团</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862,700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49,001,360.00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4.36</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002050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三花智控</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1,144,493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48,675,287.29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4.34</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603119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浙江荣泰</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597,286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43,446,583.64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3.87</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002709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天赐材料</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875,991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40,295,586.00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3.59</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688521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芯原股份</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193,546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39,154,355.80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3.49</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603737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三棵树</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739,202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37,477,541.40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3.34</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688192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迪哲医药</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682,821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37,002,069.99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3.30</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603612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索通发展</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1,385,258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35,836,624.46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3.19</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3,331,381.64</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60,926,104.11</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5.43</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60,926,104.11</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5.43</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64,257,485.75</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5.72</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092404001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农发清发绿债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600,000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60,926,104.11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5.43</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33,000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3,331,381.64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0.30</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489,935.08</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132,219.13</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right"/>
              <w:rPr>
                <w:rFonts w:ascii="宋体" w:hAnsi="宋体"/>
                <w:color w:val="000000"/>
                <w:kern w:val="0"/>
                <w:sz w:val="25"/>
                <w:szCs w:val="24"/>
              </w:rPr>
            </w:pPr>
            <w:r>
              <w:rPr>
                <w:rFonts w:ascii="Times New Roman" w:hAnsi="Times New Roman"/>
                <w:color w:val="000000"/>
                <w:kern w:val="0"/>
                <w:sz w:val="25"/>
                <w:szCs w:val="24"/>
              </w:rPr>
              <w:t>622,154.21</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14" w:name="_Toc231982088"/>
      <w:r>
        <w:rPr>
          <w:rFonts w:ascii="Times New Roman" w:hAnsi="Times New Roman"/>
          <w:sz w:val="30"/>
        </w:rPr>
        <w:lastRenderedPageBreak/>
        <w:t>十一、基金的业绩</w:t>
      </w:r>
      <w:bookmarkEnd w:id="14"/>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-12.59%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-10.87%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30.90%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14.21%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16.69%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-5.51%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1.72%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11.18%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0.93%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-16.69%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-16.79%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0.92%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-6.00%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-10.79%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-18.38%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-13.57%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-4.81%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9.01%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1.13%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2.15%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6.86%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25.24%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1.27%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5.02%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36.49%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1.07%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25.22%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11.27%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-24.69%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-18.53%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0.88%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-6.16%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55.25%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7.34%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47.91%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-17.92%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-8.57%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-9.35%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56.52%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2.48%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11.04%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45.48%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13.03%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1.29%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32.94%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0.77%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-19.91%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-2.85%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15.29%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6.18%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9.11%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-22.91%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-17.00%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-5.91%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-3.73%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-4.17%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1.02%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85.46%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57.17%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28.29%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2008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-42.93%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2.16%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-46.18%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1.95%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3.25%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2007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106.33%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86.60%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19.73%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rsidR="005A54EF">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2006</w:t>
            </w:r>
            <w:r>
              <w:rPr>
                <w:rFonts w:ascii="Times New Roman" w:hAnsi="Times New Roman"/>
                <w:color w:val="000000"/>
                <w:kern w:val="0"/>
                <w:sz w:val="25"/>
                <w:szCs w:val="24"/>
              </w:rPr>
              <w:t>年度（</w:t>
            </w:r>
            <w:r>
              <w:rPr>
                <w:rFonts w:ascii="Times New Roman" w:hAnsi="Times New Roman"/>
                <w:color w:val="000000"/>
                <w:kern w:val="0"/>
                <w:sz w:val="25"/>
                <w:szCs w:val="24"/>
              </w:rPr>
              <w:t>2006</w:t>
            </w:r>
            <w:r>
              <w:rPr>
                <w:rFonts w:ascii="Times New Roman" w:hAnsi="Times New Roman"/>
                <w:color w:val="000000"/>
                <w:kern w:val="0"/>
                <w:sz w:val="25"/>
                <w:szCs w:val="24"/>
              </w:rPr>
              <w:t>年</w:t>
            </w:r>
            <w:r>
              <w:rPr>
                <w:rFonts w:ascii="Times New Roman" w:hAnsi="Times New Roman"/>
                <w:color w:val="000000"/>
                <w:kern w:val="0"/>
                <w:sz w:val="25"/>
                <w:szCs w:val="24"/>
              </w:rPr>
              <w:t>6</w:t>
            </w:r>
            <w:r>
              <w:rPr>
                <w:rFonts w:ascii="Times New Roman" w:hAnsi="Times New Roman"/>
                <w:color w:val="000000"/>
                <w:kern w:val="0"/>
                <w:sz w:val="25"/>
                <w:szCs w:val="24"/>
              </w:rPr>
              <w:t>月</w:t>
            </w:r>
            <w:r>
              <w:rPr>
                <w:rFonts w:ascii="Times New Roman" w:hAnsi="Times New Roman"/>
                <w:color w:val="000000"/>
                <w:kern w:val="0"/>
                <w:sz w:val="25"/>
                <w:szCs w:val="24"/>
              </w:rPr>
              <w:t>14</w:t>
            </w:r>
            <w:r>
              <w:rPr>
                <w:rFonts w:ascii="Times New Roman" w:hAnsi="Times New Roman"/>
                <w:color w:val="000000"/>
                <w:kern w:val="0"/>
                <w:sz w:val="25"/>
                <w:szCs w:val="24"/>
              </w:rPr>
              <w:t>日－</w:t>
            </w:r>
            <w:r>
              <w:rPr>
                <w:rFonts w:ascii="Times New Roman" w:hAnsi="Times New Roman"/>
                <w:color w:val="000000"/>
                <w:kern w:val="0"/>
                <w:sz w:val="25"/>
                <w:szCs w:val="24"/>
              </w:rPr>
              <w:t>2006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57.11%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35.63%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0.89%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21.48%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bl>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业绩比较基准自2013年7月1日起，由“65%×MSCI中国A股指数+35%×新华巴克莱资本中国全债指数”变更为“65%×MSCI中国A股指数+35%×中信标普全债指数”，下图同。详情见本基金管理人于2013年6月26日发布的《交银施罗德基金管理有限公司关于变更交银施罗德稳健配置混合型证券投资基金业绩比较基准并修改基金合同相关内容的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业绩比较基准自2015年10月1日起，由“65%×MSCI中国A股指数+35%×中信标普全债指数”变更为“65%×MSCI中国A股指数+35%×中证综合债券指数”，下图同。详情见本基金管理人于2015年9月28日发布的《交银施罗德基金管理有限公司关于旗下部分基金业绩比较基准变更并修改基金合同相关内容的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5A54EF" w:rsidRDefault="00D73F2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交银施罗德稳健配置混合型证券投资基金</w:t>
      </w:r>
    </w:p>
    <w:p w:rsidR="005A54EF" w:rsidRDefault="00D73F2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5A54EF" w:rsidRDefault="00D73F2E">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（2006年6月14日至2026年03月31日）</w:t>
      </w:r>
    </w:p>
    <w:p w:rsidR="005A54EF" w:rsidRDefault="00F4692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注：本基金建仓期为自基金合同生效日起的6个月。截至建仓期结束，本基金各项资产配置比例符合基金合同及招募说明书有关投资比例的约定。</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15" w:name="_Toc231982089"/>
      <w:r>
        <w:rPr>
          <w:rFonts w:ascii="Times New Roman" w:hAnsi="Times New Roman"/>
          <w:sz w:val="30"/>
        </w:rPr>
        <w:lastRenderedPageBreak/>
        <w:t>十二、基金的财产</w:t>
      </w:r>
      <w:bookmarkEnd w:id="15"/>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（一）基金资产的总值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基金资产净值是指基金资产总值扣除基金负债后的价值。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其构成主要有：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1、基金份额持有人申购基金份额所支付的款项；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2、运用基金财产所获得收益（亏损）；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3、以前年度实现的尚未分配的收益或尚未弥补的亏损。</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份额登记机构自有的财产账户以及其他基金财产账户相独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（四）基金财产的保管与处分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1、基金财产应独立于基金管理人、基金托管人的固有财产。基金管理人、基金托管人不得将基金财产归入其固有财产。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2、基金管理人、基金托管人因基金财产的管理、运用或者其他情形而取得的财产和收益，归入基金财产。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3、基金管理人、基金托管人因依法解散、被依法撤销或者被依法宣告破产等原因进行清算的，基金财产不属于其清算财产。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4、非因基金财产本身承担的债务，不得对基金财产强制执行。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5、基金管理人、基金托管人可以按基金合同的规定，收取管理费、托管费及其他费用。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6、除依法律法规和基金合同的规定处分外，基金财产不得被处分。</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16" w:name="_Toc231982090"/>
      <w:r>
        <w:rPr>
          <w:rFonts w:ascii="Times New Roman" w:hAnsi="Times New Roman"/>
          <w:sz w:val="30"/>
        </w:rPr>
        <w:lastRenderedPageBreak/>
        <w:t>十三、基金资产的估值</w:t>
      </w:r>
      <w:bookmarkEnd w:id="16"/>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基金资产估值的目的是客观、准确地反映基金财产是否保值、增值，依据经基金资产估值后确定的基金资产净值而计算出的基金份额净值，是计算基金申购与赎回价格的基础。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本基金的估值日为相关的证券交易场所的正常营业日以及国家法律法规规定需要对外披露基金净值的非营业日。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本基金按以下方式进行估值：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1.股票估值方法：</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(1)上市流通股票按估值日其所在证券交易所的收盘价估值；估值日无交易的，以最近交易日的收盘价估值。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1）首次发行未上市的股票，按成本计量；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2）送股、转增股、配股和公开增发新股等发行未上市的股票，按估值日在证券交易所挂牌的同一股票的市价估值；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3）首次公开发行有明确锁定期的股票，同一股票在交易所上市后，按交易所上市的同一股票的市价估值；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4）非公开发行有明确锁定期的流通受限股票，按监管机构或行业协会有关规定确定公允价值；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本基金投资存托凭证的估值核算依照境内上市交易的股票执行。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(3)小项规定的方法对基金资产进行估值，均应被认为采用了适当的估值方法。但是，如果基金管理人认为按本项第(1)－(3)小项规定的方法对基金资产进行估值不能客观反映其公允价值的，基金管理人可根据具体情况，并与基金托管人商定后，按最能反映公允价值的价格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(4)国家有最新规定的，按其规定进行估值。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2.债券估值方法：</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 交易所市场上市交易或挂牌转让的固定收益品种（另有规定的除外），选取第三方估值机构提供的相应品种当日的估值净价进行估值；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市场未实行净价交易的债券按估值日收盘价减去债券收盘价中所含的应收利息(自债券计息起始日或上一起息日至估值当日的利息)得到的净价进行估值，估值日没有交易的，以最近交易日的收盘净价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发行未上市债券采用估值技术确定公允价值，在估值技术难以可靠计量公允价值的情况下，按成本进行后续计量；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(4)在全国银行间债券市场交易的债券、资产支持证券等固定收益品种，采用估值技术确定公允价值；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(5)同一债券同时在两个或两个以上市场交易的，按债券所处的市场分别估值；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任何情况下，基金管理人如采用本项第(1)－(5)小项规定的方法对基金资产进行估值，均应被认为采用了适当的估值方法。但是，如果基金管理人认为按本项第(1)－(5)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(7)国家有最新规定的，按其规定进行估值。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3.权证估值方法：</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(1)基金持有的权证，从持有确认日起到卖出日或行权日止，上市交易的权证按估值日在证券交易所挂牌的该权证的收盘价估值；估值日没有交易的，按最近交易日的收盘价估值；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未上市交易的权证采用估值技术确定公允价值；在估值技术难以可靠计量公允价值的情况下，按成本计量；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任何情况下，基金管理人如采用本项第(1)小项规定的方法对基金资产进行估值，均应被认为采用了适当的估值方法。但是，如果基金管理人认为按本项第(1)小项规定的方法对基金资产进行估值不能客观反映其公允价值的，基金管理人可根据具体情况，并与基金托管人商定后，按最能反映公允价值的价格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(3)国家有最新规定的，按其规定进行估值。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4.如基金管理人或基金托管人发现基金估值违反基金合同订明的估值方法、程</w:t>
      </w:r>
      <w:r>
        <w:rPr>
          <w:rFonts w:ascii="宋体" w:hAnsi="宋体"/>
          <w:sz w:val="24"/>
        </w:rPr>
        <w:lastRenderedPageBreak/>
        <w:t>序及相关法律法规的规定或者未能充分维护基金份额持有人利益时，应立即通知对方，共同查明原因，双方协商解决。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（四）估值对象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基金所拥有的股票、债券和银行存款本息、应收款项、其它投资等资产。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基金份额净值是按照每个工作日闭市后，基金资产净值除以当日基金份额的余额数量计算，精确到0.0001元，小数点后第五位四舍五入。国家另有规定的，从其规定。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每个工作日计算基金资产净值及基金份额净值，并按规定公告。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每个工作日对基金资产估值。基金管理人每个工作日对基金资产估值后，将基金份额净值结果发送基金托管人，基金托管人按法律法规、基金合同规定的估值方法、时间、程序进行复核；经基金托管人复核无误后，由基金管理人对外公布；月末、年中和年末估值复核与基金会计账目的核对同时进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（六）基金份额净值的确认和估值错误的处理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基金管理人和基金托管人将采取必要、适当、合理的措施确保基金资产估值的准确性、及时性。当基金份额净值小数点后4位以内(含第4位)发生差错时，视为基金份额净值错误。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差错处理的原则和方法如下：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(1)基金份额净值出现错误时，基金管理人应当立即予以纠正，通报基金托管人，并采取合理的措施防止损失进一步扩大；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错误偏差达到基金份额净值的0.25%时，基金管理人应当通报基金托管人并报中国证监会备案；错误偏差达到基金份额净值的0.5%时，基金管理人应当公告；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(3)因基金份额净值计算错误，给基金或基金份额持有人造成损失的，应由基金管理人先行赔付，基金管理人按差错情形，有权向其他当事人追偿。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(4)基金管理人和基金托管人由于各自技术系统设置而产生的净值计算尾差，</w:t>
      </w:r>
      <w:r>
        <w:rPr>
          <w:rFonts w:ascii="宋体" w:hAnsi="宋体"/>
          <w:sz w:val="24"/>
        </w:rPr>
        <w:lastRenderedPageBreak/>
        <w:t>以基金管理人计算结果为准。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(5)前述内容如法律法规或监管机关另有规定的，从其规定处理。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本合同的当事人应将按照以下约定处理：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份额登记机构、或销售机构、或投资人自身的过错造成差错，导致其他当事人遭受损失的，过错的责任人应当对由于该差错遭受损失的当事人（“受损方”）按下述“差错处理原则”给予赔偿承担赔偿责任。</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w:t>
      </w:r>
      <w:r>
        <w:rPr>
          <w:rFonts w:ascii="宋体" w:hAnsi="宋体"/>
          <w:sz w:val="24"/>
        </w:rPr>
        <w:lastRenderedPageBreak/>
        <w:t>失的差额部分支付给差错责任方。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过错造成基金财产损失时，基金托管人应为基金的利益向基金管理人追偿，如果因基金托管人过错造成基金财产损失时，基金管理人应为基金的利益向基金托管人追偿。除基金管理人和托管人之外的第三方造成基金财产的损失，并拒绝进行赔偿时，由基金管理人负责向差错方追偿；追偿过程中产生的有关费用，应列入基金费用，从基金资产中支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过错的当事人进行追索，并有权要求其赔偿或补偿由此发生的费用和遭受的损失。</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（4）根据差错处理的方法，需要修改基金份额登记机构的交易数据的，由基金份额登记机构进行更正，并就差错的更正向有关当事人进行确认；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（5）基金管理人及基金托管人基金资产净值计算错误偏差达到基金资产净值0.25%时，基金管理人应当通报基金托管人并报中国证监会备案；错误偏差达到基金资产净值0.5%时，基金管理人应当公告。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1.基金投资所涉及的证券交易所遇法定节假日或因其他原因暂停营业时；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2.因不可抗力或其它情形致使基金管理人、基金托管人无法准确评估基金资产价值时；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3.占基金相当比例的投资品种的估值出现重大转变，而基金管理人为保障投资人的利益，已决定延迟估值；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4.如出现基金管理人认为属于紧急事故的任何情况，会导致基金管理人不能出售或评估基金资产的；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5.当前一估值日基金资产净值50%以上的资产出现无可参考的活跃市场价格且采用估值技术仍导致公允价值存在重大不确定性时，经与基金托管人协商一致的，基金管理人应当暂停估值；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6.中国证监会和基金合同认定的其它情形。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 基金净值的确认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工作日交易结束后计算当日的基金资产净值并发送给基金托管人。基金托管人按法律法规、基金合同规定的估值方法、时间、程序进行复核；经基金托管人复核无误后，由基金管理人对基金净值予以公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1.基金管理人或基金托管人按股票估值方法的第(4)项、债券估值方法的第(6)项或权证估值方法的第(2)项进行估值时，所造成的误差不作为基金资产估值错误处理。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及登记结算公司发送的数据错误，本基金管理人和本基金托管人虽然已经采取必要、适当、合理的措施进行检查，但未能发现错误的，由此造成的基金资产估值错误，本基金管理人和本基金托管人可以免除赔偿责任。但本基金管理人和本基金托管人应当积极采取必要的措施消除由此造成的影响。</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17" w:name="_Toc231982091"/>
      <w:r>
        <w:rPr>
          <w:rFonts w:ascii="Times New Roman" w:hAnsi="Times New Roman"/>
          <w:sz w:val="30"/>
        </w:rPr>
        <w:lastRenderedPageBreak/>
        <w:t>十四、基金收益与分配</w:t>
      </w:r>
      <w:bookmarkEnd w:id="17"/>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（一）基金收益的构成</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基金收益包括：买卖证券差价、基金投资所得红利、股息、债券利息、银行存款利息、已实现的其他合法收入。因运用基金财产带来的成本或费用的节约应计入收益。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（二）基金净收益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基金净收益为基金收益扣除按照国家有关规定可以在基金收益中扣除的费用后的余额。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1、本基金的每份基金份额享有同等分配权；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2、基金收益分配后每一基金份额净值不能低于面值；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分配时所发生的银行转账或其他手续费用由投资人自行承担。当投资人的现金红利小于一定金额，不足以支付银行转账或其他手续费用时，基金份额登记机构可将投资人的现金红利按红利发放日的基金份额净值自动转为基金份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4、本基金收益每年最多分配10次，每次基金收益分配比例不低于可分配收益的50%；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收益分配方式分为两种：现金分红与红利再投资，投资人可选择现金红利或将现金红利按除息日的基金份额净值自动转为基金份额进行再投资；若投资人不选择，本基金默认的收益分配方式是现金分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6、基金收益分配比例按有关规定制定；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7、基金投资当期出现净亏损，则不进行收益分配；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8、基金当年收益应先弥补上一年度亏损后，方可进行当年收益分配；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9、在符合有关基金分红条件的前提下，本基金收益每年至少分配一次，但若基金合同生效不满3个月则可不进行收益分配；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10、法律法规或监管机构另有规定的从其规定。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基金收益分配方案中应载明基金收益分配对象、分配原则、分配时间、分配数额及比例、分配方式、支付方式等内容。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（五）收益分配方案的确定、公告与实施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1、基金收益分配方案由基金管理人拟订，由基金托管人复核，依照《信息披露办法》的有关规定在中国证监会指定媒介上公告。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2、在分配方案公布后(依据具体方案的规定)，基金管理人就支付的现金红利向基金托管人发送划款指令，基金托管人按照基金管理人的指令及时进行分红资金的划付。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现金红利分配时所发生的银行转账或其他手续费用由投资人自行承担。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不同的交易账户可设置不同的收益分配方式。投资者同一日多次申报分红方式变更的，按照《业务规则》执行，最终确认的分红方式以份额登记机构记录为准。</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18" w:name="_Toc231982092"/>
      <w:r>
        <w:rPr>
          <w:rFonts w:ascii="Times New Roman" w:hAnsi="Times New Roman"/>
          <w:sz w:val="30"/>
        </w:rPr>
        <w:lastRenderedPageBreak/>
        <w:t>十五、基金的费用与税收</w:t>
      </w:r>
      <w:bookmarkEnd w:id="18"/>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3、基金财产拨划支付的银行费用；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4、基金合同生效后的信息披露费用；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6、基金合同生效后与基金相关的会计师费和律师费；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8、在有关规定允许的前提下，本基金可以从基金财产中计提销售服务费，销售服务费的具体计提方法、计提标准在有关公告中载明。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9、按照国家有关规定可以在基金财产中列支的其他费用。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本基金基金合同终止清算时所发生费用，按实际支出额从基金财产总值中扣除。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与基金运作有关的费用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在通常情况下，基金管理费按前一日基金资产净值的年费率计提。计算方法如下：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H＝E×年管理费率÷当年天数，本基金年管理费率为1.2%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向基金托管人发送基金管理费划付指令，经基金托管人复核后于次月首日起3个工作日内从基金财产中一次性支付给基金管理人，若遇法定节假日、休息日，支付日期顺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在通常情况下，基金托管费按前一日基金资产净值的年费率计提。计算方法如下：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H＝E×年托管费率÷当年天数，本基金年托管费率为0.2%</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向基金托管人发送基金托管费划付指令，经基金托管人复核后于次月首日起3个工作日内从基金财产中一次性支付给基金托管人，若遇法定节假日、休息日，支付日期顺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（3）上述一、基金费用的种类中3－7、9项费用由基金托管人根据有关法规及相应协议规定，按费用实际支出金额列入当期费用，从基金财产中支付。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与基金销售有关的费用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本基金申购费的费率水平、计算公式和收取方式详见“基金的申购与赎回”一章。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本基金赎回费的费率水平、计算公式和收取方式详见“基金的申购与赎回”一章。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基金募集期间的信息披露费、会计师费、律师费及其他费用，不得从基金财产中列支。其他具体不列入基金费用的项目依据中国证监会有关规定执行。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（四）基金管理费和托管费的调整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调整基金管理费率或基金托管费率。调高基金管理费率或基金托管费率，须召开基金份额持有人大会审议；调低基金管理费率或基金托管费率，无须召开基金份额持有人大会。基金管理人必须最迟于新的费率实施日前3个工作日在中国证监会指定的媒体上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（五）基金税收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5A54EF" w:rsidRDefault="00D73F2E">
      <w:pPr>
        <w:pStyle w:val="1"/>
        <w:snapToGrid w:val="0"/>
        <w:spacing w:beforeLines="0" w:before="240" w:after="240"/>
        <w:rPr>
          <w:rFonts w:ascii="宋体" w:hAnsi="宋体"/>
          <w:szCs w:val="30"/>
        </w:rPr>
      </w:pPr>
      <w:bookmarkStart w:id="19" w:name="_Toc231982093"/>
      <w:r>
        <w:rPr>
          <w:rFonts w:ascii="Times New Roman" w:hAnsi="Times New Roman"/>
          <w:sz w:val="30"/>
        </w:rPr>
        <w:lastRenderedPageBreak/>
        <w:t>十六、基金的会计与审计</w:t>
      </w:r>
      <w:bookmarkEnd w:id="19"/>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2、本基金的会计年度为公历每年的1月1日至12月31日，如果基金首次募集的会计年度，基金合同生效少于2个月，可以并入下一个会计年度；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（二）基金审计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1、基金管理人聘请具有从事证券、期货相关业务资格的会计师事务所及其注册会计师对本基金年度财务报表及其他规定事项进行审计。会计师事务所及其注册会计师与基金管理人、基金托管人相互独立。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2、会计师事务所更换经办注册会计师时，应事先征得基金管理人和基金托管人同意。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或基金托管人)认为有充足理由更换会计师事务所，经基金托管人(或基金管理人)同意后可以更换。就更换会计师事务所，基金管理人应当依照《信息披露办法》的有关规定在中国证监会指定媒介上公告。</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20" w:name="_Toc231982094"/>
      <w:r>
        <w:rPr>
          <w:rFonts w:ascii="Times New Roman" w:hAnsi="Times New Roman"/>
          <w:sz w:val="30"/>
        </w:rPr>
        <w:lastRenderedPageBreak/>
        <w:t>十七、基金的信息披露</w:t>
      </w:r>
      <w:bookmarkEnd w:id="20"/>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信息披露应符合《基金法》、《运作办法》、《信息披露办法》、《流动性规定》、基金合同及其他有关规定。本基金信息披露义务人以保护基金份额持有人利益为根本出发点，按照法律法规和中国证监会的规定披露基金信息，并保证所披露信息的真实性、准确性、完整性、及时性、简明性和易得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本基金信息披露义务人承诺公开披露的基金信息，不得有下列行为：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本基金公开披露的信息应采用中文文本。如同时采用外文文本的，基金信息披露义务人应保证不同文本的内容一致。不同文本之间发生歧义的，以中文文本为准。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(一)招募说明书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招募说明书是基金向社会公开销售时对基金情况进行说明的法律文件。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w:t>
      </w:r>
      <w:r>
        <w:rPr>
          <w:rFonts w:ascii="宋体" w:hAnsi="宋体"/>
          <w:sz w:val="24"/>
        </w:rPr>
        <w:lastRenderedPageBreak/>
        <w:t>不再更新基金招募说明书。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(二)基金合同、托管协议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基金管理人应在基金份额发售的3日前，将基金合同摘要登载在指定报刊和网站上；基金管理人、基金托管人应将基金合同、托管协议登载在各自网站上。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(三)基金产品资料概要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(四)基金份额发售公告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基金管理人将按照《基金法》、《信息披露办法》的有关规定，就基金份额发售的具体事宜编制基金份额发售公告，并在披露招募说明书的当日登载于指定报刊和网站上。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(五)基金合同生效公告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基金管理人将在基金合同生效的次日在指定报刊和网站上登载基金合同生效公告。基金合同生效公告中将说明基金募集情况。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(六)基金份额上市交易公告书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基金份额获准在证券交易所上市交易的，基金管理人应当在基金份额上市交易的三个工作日前，将基金份额上市交易公告书登载在指定网站上，并将上市交易公告书提示性公告登载在指定报刊上。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(七)基金净值信息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1、《基金合同》生效后，在开始办理基金份额申购或者赎回前，基金管理人应当至少每周在指定网站披露一次基金份额净值和基金份额累计净值；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2、在开始办理基金份额申购或者赎回后，基金管理人应当在不晚于每个开放日的次日，通过指定网站、销售机构网站或者营业网点披露开放日的基金份额净值和基金份额累计净值；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3、基金管理人应当在不晚于半年度和年度最后一日的次日，在指定网站披露半年度和年度最后一日的基金份额净值和基金份额累计净值。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(八)基金份额申购、赎回价格公告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基金管理人应当在《基金合同》、招募说明书等信息披露文件上载明基金份额申购、赎回价格的计算方式及有关申购、赎回费率，并保证投资者能够在基金销售机构网站或营业网点查阅或者复制前述信息资料。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(九)基金年度报告、基金中期报告、基金季度报告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2、基金管理人应当在上半年结束之日起两个月内，编制完成基金中期报告，将中期报告登载在指定网站上，并将中期报告提示性公告登载在指定报刊上；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3、基金管理人应当在季度结束之日起15个工作日内，编制完成基金季度报告，将季度报告登载在指定网站上，并将季度报告提示性公告登载在指定报刊上。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4、《基金合同》生效不足2个月的，基金管理人可以不编制当期季度报告、中期报告或者年度报告；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6、基金管理人应当在基金年度报告和中期报告中披露基金组合资产情况及其流动性风险分析等。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(十)临时报告与公告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在基金运作过程中发生如下可能对基金份额持有人权益或者基金份额的价格产生重大影响的事件时，有关信息披露义务人应当在2日内编制临时报告书，并登载在指定报刊和指定网站上：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w:t>
      </w:r>
      <w:r>
        <w:rPr>
          <w:rFonts w:ascii="宋体" w:hAnsi="宋体"/>
          <w:sz w:val="24"/>
        </w:rPr>
        <w:lastRenderedPageBreak/>
        <w:t>项，基金托管人委托基金服务机构代为办理基金的核算、估值、复核等事项；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22、基金信息披露义务人认为可能对基金份额持有人权益或者基金份额的价格产生重大影响的其他事项或中国证监会规定的其他事项。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(十一)澄清公告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w:t>
      </w:r>
      <w:r>
        <w:rPr>
          <w:rFonts w:ascii="宋体" w:hAnsi="宋体"/>
          <w:sz w:val="24"/>
        </w:rPr>
        <w:lastRenderedPageBreak/>
        <w:t>有人权益的，相关信息披露义务人知悉后应当立即对该消息进行公开澄清，并将有关情况立即报告中国证监会。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(十二)基金份额持有人大会决议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(十三)清算报告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《基金合同》终止的，基金管理人应当依法组织基金财产清算小组对基金财产进行清算并作出清算报告。基金财产清算小组应当将清算报告登载在指定网站上，并将清算报告提示性公告登载在指定报刊上。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(十四)信息披露事务管理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(十五)中国证监会规定的其他信息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(十六)信息披露文件的存放与查阅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(十七)本基金信息披露事项以法律法规规定及本章节约定的内容为准。</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21" w:name="_Toc231982095"/>
      <w:r>
        <w:rPr>
          <w:rFonts w:ascii="Times New Roman" w:hAnsi="Times New Roman"/>
          <w:sz w:val="30"/>
        </w:rPr>
        <w:lastRenderedPageBreak/>
        <w:t>十八、风险揭示</w:t>
      </w:r>
      <w:bookmarkEnd w:id="21"/>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基金总份额的百分之十时，投资人将可能无法及时赎回持有的全部基金份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虽然本基金可以通过经济周期理论下的资产配置来降低这种风险，但不能完全规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本基金属于开放式基金，在基金的所有开放日，基金管理人都有义务接受投资人的申购和赎回。如果基金资产不能迅速转变成现金，或者变现为现金时使资金净</w:t>
      </w:r>
      <w:r>
        <w:rPr>
          <w:rFonts w:ascii="宋体" w:hAnsi="宋体"/>
          <w:sz w:val="24"/>
        </w:rPr>
        <w:lastRenderedPageBreak/>
        <w:t>值产生不利的影响，都会影响基金运作和收益水平。尤其是在发生巨额赎回时，如果基金资产变现能力差，可能会产生基金仓位调整的困难，导致流动性风险，可能影响基金份额净值。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日的基金总份额的10%，即认为是发生了巨额赎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当基金出现巨额赎回时，基金管理人可以根据基金当时的资产组合状况决定全额赎回或部分顺延赎回。</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(1)全额赎回：当基金管理人认为有能力支付投资人的赎回申请时，按正常赎回程序执行。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投资人的赎回申请有困难或认为支付投资人的赎回申请而进行的财产变现可能会对基金资产净值造成较大波动时，基金管理人在当日接受赎回比例不低于上一日基金总份额的10％的前提下，对其余赎回申请延期办理。对于当日的赎回申请，应当按单个账户赎回申请量占赎回申请总量的比例，确定当日受理的赎回份额；投资人未能赎回部分，投资人在提交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放日的基金份额净值为基础计算赎回金额，并以此类推，直到全部赎回为止。如投资人在提</w:t>
      </w:r>
      <w:r>
        <w:rPr>
          <w:rFonts w:ascii="宋体" w:hAnsi="宋体"/>
          <w:sz w:val="24"/>
        </w:rPr>
        <w:lastRenderedPageBreak/>
        <w:t>交赎回申请时未作明确选择，投资人未能赎回部分作自动延期赎回处理。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顺延赎回”的约定方式与其他基金份额持有人的赎回申请一并办理。但是，如基金份额持有人在当日选择取消赎回，则其当日未获受理的部分赎回申请将被撤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（四）信用风险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（五）本基金投资策略所特有的风险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通过在股票、债券和现金等各类资产之间进行配置来降低风险，提高收益。如果债券市场和股票市场同时出现整体下跌，本基金的净值表现将受到影响。基金虽然采用自上而下进行资产配置的投资策略，但并不能完全抵御两个市场同时下跌的风险，此外，在股市大幅上涨时也不能完全保证基金净值能够完全跟随或超越大盘走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了上述股/债市整体风险外，本基金采取的是经济周期理论下的资产配置策略，根据对经济周期的判断进行阶段性的资产动态配置，如果对经济周期的判断与实际情况出现偏差，则可能导致阶段性的资产配置策略偏离甚至背离最优策略，影响组合绩效，产生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w:t>
      </w:r>
      <w:r>
        <w:rPr>
          <w:rFonts w:ascii="宋体" w:hAnsi="宋体"/>
          <w:sz w:val="24"/>
        </w:rPr>
        <w:lastRenderedPageBreak/>
        <w:t>限制，第六个交易日开始涨跌幅限制比例为20%。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（六）投资科创板股票的特定风险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（七）投资存托凭证的特定风险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（八）本基金法律文件风险收益特征表述与销售机构基金风险评价可能不一致的风险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（九）其他风险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因技术因素而产生的风险，如电脑系统不可靠产生的风险；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因基金业务快速发展，在制度建设、人员配备、内控制度建立等方面的不完善产生的风险；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因人为因素而产生的风险、如内幕交易、欺诈行为等产生的风险；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对主要业务人员如基金经理的依赖而可能产生的风险；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因业务竞争压力可能产生的风险；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战争、自然灾害等不可抗力可能导致基金财产的损失，影响基金收益水</w:t>
      </w:r>
      <w:r>
        <w:rPr>
          <w:rFonts w:ascii="宋体" w:hAnsi="宋体"/>
          <w:sz w:val="24"/>
        </w:rPr>
        <w:lastRenderedPageBreak/>
        <w:t>平，从而带来风险；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其他意外导致的风险。</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22" w:name="_Toc231982096"/>
      <w:r>
        <w:rPr>
          <w:rFonts w:ascii="Times New Roman" w:hAnsi="Times New Roman"/>
          <w:sz w:val="30"/>
        </w:rPr>
        <w:lastRenderedPageBreak/>
        <w:t>十九、基金合同的终止与基金财产的清算</w:t>
      </w:r>
      <w:bookmarkEnd w:id="22"/>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(4)基金合并、撤销；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(5)基金合同规定的其他情况或中国证监会允许的其他情况。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基金合同终止时，基金管理人应予公告并组织清算小组对基金财产进行清算。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（二）基金财产清算小组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基金合同终止时，成立基金清算小组，基金清算小组在中国证监会的监督下进行基金清算。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基金清算小组成员由基金管理人、基金托管人、具有从事证券相关业务资格的注册会计师、律师以及中国证监会指定的人员组成。基金清算小组可以聘用必要的工作人员。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基金财产清算小组接管基金资产后，负责基金财产的保管、清理、估价、变现和分配。基金财产清算小组可以依法进行必要的民事活动。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（三）清算程序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1、基金合同终止后，发布基金清算公告；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2、基金合同终止时，由基金清算小组统一接管基金财产；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5、聘请律师事务所出具法律意见书；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6、聘请会计师事务所对清算报告进行审计；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7、将基金清算结果报告中国证监会；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8、参加与基金财产有关的民事诉讼；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10、对基金剩余财产进行分配。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清算费用是指基金财产清算小组在进行基金清算过程中发生的所有合理费用，清算费用由清算小组优先从基金财产中支付。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（五）基金资产按下列顺序清偿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基金财产按前款1-4项规定依顺序清偿，在上一顺序权利人未得以清偿前，不进行对下一顺序权利人的分配。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（六）基金清算的公告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基金财产清算公告于基金合同终止并报中国证监会备案后5个工作日内由基金清算小组公告；清算过程中的有关重大事项须及时公告；基金财产清算结果由基金财产清算小组经中国证监会备案后3个工作日内公告。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（七）基金清算账册及文件的保存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基金清算账册及有关文件由基金托管人保存15年以上。</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23" w:name="_Toc231982097"/>
      <w:r>
        <w:rPr>
          <w:rFonts w:ascii="Times New Roman" w:hAnsi="Times New Roman"/>
          <w:sz w:val="30"/>
        </w:rPr>
        <w:lastRenderedPageBreak/>
        <w:t>二十、基金合同内容摘要</w:t>
      </w:r>
      <w:bookmarkEnd w:id="23"/>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（一）基金合同当事人及权利义务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（2）自本基金合同生效之日起，依照有关法律法规和本基金合同的规定独立运用基金财产；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（3）依照基金合同收取基金认购费、申购费、基金赎回手续费和管理费以及法律法规规定或监管部门批准的其他收入；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（5）依照法律法规为基金的利益对被投资公司行使股东权利，为基金的利益行使因基金财产投资于证券所产生的权利；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（6）在符合有关法律法规的前提下，制订和调整开放式基金业务规则，决定和调整基金的除调高托管费率和管理费率之外的相关费率结构和收费方式；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（7）依据本基金合同及有关法律法规规定决定基金收益的分配方案；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根据本基金合同及有关规定监督基金托管人，对于基金托管人违反了本基金合同或有关法律法规规定的行为，对基金资产、其他当事人的利益造成重大损失的情形，应及时呈报中国证监会和银行业监督管理机构，并采取必要措施保护基金及相关当事人的利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（9）在基金合同约定的范围内，拒绝或暂停受理申购和赎回申请；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（10）在法律法规允许的前提下，为基金的利益依法为基金进行融资；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（11）以基金管理人的名义，代表基金份额持有人的利益行使诉讼权利或者实施其他法律行为；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（12）选择、更换份额登记机构，并对份额登记机构的代理行为进行必要的监督和检查；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（13）选择、更换销售机构，并依据销售协议和有关法律法规，对其行为进行必要的监督和检查；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（14）选择、更换律师、审计师、证券经纪商或其他为基金提供服务的外部机</w:t>
      </w:r>
      <w:r>
        <w:rPr>
          <w:rFonts w:ascii="宋体" w:hAnsi="宋体"/>
          <w:sz w:val="24"/>
        </w:rPr>
        <w:lastRenderedPageBreak/>
        <w:t>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（15）在基金托管人更换时，提名新的基金托管人；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（16）依法召集基金份额持有人大会；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（17）法律法规和基金合同规定的其他权利。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（1）依法募集基金，办理或者委托经国务院证券监督管理机构认定的其他机构办理基金份额的发售、申购、赎回和登记事宜；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（3）按照基金合同的约定确定基金收益分配方案，及时向基金份额持有人分配收益；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（4）进行基金会计核算并编制基金财务会计报告；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（5）编制季度报告、中期报告和年度报告；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（6）计算并公告基金净值信息，确定基金份额申购、赎回价格；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（7）保存基金财产管理业务活动的记录、账册、报表和其他相关资料；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（8）以基金管理人名义，代表基金份额持有人利益行使诉讼权利或者实施其他法律行为；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（9）自基金合同生效之日起，以诚实信用、勤勉尽责的原则管理和运用基金财产；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（10）配备足够的具有专业资格的人员进行基金投资分析、决策，以专业化的经营方式管理和运作基金财产；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（11）建立健全内部风险控制、监察与稽核、财务管理及人事管理等制度，保证所管理的基金财产和管理人的财产相互独立，对所管理的不同基金分别管理，分别记账，进行证券投资；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（12）除依据《基金法》、基金合同及其他有关规定外，不得为自己及任何第三人谋取利益，不得委托第三人运作基金财产；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（13）依法接受基金托管人的监督；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（14）采取适当合理的措施使计算基金份额认购、申购、赎回和注销价格的方法符合基金合同等法律文件的规定；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（15）严格按照《基金法》、基金合同及其他有关规定，履行信息披露及报告</w:t>
      </w:r>
      <w:r>
        <w:rPr>
          <w:rFonts w:ascii="宋体" w:hAnsi="宋体"/>
          <w:sz w:val="24"/>
        </w:rPr>
        <w:lastRenderedPageBreak/>
        <w:t>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（16）保守基金商业秘密，不得泄露基金投资计划、投资意向等。除《基金法》、基金合同及其他有关规定另有规定外，在基金信息公开披露前应予保密，不得向他人泄露；</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（17）按规定受理申购和赎回申请，及时、足额支付赎回款项；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（18）依据《基金法》、基金合同及其他有关规定召集基金份额持有人大会或配合基金托管人、基金份额持有人依法召集基金份额持有人大会；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（19）组织并参加基金财产清算小组，参与基金财产的保管、清理、估价、变现和分配；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（20）因违反基金合同导致基金财产的损失或损害基金份额持有人合法权益，应当承担赔偿责任，其赔偿责任不因其退任而免除；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（21）基金托管人违反基金合同造成基金财产损失时，应为基金份额持有人利益向基金托管人追偿；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（22）按规定向基金托管人提供基金份额持有人名册相关资料；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（23）面临解散、依法被撤销或者被依法宣告破产时，及时报告中国证监会并通知基金托管人；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（24）执行生效的基金份额持有人大会的决定；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（25）不从事任何有损基金及其他基金当事人利益的活动；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（26）依照法律法规为基金的利益对被投资公司行使股东权利，为基金的利益行使因基金财产投资于证券所产生的权利，不谋求对上市公司的控股和直接管理；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（27）法律法规、国务院证券监督管理机构和基金合同规定的其他义务。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（1）依基金合同约定获得基金托管费以及法律法规规定或监管部门批准的其他收入；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（3）自本基金合同生效之日起，依法保管基金资产；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（5）根据本基金合同及有关规定监督基金管理人，对于基金管理人违反本基</w:t>
      </w:r>
      <w:r>
        <w:rPr>
          <w:rFonts w:ascii="宋体" w:hAnsi="宋体"/>
          <w:sz w:val="24"/>
        </w:rPr>
        <w:lastRenderedPageBreak/>
        <w:t>金合同或有关法律法规规定的行为，对基金资产、其他当事人的利益造成重大损失的情形，应及时呈报中国证监会，并采取必要措施保护基金及相关当事人的利益；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（6）依法召集基金份额持有人大会；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（7）按规定取得基金份额持有人名册；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（8）法律法规和基金合同规定的其他权利。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（1）安全保管基金财产；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（2）按规定开设基金财产的资金账户和证券账户；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（3）对所托管的不同基金财产分别设置账户，确保基金财产的完整与独立；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（4）保存基金托管业务活动的记录、账册、报表和其他相关资料；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（5）按照基金合同的约定，根据基金管理人的投资指令，及时办理清算、交割事宜；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（6）办理与基金托管业务活动有关的信息披露事项；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（9）按照规定监督基金管理人的投资运作；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（10）设立专门的基金托管部，具有符合要求的营业场所，配备足够的、合格的熟悉基金托管业务的专职人员，负责基金财产托管事宜；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（11）除依据《基金法》、基金合同及其他有关规定外，不得为自己及任何第三人谋取利益，不得委托第三人托管基金财产；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（12）保管由基金管理人代表基金签订的与基金有关的重大合同及有关凭证；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（13）保守基金商业秘密。除《基金法》、基金合同及其他有关规定另有规定外，在基金信息公开披露前应予保密，不得向他人泄露；</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（14）建立并保存基金份额持有人名册；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（15）按规定制作相关账册并与基金管理人核对；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（16）依据基金管理人的指令或有关规定向基金份额持有人支付基金收益和赎</w:t>
      </w:r>
      <w:r>
        <w:rPr>
          <w:rFonts w:ascii="宋体" w:hAnsi="宋体"/>
          <w:sz w:val="24"/>
        </w:rPr>
        <w:lastRenderedPageBreak/>
        <w:t>回款项；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（17）按照规定召集基金份额持有人大会或配合基金份额持有人依法自行召集基金份额持有人大会；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（18）因违反基金合同导致基金财产损失，应承担赔偿责任，其赔偿责任不因其退任而免除；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（19）基金管理人因违反基金合同造成基金财产损失时，应为基金向基金管理人追偿；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（20）参加基金财产清算小组，参与基金财产的保管、清理、估价、变现和分配；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（21）面临解散、依法被撤销或者被依法宣告破产时，及时报告中国证监会和银行业监督管理机构，并通知基金管理人；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（22）执行生效的基金份额持有人大会的决定；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（23）不从事任何有损基金及其他基金当事人利益的活动；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（24）法律法规、国务院证券监督管理机构和基金合同规定的其他义务。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（3）依法转让或者申请赎回其持有的基金份额；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（8）对基金管理人、基金托管人、基金份额发售机构损害其合法权益的行为依法提起诉讼；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w:t>
      </w:r>
      <w:r>
        <w:rPr>
          <w:rFonts w:ascii="宋体" w:hAnsi="宋体"/>
          <w:sz w:val="24"/>
        </w:rPr>
        <w:lastRenderedPageBreak/>
        <w:t>不限于：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（2）交纳基金认购、申购款项及法律法规和基金合同所规定的费用；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（4）不从事任何有损基金及基金份额持有人合法权益的活动；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（5）执行生效的基金份额持有人大会决议；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（6）返还在基金交易过程中因任何原因，自基金管理人、基金托管人及基金管理人的代理人处获得的不当得利；</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（7）法律法规和基金合同规定的其他义务。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本基金合同当事各方的权利义务以本基金合同为依据，不因基金账户名称而有所改变。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1、基金份额持有人大会由基金份额持有人或基金份额持有人的合法授权代表共同组成。基金份额持有人持有的每一基金份额拥有平等的投票权。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2、召开事由</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或需要决定下列事由之一的，经基金管理人、基金托管人或持有基金份额10%以上（含10%，下同）的基金份额持有人（以基金管理人收到提议当日的基金份额计算，下同）提议时，应当召开基金份额持有人大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（5）变更基金份额持有人大会议事程序；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（7）提高基金管理人、基金托管人的报酬标准。但根据法律法规的要求提高该等报酬标准的除外；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（9）对基金当事人权利和义务产生重大影响的其他事项；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出现以下情形之一的，可由基金管理人和基金托管人协商后修改，不需召开基金份额持有人大会：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（1）调低基金管理费、基金托管费、其他应由基金承担的费用；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（2）在法律法规和本基金合同规定的范围内变更基金的申购费率、赎回费率或收费方式；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（3）因相应的法律法规发生变动必须对基金合同进行修改；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（4）对基金合同的修改不涉及本基金合同当事人权利义务关系发生变化；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（5）基金合同的修改对基金份额持有人利益无实质性不利影响；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（6）按照法律法规或本基金合同规定不需召开基金份额持有人大会的其他情形。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3、召集人和召集方式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（1）除法律法规或本基金合同另有约定外，基金份额持有人大会由基金管理人召集，开会时间、地点、方式和权益登记日由基金管理人选择确定。基金管理人未按规定召集或者不能召集时，由基金托管人召集。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并确定开会时间、地点、方式和权益登记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w:t>
      </w:r>
      <w:r>
        <w:rPr>
          <w:rFonts w:ascii="宋体" w:hAnsi="宋体"/>
          <w:sz w:val="24"/>
        </w:rPr>
        <w:lastRenderedPageBreak/>
        <w:t>备案。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30天在指定媒介公告。基金份额持有人大会通知须至少载明以下内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（5）有权出席基金份额持有人大会的权益登记日；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（6）授权委托书的内容要求（包括但不限于代理人身份、代理权限和代理有效期限等）、送达时间和地点；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用通讯方式开会并进行表决的情况下，由召集人决定通讯方式和书面表决方式，并在会议通知中说明本次基金份额持有人大会所采取的具体通讯方式、委托的公证机关及其联系方式和联系人、书面表达意见的寄交的截止时间和收取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1）基金份额持有人大会的召开方式包括现场开会和通讯方式开会。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2）现场开会由基金份额持有人本人出席或通过授权委托书委派其代理人出席，现场开会时基金管理人和基金托管人的授权代表应当出席,基金管理人或基金</w:t>
      </w:r>
      <w:r>
        <w:rPr>
          <w:rFonts w:ascii="宋体" w:hAnsi="宋体"/>
          <w:sz w:val="24"/>
        </w:rPr>
        <w:lastRenderedPageBreak/>
        <w:t>托管人拒不派代表出席的,不影响表决效力。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3）通讯方式开会指按照本基金合同的相关规定以通讯的书面方式进行表决。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4）会议的召开方式由召集人确定，但决定基金管理人更换或基金托管人的更换的事宜必须以现场开会方式召开基金份额持有人大会。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①对到会者在权益登记日持有基金份额的统计显示，有效的基金份额应占权益登记日基金总份额的50%以上（含50%，下同）；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登记资料相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在基金托管人（如果基金托管人为召集人，则为基金管理人）和公证机关的监督下按照会议通知规定的方式收取和统计基金份额持有人的书面表决意见，基金管理人或基金托管人经通知拒不参加收取书面表决意见的，不影响表决效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③本人直接出具书面意见或授权他人代表出具书面意见的基金份额持有人所代表的基金份额应占权益登记日基金总份额的50%以上；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直接出具书面意见的基金份额持有人或受托代表他人出具书面意见的其他代表，同时提交的持有基金份额的凭证符合法律法规、基金合同和会议通知的规定，并与份额登记机构记录相符，并且委托人出具的代理投票授权委托书符合法律法规、基金合同和会议通知的规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⑤会议通知公布前报中国证监会备案。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采取通讯方式进行表决时，除非在计票时有充分的相反证据证明，否则表面符合法律法规和会议通知规定的书面表决意见即视为有效的表决，表决意见模糊不清</w:t>
      </w:r>
      <w:r>
        <w:rPr>
          <w:rFonts w:ascii="宋体" w:hAnsi="宋体"/>
          <w:sz w:val="24"/>
        </w:rPr>
        <w:lastRenderedPageBreak/>
        <w:t>或相互矛盾的视为弃权表决，但应当计入出具书面意见的基金份额持有人所代表的基金份额总数。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3）对于基金份额持有人提交的提案，大会召集人应当按照以下原则对提案进行审核：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份额持有人大会决定的程序进行审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利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在现场开会的方式下，首先由大会主持人按照规定程序宣布会议议事程序及注意事项，再确定和公布监票人，然后由大会主持人宣读提案，经讨论后进行表决，经合法执业的律师见证后形成大会决议。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大会由召集人的授权代表主持。如召集人为基金份额持有人，则由出席大会的</w:t>
      </w:r>
      <w:r>
        <w:rPr>
          <w:rFonts w:ascii="宋体" w:hAnsi="宋体"/>
          <w:sz w:val="24"/>
        </w:rPr>
        <w:lastRenderedPageBreak/>
        <w:t>基金份额持有人和代理人以所代表的基金份额50%以上多数选举产生一名代表作为该次基金份额持有人大会的主持人。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召集人应当制作出席会议人员的签名册。签名册载明参加会议人员姓名（或单位名称）、身份证号码、持有或代表有表决权的基金份额、委托人姓名（或单位名称）等事项。</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在通讯表决开会的方式下，首先由召集人提前30天公布提案，在所通知的表决截止日期后第2个工作日在公证机构监督下由召集人统计全部有效表决并形成决议。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基金份额持有人所持每一基金份额享有平等的表决权。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一般决议须经出席会议的基金份额持有人及其代理人所持表决权的50%以上通过方为有效，除下列（2）所规定的须以特别决议通过事项以外的其他事项均以一般决议的方式通过；</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及代理人所持表决权的三分之二以上（含三分之二）通过方为有效；涉及更换基金管理人、更换基金托管人、转换基金运作方式、终止基金合同等重大事项必须以特别决议通过方为有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基金份额持有人大会决定的事项，应当依法报中国证监会核准或者备案，并予以公告。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1）由大会召集人授权的两名监督员在基金托管人授权代表(如果基金托管人为召集人，则为基金管理人授权代表；如果基金份额持有人为召集人，则为基金托管</w:t>
      </w:r>
      <w:r>
        <w:rPr>
          <w:rFonts w:ascii="宋体" w:hAnsi="宋体"/>
          <w:sz w:val="24"/>
        </w:rPr>
        <w:lastRenderedPageBreak/>
        <w:t>人授权代表和基金管理人授权代表)的监督下进行计票，并由公证机关对其计票过程予以公证。如果基金管理人或基金托管人经通知拒不派代表监督计票的，不影响表决效力。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会议主持人对于提交的表决结果有怀疑，可以对投票数进行重新清点；如会议主持人未进行重新清点，而出席会议的基金份额持有人或代理人对会议主持人宣布的表决结果有异议，其有权在宣布表决结果后立即要求重新清点，会议主持人应当立即重新清点并公布重新清点结果。重新清点仅限一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督员在基金托管人授权代表（如果基金托管人为召集人，则为基金管理人授权代表）的监督下进行计票，并由公证机关对其计票过程予以公证。如果基金管理人或基金托管人经通知拒不派代表监督计票的，不影响表决效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9、基金份额持有人大会决议报中国证监会核准或备案后的公告时间、方式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关于本章第2条所规定的第（1）-（8）项召开事由的基金份额持有人大会决议经中国证监会核准生效后方可执行，关于本章第2条所规定的第（9）、（10）项召开事由的基金份额持有人大会决议向中国证监会备案或经中国证监会核准生效后方可执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（2）生效的基金份额持有人大会决议对全体基金份额持有人、基金管理人、基金托管人均有约束力。基金管理人、基金托管人和基金份额持有人应当执行生效的基金份额持有人大会的决定。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（3）基金份额持有人大会决议应自生效之日起3日内在指定媒介公告。如果采用通讯方式进行表决，在公告基金份额持有人大会决议时，必须将公证书全文、公证机构、公证员姓名等一同公告。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（三）基金合同终止与基金财产的清算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1、本基金合同的终止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有下列情形之一的，本基金合同将终止：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1）基金份额持有人大会决定终止的；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4）基金合并、撤销；</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5）中国证监会允许的其他情况。</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基金合同终止时，基金管理人应予公告并组织清算小组对基金财产进行清算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2、基金财产的清算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1）基金合同终止时，成立基金清算小组，基金清算小组在中国证监会的监督下进行基金清算。</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2）基金清算小组成员由基金管理人、基金托管人、具有从事证券相关业务资格的注册会计师、律师以及中国证监会指定的人员组成。基金清算小组可以聘用必要的工作人员。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3）基金清算小组负责基金财产的保管、清理、估价、变现和分配。基金清算小组可以依法进行必要的民事活动。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1）基金合同终止后，发布基金清算公告；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2）基金合同终止时，由基金清算小组统一接管基金财产；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5）聘请律师事务所出具法律意见书；</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6）聘请会计师事务所对清算报告进行审计；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7）将基金清算结果报告中国证监会；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8）参加与基金财产有关的民事诉讼；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10）对基金剩余财产进行分配。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清算费用是指基金清算小组在进行基金清算过程中发生的所有合理费用，清算</w:t>
      </w:r>
      <w:r>
        <w:rPr>
          <w:rFonts w:ascii="宋体" w:hAnsi="宋体"/>
          <w:sz w:val="24"/>
        </w:rPr>
        <w:lastRenderedPageBreak/>
        <w:t>费用由基金清算小组优先从基金财产中支付。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基金财产清算公告于基金合同终止并报中国证监会备案后5个工作日内由基金清算小组公告；清算过程中的有关重大事项须及时公告；基金财产清算结果由基金财产清算小组经中国证监会备案后3个工作日内公告。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（四）争议的处理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仲裁费由败诉方承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本基金合同受中国法律管辖。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基金合同自生效之日起对包括基金管理人、基金托管人和基金份额持有人在内的基金合同各方当事人具有同等的法律约束力。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本基金合同正本一式八份，除中国证监会和银行业监督管理机构各持两份外，基金管理人和基金托管人各持有两份。每份均具有同等的法律效力。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本基金合同可印制成册，供投资人在基金管理人、基金托管人的办公场所查阅。投资人在支付工本费后，可在合理时间内取得上述文件复制件或复印件。但其效力应以基金合同正本为准。</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5A54EF" w:rsidRDefault="00D73F2E">
      <w:pPr>
        <w:pStyle w:val="1"/>
        <w:snapToGrid w:val="0"/>
        <w:spacing w:beforeLines="0" w:before="240" w:after="240"/>
        <w:rPr>
          <w:rFonts w:ascii="宋体" w:hAnsi="宋体"/>
          <w:szCs w:val="30"/>
        </w:rPr>
      </w:pPr>
      <w:bookmarkStart w:id="24" w:name="_Toc231982098"/>
      <w:r>
        <w:rPr>
          <w:rFonts w:ascii="Times New Roman" w:hAnsi="Times New Roman"/>
          <w:sz w:val="30"/>
        </w:rPr>
        <w:lastRenderedPageBreak/>
        <w:t>二十一、托管协议的内容摘要</w:t>
      </w:r>
      <w:bookmarkEnd w:id="24"/>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批准设立机关及批准设立文号：证监基金字【2005】128 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注册资本：贰亿元人民币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法定代表人：田国立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w:t>
      </w:r>
      <w:r>
        <w:rPr>
          <w:rFonts w:ascii="宋体" w:hAnsi="宋体"/>
          <w:sz w:val="24"/>
        </w:rPr>
        <w:lastRenderedPageBreak/>
        <w:t>业监督管理机构等监管部门批准的其他业务。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托管人运用相关技术系统，对基金实际投资是否符合基金合同关于证券选择标准的约定进行监督，对存在疑义的事项进行核查。本基金的投资范围为具有良好流动性的金融工具，包括国内依法发行上市的股票（含存托凭证）、债券、现金、短期金融工具及法律、法规或中国证监会允许基金投资的其他金融工具。其中债券投资的主要品种包括交易所和银行间两个市场的国债、金融债、企业债与可转换债。短期金融工具则包括到期日在一年以内的债券、债券回购、央行票据、银行存款等。如法律法规或监管机构以后允许基金投资的其它品种，基金管理人在履行适当程序后，可以将其纳入投资范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本基金的投资组合中,股票（含存托凭证）、债券、现金、短期金融工具以及中国证监会允许基金投资的其他证券品种的投资比例遵循下述投资组合限制中的第(4)条规定。在基金实际管理过程中，本基金具体配置比例由基金管理人根据中国宏观经济情况和证券市场的阶段性变化做主动调整，以求基金资产在各类资产的投资中达到风险和收益的最佳平衡，但比例不超出上述限定范围。在法律法规有新规定的情况下，基金管理人可对上述比例做适度调整。基金管理人应当自基金合同生效之日起6 个月内使基金的投资组合比例符合基金合同的约定。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基金的投资组合将遵循以下限制：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(1)本基金持有一家上市公司的股票，其市值不超过基金资产净值的百分之十；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(2)本基金持有的全部权证，其市值不得超过基金资产净值的百分之三；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(3)进入全国银行间同业市场进行债券回购的资金余额不得超过基金资产净值的百分之四十；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本基金不得违反基金合同中有关投资范围、投资策略、投资比例的规定,本基金股票（含存托凭证）、债券、现金、短期金融工具及法律法规或中国证监会允许基金投资的其他金融工具的投资比例,其中,股票（含存托凭证）为:35%-95%,债券为:0%-60%,现金、短期金融工具及法律法规或中国证监会允许基金投资的其他</w:t>
      </w:r>
      <w:r>
        <w:rPr>
          <w:rFonts w:ascii="宋体" w:hAnsi="宋体"/>
          <w:sz w:val="24"/>
        </w:rPr>
        <w:lastRenderedPageBreak/>
        <w:t>金融工具为:5%-65%；</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(5)基金财产参与股票发行申购，本基金所申报的金额不超过本基金的总资产，本基金所申报的股票数量不超过拟发行股票公司本次发行股票的总量；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(6)本基金在任何交易日买入权证的总金额，不得超过上一交易日基金资产净值的千分之五；</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(7)保持不低于基金资产净值百分之五的现金或者到期日在一年以内的政府债券，其中现金不包括结算备付金、存出保证金、应收申购款等；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(11)本基金投资存托凭证的比例限制依照境内上市交易的股票执行。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法律法规或监管部门取消上述限制，则本基金不受上述限制。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(7)、(9)、(10)项外，因证券市场波动、上市公司合并、基金规模变动、股权分置改革中支付对价等基金管理人之外的因素致使基金投资比例不符合上述规定的投资比例的，基金管理人应当在10个交易日内进行调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w:t>
      </w:r>
      <w:r>
        <w:rPr>
          <w:rFonts w:ascii="宋体" w:hAnsi="宋体"/>
          <w:sz w:val="24"/>
        </w:rPr>
        <w:lastRenderedPageBreak/>
        <w:t>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3个工作日内与基金托管人协商解决。基金管理人负责对交易对手的资信控制，按银行间债券市场的交易规则进行交易，并承担交易对手不履行合同造成的损失，基金托管人则根据银行间债券市场成交单对合同履行情况进行监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前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7、对基金托管人按照法规要求需向中国证监会报送基金监督报告的事项，基金管理人应积极配合提供相关数据资料和制度等。</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前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由此给基金造成损失的，基金管理人应负责向有关当事人追偿基金的损失，基金托管人对此不承担任何责任。</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（1）基金管理人在收到基金募集期间的资金后应存于中国证券登记结算有限责任公司。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从基金管理人的清算户划入基金托管人开立的基金银行账户，同时在规定时间内，聘请具有从事证券相关业务资格的会计师事务所进行验资，出具验资报告。出具的验资报告由参加验资的2名或2名以上中国注册会计师签字方为有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（1）基金托管人可以基金的名义在其营业机构开立基金的资金账户，并根据基金管理人合法合规的指令办理资金收付。本基金的银行预留印鉴由基金托管人保管和使用。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（3）基金资金账户的开立和管理应符合银行业监督管理机构的有关规定。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4、基金证券账户的开立和管理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w:t>
      </w:r>
      <w:r>
        <w:rPr>
          <w:rFonts w:ascii="宋体" w:hAnsi="宋体"/>
          <w:sz w:val="24"/>
        </w:rPr>
        <w:lastRenderedPageBreak/>
        <w:t>公司的有关规定，在中央国债登记结算有限责任公司开立债券托管与结算账户，并代表基金进行银行间市场债券的结算。基金管理人和基金托管人同时代表基金签订全国银行间债券市场债券回购主协议。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（1）因业务发展需要而开立的其他账户，可以根据法律法规和基金合同的规定，由基金托管人负责开立。新账户按有关规则使用并管理。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基金财产投资的银行间市场凭证等的保管按照实物证券相关规定办理。</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和托管协议由基金管理人和基金托管人各自保管原件。在基金运作中签订的重大合同包括但不限于基金年度审计合同、信息披露协议及基金投资业务中产生的重大合同，由基金管理人和托管人保管。上述重大合同的保管期限为基金合同终止后15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基金资产净值是指基金资产总值减去负债后的金额。</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基金份额净值是指基金资产净值除以计算日基金份额总数，基金份额净值的计算，精确到0.0001元，小数点后第五位四舍五入，国家另有规定的，从其规定。</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每个工作日计算基金资产净值及基金份额净值，并按规定公告。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基金管理人每工作日对基金资产进行估值后，将基金份额净值结果以加密传真方式发送基金托管人，基金托管人复核无误后，盖章并以加密传真方式传送给基金管理人，由基金管理人对外公布。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名册，包括基金设立募集期结束时的基金份额持有人名册、基金权益登记日的基金份额持有人名册、基金份额持有人大会登记日的基金份额持有人名册、每月最后一个交易日的基金份额持有人名册，由基金份额登记机构根据基金管理人的指令编制和保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基金份额持有人名册至少应包括基金份额持有人的名称和持有的基金份额。基金管理人和基金托管人应按照目前相关规则分别保管基金份额持有人名册。如不能妥善保管，则按相关法规承担责任。</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在编制半年报和年报前，基金管理人应将有关资料送交基金托管人，由基金托管人按相关规定负责保管。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（七）争议解决方式和适用法律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（八）托管协议的修改与终止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本协议双方当事人经协商一致，可以对协议进行修改。修改后的新协议，其内容不得与基金合同的规定有任何冲突。基金托管协议的变更报中国证监会核准后生效。</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（1）本基金合同终止；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5A54EF" w:rsidRDefault="00D73F2E">
      <w:pPr>
        <w:pStyle w:val="1"/>
        <w:snapToGrid w:val="0"/>
        <w:spacing w:beforeLines="0" w:before="240" w:after="240"/>
        <w:rPr>
          <w:rFonts w:ascii="宋体" w:hAnsi="宋体"/>
          <w:szCs w:val="30"/>
        </w:rPr>
      </w:pPr>
      <w:bookmarkStart w:id="25" w:name="_Toc231982099"/>
      <w:r>
        <w:rPr>
          <w:rFonts w:ascii="Times New Roman" w:hAnsi="Times New Roman"/>
          <w:sz w:val="30"/>
        </w:rPr>
        <w:lastRenderedPageBreak/>
        <w:t>二十二、对基金份额持有人的服务</w:t>
      </w:r>
      <w:bookmarkEnd w:id="25"/>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前端基金份额的申购、赎回、定期定额投资和转换等业务。本公司暂不开展网上直销后端基金份额的认/申购业务，通过转托管转入网上直销账户的后端收费模式的基金份额只能办理赎回业务。通过网上直销交易平台办理本基金前端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申购、定期定额投资及转换费率表或相关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在条件成熟的时候，本基金管理人将根据基金网上直销业务的发展状况，适时调整可用于网上直销交易平台的银行卡种类，敬请个人投资者留意相关公告。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w:t>
      </w:r>
      <w:r>
        <w:rPr>
          <w:rFonts w:ascii="宋体" w:hAnsi="宋体"/>
          <w:sz w:val="24"/>
        </w:rPr>
        <w:lastRenderedPageBreak/>
        <w:t>资人通过客户服务电话查询基金账户下的账户和交易信息。投资人请在其知晓基金账号后，及时拨打本基金管理人客户服务电话修改基金查询密码。</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本基金收益分配时，投资人可以选择将当期分配所得的红利再投资于本基金，再投资红利按红利再投日（即除息日）除息后的基金份额净值自动转为基金份额，并免收申购费用。</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www.fund001.com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26" w:name="_Toc231982100"/>
      <w:r>
        <w:rPr>
          <w:rFonts w:ascii="Times New Roman" w:hAnsi="Times New Roman"/>
          <w:sz w:val="30"/>
        </w:rPr>
        <w:lastRenderedPageBreak/>
        <w:t>二十三、其他应披露事项</w:t>
      </w:r>
      <w:bookmarkEnd w:id="26"/>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交银施罗德稳健配置混合型证券投资基金基金产品资料概要更新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交银施罗德稳健配置混合型证券投资基金招募说明书更新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交银施罗德稳健配置混合型证券投资基金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交银施罗德稳健配置混合型证券投资基金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交银施罗德稳健配置混合型证券投资基金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交银施罗德基金管理有限公司关于交银施罗德稳健配置混合型证券投资基金暂停及恢复大额申购（转换转入、定期定额投资）业务的公告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2026-01-12</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交银施罗德稳健配置混合型证券投资基金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交银施罗德稳健配置混合型证券投资基金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5A54EF">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交银施罗德稳健配置混合型证券投资基金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5A54EF" w:rsidRDefault="00D73F2E">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27" w:name="_Toc231982101"/>
      <w:r>
        <w:rPr>
          <w:rFonts w:ascii="Times New Roman" w:hAnsi="Times New Roman"/>
          <w:sz w:val="30"/>
        </w:rPr>
        <w:lastRenderedPageBreak/>
        <w:t>二十四、招募说明书的存放及查阅方式</w:t>
      </w:r>
      <w:bookmarkEnd w:id="27"/>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D73F2E"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5A54EF" w:rsidRDefault="00D73F2E">
      <w:pPr>
        <w:pStyle w:val="1"/>
        <w:snapToGrid w:val="0"/>
        <w:spacing w:beforeLines="0" w:before="240" w:after="240"/>
        <w:rPr>
          <w:rFonts w:ascii="宋体" w:hAnsi="宋体"/>
          <w:szCs w:val="30"/>
        </w:rPr>
      </w:pPr>
      <w:bookmarkStart w:id="28" w:name="_Toc231982102"/>
      <w:r>
        <w:rPr>
          <w:rFonts w:ascii="Times New Roman" w:hAnsi="Times New Roman"/>
          <w:sz w:val="30"/>
        </w:rPr>
        <w:lastRenderedPageBreak/>
        <w:t>二十五、备查文件</w:t>
      </w:r>
      <w:bookmarkEnd w:id="28"/>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（一）中国证监会批准交银施罗德稳健配置混合型证券投资基金募集的文件</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（二）《交银施罗德稳健配置混合型证券投资基金基金合同》</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（三）《交银施罗德稳健配置混合型证券投资基金托管协议》</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5A54EF" w:rsidRDefault="00D73F2E">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（六）上海源泰律师事务所关于申请募集交银施罗德稳健配置混合型证券投资基金之法律意见书</w:t>
      </w:r>
    </w:p>
    <w:sectPr w:rsidR="005A54EF">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9BF" w:rsidRDefault="00D73F2E">
      <w:r>
        <w:separator/>
      </w:r>
    </w:p>
  </w:endnote>
  <w:endnote w:type="continuationSeparator" w:id="0">
    <w:p w:rsidR="002C49BF" w:rsidRDefault="00D73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4EF" w:rsidRDefault="005A54E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4EF" w:rsidRDefault="00F4692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5A54EF" w:rsidRDefault="00D73F2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46927">
                  <w:rPr>
                    <w:rFonts w:ascii="Times New Roman" w:hAnsi="Times New Roman"/>
                    <w:noProof/>
                    <w:kern w:val="0"/>
                    <w:sz w:val="18"/>
                    <w:szCs w:val="18"/>
                  </w:rPr>
                  <w:t>2</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4EF" w:rsidRDefault="005A54EF">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4EF" w:rsidRDefault="00F4692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5A54EF" w:rsidRDefault="00D73F2E">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46927">
                  <w:rPr>
                    <w:rFonts w:ascii="Times New Roman" w:hAnsi="Times New Roman"/>
                    <w:noProof/>
                    <w:kern w:val="0"/>
                    <w:sz w:val="18"/>
                    <w:szCs w:val="18"/>
                  </w:rPr>
                  <w:t>149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9BF" w:rsidRDefault="00D73F2E">
      <w:r>
        <w:separator/>
      </w:r>
    </w:p>
  </w:footnote>
  <w:footnote w:type="continuationSeparator" w:id="0">
    <w:p w:rsidR="002C49BF" w:rsidRDefault="00D73F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4EF" w:rsidRDefault="005A54E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4EF" w:rsidRDefault="00D73F2E">
    <w:pPr>
      <w:pStyle w:val="a3"/>
      <w:jc w:val="right"/>
      <w:rPr>
        <w:rFonts w:ascii="宋体" w:hAnsi="宋体"/>
      </w:rPr>
    </w:pPr>
    <w:r>
      <w:rPr>
        <w:rFonts w:ascii="宋体" w:hAnsi="宋体" w:hint="eastAsia"/>
      </w:rPr>
      <w:t>交银施罗德稳健配置混合型证券投资基金招募说明书更新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4EF" w:rsidRDefault="005A54EF">
    <w:pPr>
      <w:pStyle w:val="10"/>
      <w:jc w:val="right"/>
    </w:pPr>
  </w:p>
  <w:p w:rsidR="005A54EF" w:rsidRDefault="005A54EF">
    <w:pPr>
      <w:pStyle w:val="10"/>
      <w:jc w:val="right"/>
    </w:pPr>
  </w:p>
  <w:p w:rsidR="005A54EF" w:rsidRDefault="005A54EF">
    <w:pPr>
      <w:pStyle w:val="a3"/>
      <w:jc w:val="right"/>
    </w:pPr>
  </w:p>
  <w:p w:rsidR="005A54EF" w:rsidRDefault="00D73F2E">
    <w:pPr>
      <w:pStyle w:val="a3"/>
      <w:jc w:val="right"/>
      <w:rPr>
        <w:rFonts w:ascii="宋体" w:hAnsi="宋体"/>
      </w:rPr>
    </w:pPr>
    <w:r>
      <w:rPr>
        <w:rFonts w:ascii="宋体" w:hAnsi="宋体" w:hint="eastAsia"/>
      </w:rPr>
      <w:t>交银施罗德稳健配置混合型证券投资基金招募说明书更新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4EF" w:rsidRDefault="005A54EF">
    <w:pPr>
      <w:pStyle w:val="a3"/>
      <w:jc w:val="right"/>
    </w:pPr>
  </w:p>
  <w:p w:rsidR="005A54EF" w:rsidRDefault="005A54EF">
    <w:pPr>
      <w:pStyle w:val="a3"/>
      <w:jc w:val="right"/>
    </w:pPr>
  </w:p>
  <w:p w:rsidR="005A54EF" w:rsidRDefault="005A54EF">
    <w:pPr>
      <w:pStyle w:val="a3"/>
      <w:jc w:val="right"/>
    </w:pPr>
  </w:p>
  <w:p w:rsidR="005A54EF" w:rsidRDefault="00D73F2E">
    <w:pPr>
      <w:pStyle w:val="a3"/>
      <w:jc w:val="right"/>
      <w:rPr>
        <w:rFonts w:ascii="宋体" w:hAnsi="宋体"/>
      </w:rPr>
    </w:pPr>
    <w:r>
      <w:rPr>
        <w:rFonts w:ascii="宋体" w:hAnsi="宋体" w:hint="eastAsia"/>
      </w:rPr>
      <w:t>交银施罗德稳健配置混合型证券投资基金招募说明书更新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C49BF"/>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4EF"/>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3F2E"/>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46927"/>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05085EFC-EEDD-4D1B-AC27-3A08A8959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150</Pages>
  <Words>14701</Words>
  <Characters>83799</Characters>
  <Application>Microsoft Office Word</Application>
  <DocSecurity>0</DocSecurity>
  <Lines>698</Lines>
  <Paragraphs>196</Paragraphs>
  <ScaleCrop>false</ScaleCrop>
  <Company>Microsoft</Company>
  <LinksUpToDate>false</LinksUpToDate>
  <CharactersWithSpaces>98304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2026-06-10T03:07:00Z</dcterms:created>
  <dcterms:modified xsi:type="dcterms:W3CDTF">2026-06-10T03:07:00Z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