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交银施罗德医药创新股票型证券投资基金（C类份额）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交银医药创新股票C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014046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中国工商银行股份有限公司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2017-03-23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股票型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楼慧源</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2018-09-12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2014-07-11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连续20个工作日出现基金份额持有人数量不满200人或者基金资产净值低于5000万元情形的，基金管理人应当在定期报告中予以披露。连续60个工作日出现前述情形的，基金管理人应当向中国证监会报告并提出解决方案，如转换运作方式、与其他基金合并或者终止基金合同等，并召开基金份额持有人大会进行表决。</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本基金将深度挖掘医药创新过程中产业的各类投资机会，精选医药创新主题的优质上市公司，在控制风险并保持基金资产良好的流动性的前提下，谋求基金资产的长期、稳定增值。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债、央行票据、金融债券、政府支持债券、政府支持机构债券、地方政府债券、企业债券、公司债券、可转换债券(含可分离交易可转换债券)、可交公司债券、次级债券、中期票据、短期融资券、超短期融资券等)、货币市场工具、债券回购、同业存单、银行存款(含协议存款、定期存款及其他银存款)、权证、资产支持证券、股指期货以及法律法规或中国证监会允许基金投资的其他金融工具(但须符合中国证监会相关规定)。如法律法规或监管机构以后允许基金投资其他品种，基金管理人在履行适当程序后，可以将其纳入投资范围。基金的投资组合比例为：股票资产（含存托凭证）占基金资产的80%-95%，其中投资于医药创新主题相关证券的比例不低于非现金基金资产的80%；每个交易日日终在扣股指期货合约需缴纳的交易保证金后，本基金保留的现金或者投资于到期日在一年以内的政府债券的比例合计不低于基金资产净值的5%，其中现金不包括结算备付金、存出保证金和应收申购款等。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研究优势，将严谨、规范化的选股方法与积极主动的投资风格相结合，在经济转型大背景下，深入研究医药创新行业的发展趋势，积极挖掘不同子行业和子行业景气度新变化下的个股投资机会，通过团队对个股深入的基本面研究和细致的实地调研，精选个股，以谋求超额收益。</w:t>
            </w:r>
          </w:p>
          <w:p>
            <w:pPr>
              <w:ind w:firstLine="420"/>
              <w:jc w:val="left"/>
              <w:rPr>
                <w:rFonts w:ascii="仿宋_GB2312" w:eastAsia="仿宋_GB2312"/>
                <w:szCs w:val="21"/>
              </w:rPr>
            </w:pPr>
            <w:r>
              <w:rPr>
                <w:rFonts w:hint="eastAsia" w:ascii="仿宋_GB2312" w:eastAsia="仿宋_GB2312"/>
                <w:szCs w:val="21"/>
              </w:rPr>
              <w:t>1、资产配置；2、股票投资；3、债券投资；4、权证投资；5、资产支持证券投资；6、股指期货投资。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85%×中证医药卫生指数收益率+15%×中证综合债券指数收益率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股票型基金，其预期风险与预期收益高于混合型基金、债券型基金和货币市场基金，属于承担较高预期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详见《交银施罗德医药创新股票型证券投资基金招募说明书》“基金的投资”。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2、本基金自2021年11月5日，开始销售C类份额，基金份额类别首次确认当年净值增长率按实际存续期计算。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2.01%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（1）本基金为股票型基金，将维持较高的股票持仓比例，如果股票市场出现整体下跌，本基金的净值表现将受到影响。</w:t>
      </w:r>
    </w:p>
    <w:p>
      <w:pPr>
        <w:ind w:firstLine="420"/>
        <w:jc w:val="left"/>
        <w:rPr>
          <w:rFonts w:ascii="仿宋_GB2312" w:eastAsia="仿宋_GB2312"/>
          <w:szCs w:val="21"/>
        </w:rPr>
      </w:pPr>
      <w:r>
        <w:rPr>
          <w:rFonts w:hint="eastAsia" w:ascii="仿宋_GB2312" w:eastAsia="仿宋_GB2312"/>
          <w:szCs w:val="21"/>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资产支持证券具有一定的价格波动风险、流动性风险、信用风险等风险，本公司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9、投资存托凭证的特定风险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10、本基金法律文件风险收益特征表述与销售机构基金风险评价可能不一致的风险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11、其他风险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●《交银施罗德医药创新股票型证券投资基金基金合同》、</w:t>
      </w:r>
    </w:p>
    <w:p>
      <w:pPr>
        <w:ind w:firstLine="420"/>
        <w:jc w:val="left"/>
        <w:rPr>
          <w:rFonts w:ascii="仿宋_GB2312" w:eastAsia="仿宋_GB2312"/>
          <w:szCs w:val="21"/>
        </w:rPr>
      </w:pPr>
      <w:r>
        <w:rPr>
          <w:rFonts w:hint="eastAsia" w:ascii="仿宋_GB2312" w:eastAsia="仿宋_GB2312"/>
          <w:szCs w:val="21"/>
        </w:rPr>
        <w:t>《交银施罗德医药创新股票型证券投资基金托管协议》、</w:t>
      </w:r>
    </w:p>
    <w:p>
      <w:pPr>
        <w:ind w:firstLine="420"/>
        <w:jc w:val="left"/>
        <w:rPr>
          <w:rFonts w:ascii="仿宋_GB2312" w:eastAsia="仿宋_GB2312"/>
          <w:szCs w:val="21"/>
        </w:rPr>
      </w:pPr>
      <w:r>
        <w:rPr>
          <w:rFonts w:hint="eastAsia" w:ascii="仿宋_GB2312" w:eastAsia="仿宋_GB2312"/>
          <w:szCs w:val="21"/>
        </w:rPr>
        <w:t>《交银施罗德医药创新股票型证券投资基金招募说明书》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ED265B"/>
    <w:rsid w:val="00F75715"/>
    <w:rsid w:val="00F811C4"/>
    <w:rsid w:val="00FC2918"/>
    <w:rsid w:val="09EB30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715</Words>
  <Characters>4076</Characters>
  <Lines>33</Lines>
  <Paragraphs>9</Paragraphs>
  <TotalTime>0</TotalTime>
  <ScaleCrop>false</ScaleCrop>
  <LinksUpToDate>false</LinksUpToDate>
  <CharactersWithSpaces>4782</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2026-05-20T01:38:00Z</dcterms:created>
  <dc:creator>Cc</dc:creator>
  <cp:lastModifiedBy>haotingting</cp:lastModifiedBy>
  <dcterms:modified xsi:type="dcterms:W3CDTF">2026-05-22T08:07:52Z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709E0270235740E0A54AA8CCA7E6DC40</vt:lpwstr>
  </property>
</Properties>
</file>