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9601B">
      <w:pPr>
        <w:rPr>
          <w:sz w:val="32"/>
        </w:rPr>
      </w:pPr>
    </w:p>
    <w:p w:rsidR="00C92FC0" w:rsidRPr="00EB07BC" w:rsidRDefault="0019601B">
      <w:pPr>
        <w:rPr>
          <w:sz w:val="32"/>
        </w:rPr>
      </w:pPr>
    </w:p>
    <w:p w:rsidR="00C92FC0" w:rsidRPr="00EB07BC" w:rsidRDefault="0019601B">
      <w:pPr>
        <w:rPr>
          <w:sz w:val="32"/>
        </w:rPr>
      </w:pPr>
    </w:p>
    <w:p w:rsidR="006C4C22" w:rsidRDefault="006C4C2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C4C22" w:rsidRDefault="006C4C2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C4C22" w:rsidRDefault="006C4C2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C4C22" w:rsidRDefault="000273F3">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交银施罗德国企改革灵活配置混合型证券投资基金</w:t>
      </w:r>
    </w:p>
    <w:p w:rsidR="006C4C22" w:rsidRDefault="000273F3">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6C4C22" w:rsidRDefault="006C4C22">
      <w:pPr>
        <w:snapToGrid w:val="0"/>
        <w:spacing w:line="360" w:lineRule="auto"/>
        <w:jc w:val="center"/>
        <w:rPr>
          <w:rFonts w:ascii="宋体" w:hAnsi="宋体"/>
          <w:b/>
          <w:sz w:val="30"/>
          <w:szCs w:val="30"/>
        </w:rPr>
      </w:pPr>
    </w:p>
    <w:p w:rsidR="006C4C22" w:rsidRDefault="006C4C2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4C22" w:rsidRDefault="006C4C2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4C22" w:rsidRDefault="006C4C2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4C22" w:rsidRDefault="006C4C2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4C22" w:rsidRDefault="006C4C2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4C22" w:rsidRDefault="006C4C2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4C22" w:rsidRDefault="000273F3">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6C4C22" w:rsidRDefault="000273F3">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6C4C22" w:rsidRDefault="006C4C2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4C22" w:rsidRDefault="006C4C2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4C22" w:rsidRDefault="000273F3">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6C4C22" w:rsidRDefault="006C4C22">
      <w:pPr>
        <w:autoSpaceDE w:val="0"/>
        <w:autoSpaceDN w:val="0"/>
        <w:adjustRightInd w:val="0"/>
        <w:snapToGrid w:val="0"/>
        <w:spacing w:line="360" w:lineRule="auto"/>
        <w:ind w:left="1347" w:rightChars="6" w:right="13"/>
        <w:rPr>
          <w:rFonts w:ascii="宋体" w:hAnsi="宋体"/>
          <w:kern w:val="0"/>
          <w:sz w:val="32"/>
          <w:szCs w:val="32"/>
        </w:rPr>
        <w:sectPr w:rsidR="006C4C2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6C4C22" w:rsidRDefault="000273F3">
      <w:pPr>
        <w:pStyle w:val="1"/>
        <w:snapToGrid w:val="0"/>
        <w:spacing w:beforeLines="0" w:before="240" w:after="240"/>
        <w:rPr>
          <w:rFonts w:ascii="宋体" w:hAnsi="宋体"/>
          <w:kern w:val="0"/>
        </w:rPr>
      </w:pPr>
      <w:bookmarkStart w:id="0" w:name="_Toc324920538"/>
      <w:bookmarkStart w:id="1" w:name="_Toc496884613"/>
      <w:bookmarkStart w:id="2" w:name="_Toc231995018"/>
      <w:r>
        <w:rPr>
          <w:rFonts w:ascii="Times New Roman" w:hAnsi="Times New Roman"/>
          <w:kern w:val="0"/>
        </w:rPr>
        <w:lastRenderedPageBreak/>
        <w:t>重要提示</w:t>
      </w:r>
      <w:bookmarkEnd w:id="0"/>
      <w:bookmarkEnd w:id="1"/>
      <w:bookmarkEnd w:id="2"/>
    </w:p>
    <w:p w:rsidR="006C4C22" w:rsidRDefault="000273F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交银施罗德国企改革灵活配置混合型证券投资基金（以下简称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613</w:t>
      </w:r>
      <w:r>
        <w:rPr>
          <w:rFonts w:ascii="Times New Roman" w:hAnsi="Times New Roman"/>
          <w:kern w:val="0"/>
          <w:sz w:val="24"/>
        </w:rPr>
        <w:t>号文准予募集注册。本基金基金合同于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日正式生效。</w:t>
      </w:r>
    </w:p>
    <w:p w:rsidR="006C4C22" w:rsidRDefault="000273F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6C4C22" w:rsidRDefault="000273F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6C4C22" w:rsidRDefault="000273F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股指期货的特定风险；投资科创板股票的特定风险；投资本基金特有的其他风险等等。本基金是一只混合型基金，其风险和预期收益高于债券型基金和货币市场基金，低于股票型基金。属于承担较高风险、预期收益较高的证券投资基金品种。</w:t>
      </w:r>
    </w:p>
    <w:p w:rsidR="006C4C22" w:rsidRDefault="000273F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6C4C22" w:rsidRDefault="000273F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6C4C22" w:rsidRDefault="000273F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6C4C22" w:rsidRDefault="000273F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6C4C22" w:rsidRDefault="006C4C22">
      <w:pPr>
        <w:autoSpaceDE w:val="0"/>
        <w:autoSpaceDN w:val="0"/>
        <w:adjustRightInd w:val="0"/>
        <w:snapToGrid w:val="0"/>
        <w:spacing w:before="51" w:line="360" w:lineRule="auto"/>
        <w:ind w:left="120" w:rightChars="6" w:right="13" w:firstLine="480"/>
        <w:rPr>
          <w:rFonts w:ascii="宋体" w:hAnsi="宋体"/>
          <w:kern w:val="0"/>
          <w:szCs w:val="24"/>
        </w:rPr>
        <w:sectPr w:rsidR="006C4C22">
          <w:headerReference w:type="default" r:id="rId14"/>
          <w:pgSz w:w="11920" w:h="16840"/>
          <w:pgMar w:top="1440" w:right="1680" w:bottom="280" w:left="1680" w:header="0" w:footer="1073" w:gutter="0"/>
          <w:pgNumType w:start="1"/>
          <w:cols w:space="720"/>
        </w:sectPr>
      </w:pPr>
    </w:p>
    <w:p w:rsidR="0019601B" w:rsidRPr="0019601B" w:rsidRDefault="000273F3" w:rsidP="0019601B">
      <w:pPr>
        <w:pStyle w:val="ad"/>
        <w:snapToGrid w:val="0"/>
        <w:spacing w:after="240" w:line="360" w:lineRule="auto"/>
        <w:jc w:val="center"/>
        <w:rPr>
          <w:rFonts w:ascii="宋体" w:hAnsi="宋体"/>
          <w:noProof/>
          <w:sz w:val="24"/>
        </w:rPr>
      </w:pPr>
      <w:r w:rsidRPr="0019601B">
        <w:rPr>
          <w:rFonts w:ascii="宋体" w:hAnsi="宋体"/>
          <w:color w:val="000000"/>
          <w:position w:val="-4"/>
          <w:sz w:val="24"/>
          <w:szCs w:val="30"/>
        </w:rPr>
        <w:lastRenderedPageBreak/>
        <w:t>目</w:t>
      </w:r>
      <w:r w:rsidRPr="0019601B">
        <w:rPr>
          <w:rFonts w:ascii="宋体" w:hAnsi="宋体"/>
          <w:color w:val="000000"/>
          <w:position w:val="-4"/>
          <w:sz w:val="24"/>
          <w:szCs w:val="30"/>
        </w:rPr>
        <w:tab/>
        <w:t>录</w:t>
      </w:r>
      <w:r w:rsidR="0019601B" w:rsidRPr="0019601B">
        <w:rPr>
          <w:rFonts w:ascii="宋体" w:hAnsi="宋体"/>
          <w:color w:val="000000"/>
          <w:position w:val="-4"/>
          <w:sz w:val="24"/>
          <w:szCs w:val="30"/>
        </w:rPr>
        <w:fldChar w:fldCharType="begin"/>
      </w:r>
      <w:r w:rsidR="0019601B" w:rsidRPr="0019601B">
        <w:rPr>
          <w:rFonts w:ascii="宋体" w:hAnsi="宋体"/>
          <w:color w:val="000000"/>
          <w:position w:val="-4"/>
          <w:sz w:val="24"/>
          <w:szCs w:val="30"/>
        </w:rPr>
        <w:instrText xml:space="preserve"> TOC \o "1-3" \f - \h \t "-1" </w:instrText>
      </w:r>
      <w:r w:rsidR="0019601B" w:rsidRPr="0019601B">
        <w:rPr>
          <w:rFonts w:ascii="宋体" w:hAnsi="宋体"/>
          <w:color w:val="000000"/>
          <w:position w:val="-4"/>
          <w:sz w:val="24"/>
          <w:szCs w:val="30"/>
        </w:rPr>
        <w:fldChar w:fldCharType="separate"/>
      </w:r>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18" w:history="1">
        <w:r w:rsidRPr="0019601B">
          <w:rPr>
            <w:rStyle w:val="aa"/>
            <w:rFonts w:ascii="宋体" w:hAnsi="宋体" w:hint="eastAsia"/>
            <w:noProof/>
            <w:kern w:val="0"/>
            <w:sz w:val="24"/>
          </w:rPr>
          <w:t>重要提示</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_Toc231995018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19" w:history="1">
        <w:r w:rsidRPr="0019601B">
          <w:rPr>
            <w:rStyle w:val="aa"/>
            <w:rFonts w:ascii="宋体" w:hAnsi="宋体" w:hint="eastAsia"/>
            <w:noProof/>
            <w:sz w:val="24"/>
          </w:rPr>
          <w:t>一、绪言</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_Toc231995019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4</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0" w:history="1">
        <w:r w:rsidRPr="0019601B">
          <w:rPr>
            <w:rStyle w:val="aa"/>
            <w:rFonts w:ascii="宋体" w:hAnsi="宋体" w:hint="eastAsia"/>
            <w:noProof/>
            <w:sz w:val="24"/>
          </w:rPr>
          <w:t>二、释义</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_Toc231995020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5</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1" w:history="1">
        <w:r w:rsidRPr="0019601B">
          <w:rPr>
            <w:rStyle w:val="aa"/>
            <w:rFonts w:ascii="宋体" w:hAnsi="宋体" w:hint="eastAsia"/>
            <w:noProof/>
            <w:sz w:val="24"/>
          </w:rPr>
          <w:t>三、基金管理人</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_Toc231995021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9</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2" w:history="1">
        <w:r w:rsidRPr="0019601B">
          <w:rPr>
            <w:rStyle w:val="aa"/>
            <w:rFonts w:ascii="宋体" w:hAnsi="宋体" w:hint="eastAsia"/>
            <w:noProof/>
            <w:sz w:val="24"/>
          </w:rPr>
          <w:t>四、基金托管人</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_Toc231995022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16</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3" w:history="1">
        <w:r w:rsidRPr="0019601B">
          <w:rPr>
            <w:rStyle w:val="aa"/>
            <w:rFonts w:ascii="宋体" w:hAnsi="宋体" w:hint="eastAsia"/>
            <w:noProof/>
            <w:sz w:val="24"/>
          </w:rPr>
          <w:t>五、相关服务机构</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_Toc231995023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19</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4" w:history="1">
        <w:r w:rsidRPr="0019601B">
          <w:rPr>
            <w:rStyle w:val="aa"/>
            <w:rFonts w:ascii="宋体" w:hAnsi="宋体" w:hint="eastAsia"/>
            <w:noProof/>
            <w:sz w:val="24"/>
          </w:rPr>
          <w:t>六、基金的募集</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_Toc231995024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54</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5" w:history="1">
        <w:r w:rsidRPr="0019601B">
          <w:rPr>
            <w:rStyle w:val="aa"/>
            <w:rFonts w:ascii="宋体" w:hAnsi="宋体" w:hint="eastAsia"/>
            <w:noProof/>
            <w:sz w:val="24"/>
          </w:rPr>
          <w:t>七、基金合同的生效</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_Toc231995025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55</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6" w:history="1">
        <w:r w:rsidRPr="0019601B">
          <w:rPr>
            <w:rStyle w:val="aa"/>
            <w:rFonts w:ascii="宋体" w:hAnsi="宋体" w:hint="eastAsia"/>
            <w:noProof/>
            <w:sz w:val="24"/>
          </w:rPr>
          <w:t>八、基金份额的申购与赎回</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_Toc231995026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56</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7" w:history="1">
        <w:r w:rsidRPr="0019601B">
          <w:rPr>
            <w:rStyle w:val="aa"/>
            <w:rFonts w:ascii="宋体" w:hAnsi="宋体" w:hint="eastAsia"/>
            <w:noProof/>
            <w:sz w:val="24"/>
          </w:rPr>
          <w:t>九、基金的转换</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_Toc231995027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69</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8" w:history="1">
        <w:r w:rsidRPr="0019601B">
          <w:rPr>
            <w:rStyle w:val="aa"/>
            <w:rFonts w:ascii="宋体" w:hAnsi="宋体" w:hint="eastAsia"/>
            <w:noProof/>
            <w:sz w:val="24"/>
          </w:rPr>
          <w:t>十、基金的投资</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_Toc231995028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76</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29" w:history="1">
        <w:r w:rsidRPr="0019601B">
          <w:rPr>
            <w:rStyle w:val="aa"/>
            <w:rFonts w:ascii="宋体" w:hAnsi="宋体" w:hint="eastAsia"/>
            <w:noProof/>
            <w:sz w:val="24"/>
          </w:rPr>
          <w:t>十一、基金的业绩</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_Toc231995029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89</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0" w:history="1">
        <w:r w:rsidRPr="0019601B">
          <w:rPr>
            <w:rStyle w:val="aa"/>
            <w:rFonts w:ascii="宋体" w:hAnsi="宋体" w:hint="eastAsia"/>
            <w:noProof/>
            <w:sz w:val="24"/>
          </w:rPr>
          <w:t>十二、基金的财产</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_Toc231995030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92</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1" w:history="1">
        <w:r w:rsidRPr="0019601B">
          <w:rPr>
            <w:rStyle w:val="aa"/>
            <w:rFonts w:ascii="宋体" w:hAnsi="宋体" w:hint="eastAsia"/>
            <w:noProof/>
            <w:sz w:val="24"/>
          </w:rPr>
          <w:t>十三、基金资产的估值</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_Toc231995031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93</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2" w:history="1">
        <w:r w:rsidRPr="0019601B">
          <w:rPr>
            <w:rStyle w:val="aa"/>
            <w:rFonts w:ascii="宋体" w:hAnsi="宋体" w:hint="eastAsia"/>
            <w:noProof/>
            <w:sz w:val="24"/>
          </w:rPr>
          <w:t>十四、基金收益与分配</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_Toc231995032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98</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3" w:history="1">
        <w:r w:rsidRPr="0019601B">
          <w:rPr>
            <w:rStyle w:val="aa"/>
            <w:rFonts w:ascii="宋体" w:hAnsi="宋体" w:hint="eastAsia"/>
            <w:noProof/>
            <w:sz w:val="24"/>
          </w:rPr>
          <w:t>十五、基金的费用与税收</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_Toc231995033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100</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4" w:history="1">
        <w:r w:rsidRPr="0019601B">
          <w:rPr>
            <w:rStyle w:val="aa"/>
            <w:rFonts w:ascii="宋体" w:hAnsi="宋体" w:hint="eastAsia"/>
            <w:noProof/>
            <w:sz w:val="24"/>
          </w:rPr>
          <w:t>十六、基金的会计与审计</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_Toc231995034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103</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5" w:history="1">
        <w:r w:rsidRPr="0019601B">
          <w:rPr>
            <w:rStyle w:val="aa"/>
            <w:rFonts w:ascii="宋体" w:hAnsi="宋体" w:hint="eastAsia"/>
            <w:noProof/>
            <w:sz w:val="24"/>
          </w:rPr>
          <w:t>十七、基金的信息披露</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_Toc231995035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104</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6" w:history="1">
        <w:r w:rsidRPr="0019601B">
          <w:rPr>
            <w:rStyle w:val="aa"/>
            <w:rFonts w:ascii="宋体" w:hAnsi="宋体" w:hint="eastAsia"/>
            <w:noProof/>
            <w:sz w:val="24"/>
          </w:rPr>
          <w:t>十八、侧袋机制</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_Toc231995036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111</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7" w:history="1">
        <w:r w:rsidRPr="0019601B">
          <w:rPr>
            <w:rStyle w:val="aa"/>
            <w:rFonts w:ascii="宋体" w:hAnsi="宋体" w:hint="eastAsia"/>
            <w:noProof/>
            <w:sz w:val="24"/>
          </w:rPr>
          <w:t>十九、风险揭示</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_Toc231995037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114</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8" w:history="1">
        <w:r w:rsidRPr="0019601B">
          <w:rPr>
            <w:rStyle w:val="aa"/>
            <w:rFonts w:ascii="宋体" w:hAnsi="宋体" w:hint="eastAsia"/>
            <w:noProof/>
            <w:sz w:val="24"/>
          </w:rPr>
          <w:t>二十、基金合同的变更、终止与基金财产的清算</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_Toc231995038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122</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39" w:history="1">
        <w:r w:rsidRPr="0019601B">
          <w:rPr>
            <w:rStyle w:val="aa"/>
            <w:rFonts w:ascii="宋体" w:hAnsi="宋体" w:hint="eastAsia"/>
            <w:noProof/>
            <w:sz w:val="24"/>
          </w:rPr>
          <w:t>二十一、基金合同内容摘要</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_Toc231995039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124</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40" w:history="1">
        <w:r w:rsidRPr="0019601B">
          <w:rPr>
            <w:rStyle w:val="aa"/>
            <w:rFonts w:ascii="宋体" w:hAnsi="宋体" w:hint="eastAsia"/>
            <w:noProof/>
            <w:sz w:val="24"/>
          </w:rPr>
          <w:t>二十二、托管协议的内容摘要</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_Toc231995040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140</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41" w:history="1">
        <w:r w:rsidRPr="0019601B">
          <w:rPr>
            <w:rStyle w:val="aa"/>
            <w:rFonts w:ascii="宋体" w:hAnsi="宋体" w:hint="eastAsia"/>
            <w:noProof/>
            <w:sz w:val="24"/>
          </w:rPr>
          <w:t>二十三、对基金份额持有人的服务</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_Toc231995041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154</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42" w:history="1">
        <w:r w:rsidRPr="0019601B">
          <w:rPr>
            <w:rStyle w:val="aa"/>
            <w:rFonts w:ascii="宋体" w:hAnsi="宋体" w:hint="eastAsia"/>
            <w:noProof/>
            <w:sz w:val="24"/>
          </w:rPr>
          <w:t>二十四、其他应披露事项</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_Toc231995042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156</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43" w:history="1">
        <w:r w:rsidRPr="0019601B">
          <w:rPr>
            <w:rStyle w:val="aa"/>
            <w:rFonts w:ascii="宋体" w:hAnsi="宋体" w:hint="eastAsia"/>
            <w:noProof/>
            <w:sz w:val="24"/>
          </w:rPr>
          <w:t>二十五、招募说明书的存放及查阅方式</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_Toc231995043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158</w:t>
        </w:r>
        <w:r w:rsidRPr="0019601B">
          <w:rPr>
            <w:rFonts w:ascii="宋体" w:hAnsi="宋体"/>
            <w:noProof/>
            <w:sz w:val="24"/>
          </w:rPr>
          <w:fldChar w:fldCharType="end"/>
        </w:r>
      </w:hyperlink>
    </w:p>
    <w:p w:rsidR="0019601B" w:rsidRPr="0019601B" w:rsidRDefault="0019601B" w:rsidP="0019601B">
      <w:pPr>
        <w:pStyle w:val="10"/>
        <w:tabs>
          <w:tab w:val="right" w:leader="dot" w:pos="8550"/>
        </w:tabs>
        <w:spacing w:line="360" w:lineRule="auto"/>
        <w:rPr>
          <w:rFonts w:ascii="宋体" w:hAnsi="宋体" w:cstheme="minorBidi"/>
          <w:noProof/>
          <w:sz w:val="24"/>
        </w:rPr>
      </w:pPr>
      <w:hyperlink w:anchor="_Toc231995044" w:history="1">
        <w:r w:rsidRPr="0019601B">
          <w:rPr>
            <w:rStyle w:val="aa"/>
            <w:rFonts w:ascii="宋体" w:hAnsi="宋体" w:hint="eastAsia"/>
            <w:noProof/>
            <w:sz w:val="24"/>
          </w:rPr>
          <w:t>二十六、备查文件</w:t>
        </w:r>
        <w:r w:rsidRPr="0019601B">
          <w:rPr>
            <w:rFonts w:ascii="宋体" w:hAnsi="宋体"/>
            <w:noProof/>
            <w:sz w:val="24"/>
          </w:rPr>
          <w:tab/>
        </w:r>
        <w:r w:rsidRPr="0019601B">
          <w:rPr>
            <w:rFonts w:ascii="宋体" w:hAnsi="宋体"/>
            <w:noProof/>
            <w:sz w:val="24"/>
          </w:rPr>
          <w:fldChar w:fldCharType="begin"/>
        </w:r>
        <w:r w:rsidRPr="0019601B">
          <w:rPr>
            <w:rFonts w:ascii="宋体" w:hAnsi="宋体"/>
            <w:noProof/>
            <w:sz w:val="24"/>
          </w:rPr>
          <w:instrText xml:space="preserve"> PAGEREF _Toc231995044 \h </w:instrText>
        </w:r>
        <w:r w:rsidRPr="0019601B">
          <w:rPr>
            <w:rFonts w:ascii="宋体" w:hAnsi="宋体"/>
            <w:noProof/>
            <w:sz w:val="24"/>
          </w:rPr>
        </w:r>
        <w:r w:rsidRPr="0019601B">
          <w:rPr>
            <w:rFonts w:ascii="宋体" w:hAnsi="宋体"/>
            <w:noProof/>
            <w:sz w:val="24"/>
          </w:rPr>
          <w:fldChar w:fldCharType="separate"/>
        </w:r>
        <w:r w:rsidRPr="0019601B">
          <w:rPr>
            <w:rFonts w:ascii="宋体" w:hAnsi="宋体"/>
            <w:noProof/>
            <w:sz w:val="24"/>
          </w:rPr>
          <w:t>159</w:t>
        </w:r>
        <w:r w:rsidRPr="0019601B">
          <w:rPr>
            <w:rFonts w:ascii="宋体" w:hAnsi="宋体"/>
            <w:noProof/>
            <w:sz w:val="24"/>
          </w:rPr>
          <w:fldChar w:fldCharType="end"/>
        </w:r>
      </w:hyperlink>
    </w:p>
    <w:p w:rsidR="006C4C22" w:rsidRPr="0019601B" w:rsidRDefault="0019601B" w:rsidP="0019601B">
      <w:pPr>
        <w:pStyle w:val="ad"/>
        <w:snapToGrid w:val="0"/>
        <w:spacing w:after="240" w:line="360" w:lineRule="auto"/>
        <w:jc w:val="center"/>
        <w:rPr>
          <w:rFonts w:ascii="宋体" w:hAnsi="宋体"/>
          <w:color w:val="000000"/>
          <w:sz w:val="24"/>
        </w:rPr>
      </w:pPr>
      <w:r w:rsidRPr="0019601B">
        <w:rPr>
          <w:rFonts w:ascii="宋体" w:hAnsi="宋体"/>
          <w:color w:val="000000"/>
          <w:position w:val="-4"/>
          <w:sz w:val="24"/>
          <w:szCs w:val="30"/>
        </w:rPr>
        <w:fldChar w:fldCharType="end"/>
      </w:r>
      <w:bookmarkStart w:id="3" w:name="_GoBack"/>
      <w:bookmarkEnd w:id="3"/>
    </w:p>
    <w:p w:rsidR="006C4C22" w:rsidRDefault="006C4C22">
      <w:pPr>
        <w:autoSpaceDE w:val="0"/>
        <w:autoSpaceDN w:val="0"/>
        <w:adjustRightInd w:val="0"/>
        <w:snapToGrid w:val="0"/>
        <w:spacing w:line="360" w:lineRule="auto"/>
        <w:ind w:left="120" w:rightChars="6" w:right="13"/>
        <w:rPr>
          <w:rFonts w:ascii="宋体" w:hAnsi="宋体"/>
          <w:kern w:val="0"/>
          <w:szCs w:val="24"/>
        </w:rPr>
        <w:sectPr w:rsidR="006C4C22">
          <w:pgSz w:w="11920" w:h="16840"/>
          <w:pgMar w:top="1480" w:right="1680" w:bottom="280" w:left="1680" w:header="0" w:footer="1073" w:gutter="0"/>
          <w:cols w:space="720"/>
        </w:sectPr>
      </w:pPr>
    </w:p>
    <w:p w:rsidR="006C4C22" w:rsidRDefault="000273F3">
      <w:pPr>
        <w:pStyle w:val="1"/>
        <w:snapToGrid w:val="0"/>
        <w:spacing w:beforeLines="0" w:before="240" w:after="240"/>
        <w:rPr>
          <w:rFonts w:ascii="宋体" w:hAnsi="宋体"/>
          <w:szCs w:val="30"/>
        </w:rPr>
      </w:pPr>
      <w:bookmarkStart w:id="4" w:name="_Toc231995019"/>
      <w:r>
        <w:rPr>
          <w:rFonts w:ascii="Times New Roman" w:hAnsi="Times New Roman"/>
          <w:sz w:val="30"/>
        </w:rPr>
        <w:lastRenderedPageBreak/>
        <w:t>一、绪言</w:t>
      </w:r>
      <w:bookmarkEnd w:id="4"/>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国企改革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国企改革灵活配置混合型证券投资基金基金合同》（以下简称“基金合同”）编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5" w:name="_Toc231995020"/>
      <w:r>
        <w:rPr>
          <w:rFonts w:ascii="Times New Roman" w:hAnsi="Times New Roman"/>
          <w:sz w:val="30"/>
        </w:rPr>
        <w:lastRenderedPageBreak/>
        <w:t>二、释义</w:t>
      </w:r>
      <w:bookmarkEnd w:id="5"/>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指交银施罗德国企改革灵活配置混合型证券投资基金</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《基金合同》或基金合同</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指《交银施罗德国企改革灵活配置混合型证券投资基金基金合同》及对基金合同的任何有效修订和补充</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指基金管理人与基金托管人就本基金签订之《交银施罗德国企改革灵活配置混合型证券投资基金托管协议》及对该托管协议的任何有效修订和补充</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指《交银施罗德国企改革灵活配置混合型证券投资基金招募说明书》及其更新</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指《交银施罗德国企改革灵活配置混合型证券投资基金基金份额发售公告》</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《交银施罗德国企改革灵活配置混合型证券投资基金基金产品资料概要》及其更新</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指中国现行有效并公布实施的法律、行政法规、规范性文件、司法解释、行政规章以及其他对基金合同当事人有约束力的决定、决议、通知等</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日经第十届全国人民代表大会常务委员会第五次会议通过，并经</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日第十一届全国人民代表大会常务委员会第三十次会议修订，自</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日起实施的《中华人民共和国证券投资基金法》及其后颁布机关对其不时做出的修订</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15</w:t>
            </w:r>
            <w:r>
              <w:rPr>
                <w:rFonts w:ascii="Times New Roman" w:hAnsi="Times New Roman"/>
                <w:color w:val="000000"/>
                <w:kern w:val="0"/>
                <w:sz w:val="25"/>
                <w:szCs w:val="24"/>
              </w:rPr>
              <w:t>日颁布、同年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日实施的《证券投资基金销售管理办法》及颁布机关对其不时做出的修订</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日实施的《公开募集证券投资基金信息披露管理办法》及颁布机关对其不时做出的修订</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7</w:t>
            </w:r>
            <w:r>
              <w:rPr>
                <w:rFonts w:ascii="Times New Roman" w:hAnsi="Times New Roman"/>
                <w:color w:val="000000"/>
                <w:kern w:val="0"/>
                <w:sz w:val="25"/>
                <w:szCs w:val="24"/>
              </w:rPr>
              <w:t>日颁布、同年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8</w:t>
            </w:r>
            <w:r>
              <w:rPr>
                <w:rFonts w:ascii="Times New Roman" w:hAnsi="Times New Roman"/>
                <w:color w:val="000000"/>
                <w:kern w:val="0"/>
                <w:sz w:val="25"/>
                <w:szCs w:val="24"/>
              </w:rPr>
              <w:t>日实施的《公开募集证券投资基金运作管理办法》及颁布机关对其不时做出的修订</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指中国人民银行和</w:t>
            </w:r>
            <w:r>
              <w:rPr>
                <w:rFonts w:ascii="Times New Roman" w:hAnsi="Times New Roman"/>
                <w:color w:val="000000"/>
                <w:kern w:val="0"/>
                <w:sz w:val="25"/>
                <w:szCs w:val="24"/>
              </w:rPr>
              <w:t>/</w:t>
            </w:r>
            <w:r>
              <w:rPr>
                <w:rFonts w:ascii="Times New Roman" w:hAnsi="Times New Roman"/>
                <w:color w:val="000000"/>
                <w:kern w:val="0"/>
                <w:sz w:val="25"/>
                <w:szCs w:val="24"/>
              </w:rPr>
              <w:t>或中国银行业监督管理委员会</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指依据有关法律法规规定可投资于证券投资基金的自然人</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指依法可以投资证券投资基金的、在中华人民共和国境内合法登记并存续或经有关政府部门批准设立并存续的企业法人、事业法人、社会团体或其他组织</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指符合《合格境外机构投资者境内证券投资管理办法》及相关法律法规规定可以投资于在中国境内依法募集的证券投资基金的中国境外的机构投资者</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人民币合格境外机构投资者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指按照《人民币合格境外机构投资者境内证券投资试点办法》及相关法律法规规定，运用来自境外的人民币资金进行中国境内证券投资的境外机构投资者</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投资人或投资者</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指个人投资者、机构投资者、合格境外机构投资者和人民币合格境外机构投资者以及法律法规或中国证监会允许购买证券投资基金的其他投资人的合称</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指依基金合同和招募说明书合法取得基金份额的投资人</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指基金管理人或销售机构宣传推介基金，发售基金份额，办理基金份额的申购、赎回、转换、转托管及定期定额投资等业务</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指交银施罗德基金管理有限公司以及符合《销售办法》和中国证监会规定的其他条件，取得基金销售业务资格并与基金管理人签订了基金销售服务协议，办理基金销售业务的机构</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登记业务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指基金登记、存管、过户、清算和结算业务，具体内容包括投资人基金账户的建立和管理、基金份额登记、基金销售业务的确认、清算和结算、代理发放红利、建立并保管基金份额持有人名册和办理非交易过户等</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登记机构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指办理登记业务的机构。基金的登记机构为交银施罗德基金管理有限公司或接受交银施罗德基金管理有限公司委托代为办理登记业务的机构</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指登记机构为投资人开立的、记录其持有的、基金管理人所管理的基金份额余额及其变动情况的账户</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指销售机构为投资人开立的、记录投资人通过该销售机构办理认购、申购、赎回、转换及转托管等业务而引起的基金份额变动及结余情况的账户</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指销售机构在规定时间受理投资人申购、赎回或其他业务申请的开放日</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开放时间</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指在基金募集期内，投资人根据基金合同和招募说明书的规定申请购买基金份额的行为</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指基金合同生效后，基金份额持有人按基金合同和招募说明书规定的条件要求将基金份额兑换为现金的行为</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指基金份额持有人按照基金合同和基金管理人届时有效公告规定的条件，申请将其持有基金管理人管理的、某一基金的基金份额转换为基金管理人管理的其他基金基金份额的行为</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指基金份额持有人在本基金的不同销售机构之间实施的变更所持基金份额销售机构的操作</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指投资人通过有关销售机构提出申请，约定每期申购日、扣款金额及扣款方式，由指定的销售机构在投资人指定银行账户内自动完成扣款并于每期约定的申购日受理基金申购申请的一种投资方式</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指本基金单个开放日，基金净赎回申请（赎回申请份额总数加上基金转换中转出申请份额总数后扣除申购申请份额总数及基金转换中转入申请份额总数后的余额）超过上一开放日基金总份额的</w:t>
            </w:r>
            <w:r>
              <w:rPr>
                <w:rFonts w:ascii="Times New Roman" w:hAnsi="Times New Roman"/>
                <w:color w:val="000000"/>
                <w:kern w:val="0"/>
                <w:sz w:val="25"/>
                <w:szCs w:val="24"/>
              </w:rPr>
              <w:t>10%</w:t>
            </w:r>
            <w:r>
              <w:rPr>
                <w:rFonts w:ascii="Times New Roman" w:hAnsi="Times New Roman"/>
                <w:color w:val="000000"/>
                <w:kern w:val="0"/>
                <w:sz w:val="25"/>
                <w:szCs w:val="24"/>
              </w:rPr>
              <w:t>的情形</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基金收益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指基金拥有的各类有价证券、股指期货合约、证券投资基金份额、银行存款本息、基金应收申购款及其他资产的价值总和</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指从基金财产中计提的，用于本基金市场推广、销售以及基金份额持有人服务的费用</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指在投资人申购时收取申购费用且不从本类别基金资产中计提销售服务费的基金份额</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指在投资人申购时不收取申购费用，并从本类别基金资产中计提销售服务费的基金份额</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侧袋机制</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特定资产</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指基金合同当事人不能预见、不能避免且不能克服的客观事件</w:t>
            </w:r>
          </w:p>
        </w:tc>
      </w:tr>
    </w:tbl>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6" w:name="_Toc231995021"/>
      <w:r>
        <w:rPr>
          <w:rFonts w:ascii="Times New Roman" w:hAnsi="Times New Roman"/>
          <w:sz w:val="30"/>
        </w:rPr>
        <w:lastRenderedPageBreak/>
        <w:t>三、基金管理人</w:t>
      </w:r>
      <w:bookmarkEnd w:id="6"/>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沈楠先生:基金经理。复旦大学经济学硕士，17年证券投资行业从业经验。2009年至2011年在长江证券担任高级分析师。2011年加入交银施罗德基金管理有限公司，曾任行业分析师、基金经理助理，现任权益部基金经理。现任交银施罗德主题优选灵活配置混合型证券投资基金(2015年05月05日至今)、交银施罗德国企改革灵活配置混合型证券投资基金(2015年06月10日至今)、交银施罗德瑞思混合型证券投资基金（LOF）(2020年02月21日至今)、交银施罗德稳固收益债券型证券投资基金(2026年03月17日至今)的基金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7、计算并公告基金净值信息，确定基金份额申购、赎回价格；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w:t>
      </w:r>
      <w:r>
        <w:rPr>
          <w:rFonts w:ascii="宋体" w:hAnsi="宋体"/>
          <w:sz w:val="24"/>
        </w:rPr>
        <w:lastRenderedPageBreak/>
        <w:t>关的交易活动；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7" w:name="_Toc231995022"/>
      <w:r>
        <w:rPr>
          <w:rFonts w:ascii="Times New Roman" w:hAnsi="Times New Roman"/>
          <w:sz w:val="30"/>
        </w:rPr>
        <w:lastRenderedPageBreak/>
        <w:t>四、基金托管人</w:t>
      </w:r>
      <w:bookmarkEnd w:id="7"/>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8" w:name="_Toc231995023"/>
      <w:r>
        <w:rPr>
          <w:rFonts w:ascii="Times New Roman" w:hAnsi="Times New Roman"/>
          <w:sz w:val="30"/>
        </w:rPr>
        <w:lastRenderedPageBreak/>
        <w:t>五、相关服务机构</w:t>
      </w:r>
      <w:bookmarkEnd w:id="8"/>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（2）名称：江苏银行股份有限公司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住所：南京市中华路26号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（3）名称：中国农业银行股份有限公司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（4）名称：东莞农村商业银行股份有限公司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（5）名称：上海银行股份有限公司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电话：（021）68475888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（6）名称：中国建设银行股份有限公司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（7）名称：中国光大银行股份有限公司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网址：bank.ecitic.com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（9）名称：南京银行股份有限公司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住所：南京市玄武区中山路288号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办公地址：南京市玄武区中山路288号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法定代表人：胡升荣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电话：025-86776111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传真：025-86775054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客户服务电话：95302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网址：www.njcb.com.cn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（10）名称：交通银行股份有限公司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（11）名称：招商银行股份有限公司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（12）名称：平安银行股份有限公司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法定代表人：谢永林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（13）名称：上海浦东发展银行股份有限公司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（14）名称：宁波银行股份有限公司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（15）名称：中国邮政储蓄银行股份有限公司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网址：www.psbc.com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（16）名称：光大证券股份有限公司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（17）名称：国投证券股份有限公司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（18）名称：财通证券股份有限公司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（19）名称：华龙证券股份有限公司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办公地址：兰州市城关区东岗西路638号财富中心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（20）名称：华宝证券股份有限公司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（21）名称：大同证券有限责任公司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（22）名称：第一创业证券股份有限公司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传真：（0755）25831718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（23）名称：国新证券股份有限公司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（24）名称：西南证券股份有限公司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（25）名称：信达证券股份有限公司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网址：www.cindasc.com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（26）名称：江海证券有限公司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（27）名称：申万宏源西部证券有限公司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（28）名称：中国银河证券股份有限公司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（29）名称：申万宏源证券有限公司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电话：（021）33389888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（30）名称：国都证券股份有限公司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（31）名称：平安证券股份有限公司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（32）名称：天风证券股份有限公司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（33）名称：长江证券股份有限公司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办公地址：武汉市新华路特8号长江证券大厦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（34）名称：德邦证券股份有限公司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（35）名称：国联民生证券股份有限公司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（36）名称：方正证券股份有限公司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客户服务电话：95571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（37）名称：渤海证券股份有限公司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（38）名称：国元证券股份有限公司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（39）名称：湘财证券股份有限公司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（40）名称：华泰证券股份有限公司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住所：江苏省南京市江东中路228号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（41）名称：长城国瑞证券有限公司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（42）名称：西部证券股份有限公司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（43）名称：东方财富证券股份有限公司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传真：（021）021-23586860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（44）名称：东方证券股份有限公司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（45）名称：中信证券（山东）有限责任公司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（46）名称：中信证券股份有限公司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（47）名称：中信证券华南股份有限公司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办公地址：广州市天河区珠江西路5号广州国际金融中心主塔19层、20层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（48）名称：广发证券股份有限公司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（49）名称：国信证券股份有限公司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（50）名称：华西证券股份有限公司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传真：（028）86150400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（51）名称：开源证券股份有限公司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（52）名称：万联证券股份有限公司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（53）名称：招商证券股份有限公司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（54）名称：南京证券股份有限公司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住所：南京市江东中路389号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（55）名称：中信建投证券股份有限公司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（56）名称：浙商证券股份有限公司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（57）名称：中泰证券股份有限公司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传真：（0531）68889752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（58）名称：山西证券股份有限公司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（59）名称：国金证券股份有限公司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（60）名称：东莞证券股份有限公司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（61）名称：国泰海通证券股份有限公司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注册地址：中国（上海）自由贸易试验区商城路618号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（62）名称：中国中金财富证券有限公司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（63）名称：华福证券股份有限公司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（64）名称：民生证券股份有限公司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传真：（010）85127641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（65）名称：北京广源达信基金销售有限公司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（66）名称：天相投资顾问有限公司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（67）名称：上海中欧财富基金销售有限公司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公司网址：https://www.zocaifu.com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（68）名称：济安财富（北京）基金销售有限公司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（69）名称：大连网金基金销售有限公司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（70）名称：阳光人寿保险股份有限公司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（71）名称：玄元保险代理有限公司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办公地址：中国(上海)自由贸易试验区张杨路707号1105室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（72）名称：京东肯特瑞基金销售有限公司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（73）名称：上海大智慧基金销售有限公司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（74）名称：和耕传承基金销售有限公司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（75）名称：腾安基金销售（深圳）有限公司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（76）名称：珠海盈米基金销售有限公司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（77）名称：上海华夏财富投资管理有限公司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客户服务电话：400-817-5666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（78）名称：北京度小满基金销售有限公司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（79）名称：南京苏宁基金销售有限公司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（80）名称：嘉实财富管理有限公司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（81）名称：北京汇成基金销售有限公司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住所：北京市西城区宣武门外大街甲1号4层401-2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（82）名称：上海利得基金销售有限公司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（83）名称：北京虹点基金销售有限公司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（84）名称：上海陆金所基金销售有限公司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电话：（021）20665952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（85）名称：上海挖财基金销售有限公司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（86）名称：万家财富基金销售（天津）有限公司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（87）名称：上海万得基金销售有限公司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马烨莹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（88）名称：格上富信投资顾问有限公司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（89）名称：深圳市金斧子基金销售有限公司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（90）名称：北京雪球基金销售有限公司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（91）名称：北京新浪仓石基金销售有限公司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（92）名称：中证金牛（北京）基金销售有限公司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（93）名称：上海证达通基金销售有限公司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（94）名称：北京创金启富基金销售有限公司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北京市西城区白纸坊东街2号院6号楼712室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（95）名称：奕丰基金销售有限公司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（96）名称：上海天天基金销售有限公司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（97）名称：和讯信息科技有限公司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电话：（021）20835789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（98）名称：诺亚正行基金销售有限公司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（99）名称：上海好买基金销售有限公司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（100）名称：上海长量基金销售有限公司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网址：www.erichfund.com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（101）名称：深圳众禄基金销售股份有限公司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（102）名称：蚂蚁（杭州）基金销售有限公司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（103）名称：上海基煜基金销售有限公司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（104）名称：浙江同花顺基金销售有限公司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住所：浙江省杭州市文二西路1号元茂大厦903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（105）名称：宜信普泽（北京）基金销售有限公司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（106）名称：上海联泰基金销售有限公司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（107）名称：深圳市新兰德证券投资咨询有限公司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电话：（010）58325395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（108）名称：北京展恒基金销售股份有限公司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（109）名称：泛华普益基金销售有限公司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（110）名称：中信期货有限公司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传真：021-60819988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（111）名称：博时财富基金销售有限公司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（112）名称：深圳前海微众银行股份有限公司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（113）名称：中国人寿保险股份有限公司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w:t>
      </w:r>
      <w:r>
        <w:rPr>
          <w:rFonts w:ascii="宋体" w:hAnsi="宋体"/>
          <w:sz w:val="24"/>
        </w:rPr>
        <w:lastRenderedPageBreak/>
        <w:t>金，并在管理人网站公示。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9" w:name="_Toc231995024"/>
      <w:r>
        <w:rPr>
          <w:rFonts w:ascii="Times New Roman" w:hAnsi="Times New Roman"/>
          <w:sz w:val="30"/>
        </w:rPr>
        <w:lastRenderedPageBreak/>
        <w:t>六、基金的募集</w:t>
      </w:r>
      <w:bookmarkEnd w:id="9"/>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本基金由基金管理人依照《基金法》、《运作办法》、基金合同及其他有关规定，并经中国证监会2015年[4]月[14]日证监许可[2015]613号文准予募集注册。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本基金募集期间份额净值为人民币1.00元，按初始面值发售。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本基金自2015年5月25日起至2015年6月5日进行发售。本基金设立募集期共募集3,429,779,242.25份基金份额，有效认购户数为54,422户。</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0" w:name="_Toc231995025"/>
      <w:r>
        <w:rPr>
          <w:rFonts w:ascii="Times New Roman" w:hAnsi="Times New Roman"/>
          <w:sz w:val="30"/>
        </w:rPr>
        <w:lastRenderedPageBreak/>
        <w:t>七、基金合同的生效</w:t>
      </w:r>
      <w:bookmarkEnd w:id="10"/>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根据有关规定，本基金满足基金合同生效条件，基金合同已于2015年6月10日正式生效。自基金合同生效之日起，本基金管理人正式开始管理本基金。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1" w:name="_Toc231995026"/>
      <w:r>
        <w:rPr>
          <w:rFonts w:ascii="Times New Roman" w:hAnsi="Times New Roman"/>
          <w:sz w:val="30"/>
        </w:rPr>
        <w:lastRenderedPageBreak/>
        <w:t>八、基金份额的申购与赎回</w:t>
      </w:r>
      <w:bookmarkEnd w:id="11"/>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本公司网站。网上直销交易平台网址：www.fund001.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本基金A类基金份额已于2015年7月10日起开放申购、赎回业务。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本基金C类基金份额已于2023年2月28日起开放申购、赎回业务。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C4C2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w:t>
            </w:r>
            <w:r>
              <w:rPr>
                <w:rFonts w:ascii="Times New Roman" w:hAnsi="Times New Roman"/>
                <w:color w:val="000000"/>
                <w:kern w:val="0"/>
                <w:sz w:val="25"/>
                <w:szCs w:val="24"/>
              </w:rPr>
              <w:lastRenderedPageBreak/>
              <w:t>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6C4C2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w:t>
      </w:r>
      <w:r>
        <w:rPr>
          <w:rFonts w:ascii="宋体" w:hAnsi="宋体"/>
          <w:sz w:val="24"/>
        </w:rPr>
        <w:lastRenderedPageBreak/>
        <w:t>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C4C2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C4C2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C4C2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4C22" w:rsidRDefault="006C4C2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w:t>
      </w:r>
      <w:r>
        <w:rPr>
          <w:rFonts w:ascii="宋体" w:hAnsi="宋体"/>
          <w:sz w:val="24"/>
        </w:rPr>
        <w:lastRenderedPageBreak/>
        <w:t>金份额，假设申购当日A类基金份额净值为1.0400元，则其可得到95,580.37份A类基金份额。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赎回金额为按实际确认的A类基金份额或C类基金份额有效赎回份额乘以当日该类基金份额净值并扣除相应的费用（如有），赎回金额单位为元，计算结果保留到小数点后两位，第三位四舍五入。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即：投资者赎回本基金10,000份A类基金份额，对应的赎回费率为0.5%，假设赎回当日A类基金份额净值是1.0160元，则其可得到的赎回金额为10,109.20元。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例五：某投资者赎回10,000份C类基金份额，持有期限为20日，对应的赎回费率为0.5%，假设赎回当日C类基金份额净值是1.0160元，则其可得到的赎回金额为：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7、基金管理人接受某笔或者某些申购申请有可能导致单一投资者持有基金份额的比例超过50%，或者变相规避50%集中度的情形。出现上述情形时，基金管理人有权将上述申购申请全部或部分确认失败。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5、继续接受赎回申请将损害现有基金份额持有人利益的情形时，可暂停接受投资人的赎回申请。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（十）巨额赎回的情形及处理方式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3、巨额赎回的公告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本基金2015年7月9日刊登公告自2015年7月10日起开通A类基金份额的定期定额</w:t>
      </w:r>
      <w:r>
        <w:rPr>
          <w:rFonts w:ascii="宋体" w:hAnsi="宋体"/>
          <w:sz w:val="24"/>
        </w:rPr>
        <w:lastRenderedPageBreak/>
        <w:t>投资计划业务，本基金2023年2月22日刊登公告自2023年2月28日起增设C类基金份额并开通C类基金份额的定期定额投资计划业务，具体开通销售机构名单和业务规则参见相关公告。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2" w:name="_Toc231995027"/>
      <w:r>
        <w:rPr>
          <w:rFonts w:ascii="Times New Roman" w:hAnsi="Times New Roman"/>
          <w:sz w:val="30"/>
        </w:rPr>
        <w:lastRenderedPageBreak/>
        <w:t>九、基金的转换</w:t>
      </w:r>
      <w:bookmarkEnd w:id="12"/>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本基金2015年8月4日刊登公告自2015年8月5日起开放A类基金份额的日常转换业务。本基金2023年2月22日刊登公告自2023年2月28日起增设C类基金份额并开通C类基金份额的日常转换业务。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基金遵循“份额转换”的原则，单笔转换份额不得低于1份。基金持有人可将其全部或部分基金份额转换成其它基金，单笔转换申请不受转入基金最低申购限额限制。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最低保留余额的规定，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w:t>
      </w:r>
      <w:r>
        <w:rPr>
          <w:rFonts w:ascii="宋体" w:hAnsi="宋体"/>
          <w:sz w:val="24"/>
        </w:rPr>
        <w:lastRenderedPageBreak/>
        <w:t>优惠，优惠费率只适用于转出与转入基金申购补差费用，转出基金的赎回费用无优惠。可通过网上直销交易平台办理的转换业务范围及转换费率优惠的具体情况请参阅本基金管理人网站。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证券投资基金信息披露管理办法》的有关规定在中国证监会指定媒体上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转入确认金额=101,000-505=100,495元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2、后端收费模式下基金转换份额的计算公式及举例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转入基金确认份额=（124,750-1497）/1.00=123,253.00份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w:t>
      </w:r>
      <w:r>
        <w:rPr>
          <w:rFonts w:ascii="宋体" w:hAnsi="宋体"/>
          <w:sz w:val="24"/>
        </w:rPr>
        <w:lastRenderedPageBreak/>
        <w:t>1.00元）。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交银货币的基金份额转换为其他基金份额时，注册登记机构将自动结转该转出份额对应的待支付收益，该收益将一并计入转出金额并折算为转入基金的基金份额，但收益部分不收取转换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3" w:name="_Toc231995028"/>
      <w:r>
        <w:rPr>
          <w:rFonts w:ascii="Times New Roman" w:hAnsi="Times New Roman"/>
          <w:sz w:val="30"/>
        </w:rPr>
        <w:lastRenderedPageBreak/>
        <w:t>十、基金的投资</w:t>
      </w:r>
      <w:bookmarkEnd w:id="13"/>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本基金主要投资受益于国企改革红利的上市公司股票，通过积极主动的投资管理，在合理控制投资风险的基础上，力争实现基金资产的长期稳定增值。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本基金保留的现金或者投资于到期日在一年以内的政府债券的比例合计不低于基金资产净值的5%，其中现金不包括结算备付金、存出保证金和应收申购款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其中，本基金股票投资重点关注直接受益于国企改革红利、或在国企改革推动下盈利水平长期显著提升的其他上市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w:t>
      </w:r>
      <w:r>
        <w:rPr>
          <w:rFonts w:ascii="宋体" w:hAnsi="宋体"/>
          <w:sz w:val="24"/>
        </w:rPr>
        <w:lastRenderedPageBreak/>
        <w:t>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同行业受宏观经济周期、行业自身生命周期以及相关结构性因素的影响在不同时期表现往往具有明显差异。基金管理人采用多因素的定性与定量相结合的分析和预测方法，确定宏观及行业经济变量的变动对不同行业的潜在影响，得出各行业的相对投资价值与投资时机。其中，本基金将密切跟踪各类行业受益于国企改革红利的程度，把握因直接或间接受益于国企改革红利的相关行业带来的投资机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本基金将充分发挥研究团队自下而上的选股能力，基于对个股深入的基本面研究和细致的实地调研，精选股票构建股票投资组合。本基金管理人的股票投资具体分以下几个层次进行：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对备选上市公司详实的案头分析和深入的实地调研，以定性与定量相结合的方法对公司价值进行综合评估，构建股票组合。其中，本基金重点关注直接或间接受益于国企制度改革红利的上市公司，包括：</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市公司作为平台，通过产权制度改革（如兼并重组、整合上市、引入多元股权结构等）或管理制度改革（如国有资产管理体制改革、国企管理层股权激励制度、市值利润考核等）等多种方式，提高经营效率和竞争力的上市公司股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受益于混合所有制改革、垄断领域对民营资本开放等制度红利获得发展机遇或盈利水平显著提升的非国企上市公司。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本基金管理人将对所关注的重点上市公司进行内在价值的评估和成长性跟踪研</w:t>
      </w:r>
      <w:r>
        <w:rPr>
          <w:rFonts w:ascii="宋体" w:hAnsi="宋体"/>
          <w:sz w:val="24"/>
        </w:rPr>
        <w:lastRenderedPageBreak/>
        <w:t>究，在明确的价值评估基础上精选优秀质地的投资标的构建股票组合。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央行票据、金融债、企业债和可转换债券等债券品种。本基金的债券投资采取主动的投资管理方式，获得与风险相匹配的投资收益，以实现在一定程度上规避股票市场的系统性风险和保证基金资产的流动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7、股指期货投资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w:t>
      </w:r>
      <w:r>
        <w:rPr>
          <w:rFonts w:ascii="宋体" w:hAnsi="宋体"/>
          <w:sz w:val="24"/>
        </w:rPr>
        <w:lastRenderedPageBreak/>
        <w:t>研究分析、投资决策、交易执行及风险控制各环节的独立运作，并明确相关岗位职责。此外，基金管理人建立股指期货交易决策部门或小组，并授权特定的管理人员负责股指期货的投资审批事项。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w:t>
      </w:r>
      <w:r>
        <w:rPr>
          <w:rFonts w:ascii="宋体" w:hAnsi="宋体"/>
          <w:sz w:val="24"/>
        </w:rPr>
        <w:lastRenderedPageBreak/>
        <w:t>产，本基金所申报的股票数量不超过拟发行股票公司本次发行股票的总量；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（19）本基金持有的同一中期票据，其市值不得超过基金资产净值的10%；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（20）本基金的存款银行为具有证券投资基金托管人资格、证券投资基金销售业务资格或合格境外机构投资者托管人资格的商业银行；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（21）本基金投资于定期存款的比例不得超过基金资产净值的30%，根据协议可提前支取且没有利息损失的银行存款，不受此限制；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（24）本基金与私募类证券资管产品及中国证监会认定的其他主体为交易对手开展逆回购交易的，可接受质押品的资质要求应当与本基金合同约定的投资范围保持一致；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（25）本基金投资存托凭证的比例限制依照境内上市交易的股票执行；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（26）法律法规及中国证监会规定的和《基金合同》约定的其他投资限制。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23）、（24）项以及第（15）项第6）目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60%×沪深300指数+40%×中证综合债券指数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根据本基金的投资范围和投资比例，选用上述业绩比较基准能够客观、合理地反映本基金的风险收益特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若变更基准指数对基金投资范围和投资策略无实质性影响（包括但不限于指数编制单位变更、指数更名等事项），则无需召开基金份额持有人大会，基金管理人应与基金托管人协商一致后，报中国证监会备案并及时公告。若变更基准指数涉及本基金投资范围或投资策略的实质性变更，则基金管理人应就变更基准指数召开基金份额持有人大会，并报中国证监会备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（八）基金的融资、融券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本基金可以根据届时有效的有关法律法规和政策的规定进行融资、融券。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（九）侧袋机制的实施和投资运作安排</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侧袋账户的实施条件、实施程序、运作安排、投资安排、特定资产的处置变现和支付等对投资者权益有重大影响的事项详见本招募说明书“侧袋机制”部分的规定。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（十）基金投资组合报告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556,722,316.86</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86.41</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556,722,316.86</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86.41</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7.86</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7.86</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29,406,952.32</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4.56</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7,501,771.35</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1.16</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644,272,284.37</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344,816,692.42</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53.73</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D</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19,553,841.64</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44,994,553.86</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7.01</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62,875,800.00</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9.80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55,983.42</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64,110,319.16</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9.99</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7,038,000.00</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1.10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154,499.79</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12,800,956.00</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556,722,316.86</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86.76</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2,340,000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62,875,800.00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9.80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600893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航发动力</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1,281,463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61,587,111.78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9.60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001979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招商蛇口</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6,248,076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52,546,319.16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8.19</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600309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万华化学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609,970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48,462,116.50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7.55</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600887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伊利股份</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1,708,600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45,021,610.00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7.02</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002182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宝武镁业</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2,100,000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32,340,000.00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5.04</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600115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中国东航</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6,099,930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25,924,702.50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4.04</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浪潮信息</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352,900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19,790,632.00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001287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中电港</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805,900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19,526,957.00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3.04</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600372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中航机载</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1,497,880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19,472,440.00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3.03</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7.89</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7.89</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50,641,243.84</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7.89</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30,460,734.25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4.75</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20,180,509.59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10.1 本期国债期货投资政策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1,369,872.43</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5,989,396.36</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142,502.56</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right"/>
              <w:rPr>
                <w:rFonts w:ascii="宋体" w:hAnsi="宋体"/>
                <w:color w:val="000000"/>
                <w:kern w:val="0"/>
                <w:sz w:val="25"/>
                <w:szCs w:val="24"/>
              </w:rPr>
            </w:pPr>
            <w:r>
              <w:rPr>
                <w:rFonts w:ascii="Times New Roman" w:hAnsi="Times New Roman"/>
                <w:color w:val="000000"/>
                <w:kern w:val="0"/>
                <w:sz w:val="25"/>
                <w:szCs w:val="24"/>
              </w:rPr>
              <w:t>7,501,771.35</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4" w:name="_Toc231995029"/>
      <w:r>
        <w:rPr>
          <w:rFonts w:ascii="Times New Roman" w:hAnsi="Times New Roman"/>
          <w:sz w:val="30"/>
        </w:rPr>
        <w:lastRenderedPageBreak/>
        <w:t>十一、基金的业绩</w:t>
      </w:r>
      <w:bookmarkEnd w:id="14"/>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（1）交银国企改革灵活配置混合A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15.23%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4.34%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10.20%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-2.32%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-17.74%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-12.72%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4.64%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16.68%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20.39%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21.15%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54.89%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37.26%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38.59%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15.50%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-21.79%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-8.86%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-4.88%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-5.60%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10</w:t>
            </w:r>
            <w:r>
              <w:rPr>
                <w:rFonts w:ascii="Times New Roman" w:hAnsi="Times New Roman"/>
                <w:color w:val="000000"/>
                <w:kern w:val="0"/>
                <w:sz w:val="25"/>
                <w:szCs w:val="24"/>
              </w:rPr>
              <w:t>日至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8.70%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-16.65%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25.35%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（2）交银国企改革灵活配置混合C：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14.54%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3.65%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9.54%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-2.98%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6C4C2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2023</w:t>
            </w:r>
            <w:r>
              <w:rPr>
                <w:rFonts w:ascii="Times New Roman" w:hAnsi="Times New Roman"/>
                <w:color w:val="000000"/>
                <w:kern w:val="0"/>
                <w:sz w:val="25"/>
                <w:szCs w:val="24"/>
              </w:rPr>
              <w:t>年度（</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-22.12%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-7.99%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-14.13%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bl>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业绩比较基准自2015年10月1日起，由“60%×沪深300指数+40%×中信标普全债指数”变更为“60%×沪深300指数+40%×中证综合债券指数”。详情见本基金管理人于2015年9月28日发布的《交银施罗德基金管理有限公司关于旗下部分基金业绩比较基准变更并修改基金合同相关内容的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2、本基金的业绩比较基准每日进行再平衡过程。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6C4C22" w:rsidRDefault="000273F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交银施罗德国企改革灵活配置混合型证券投资基金</w:t>
      </w:r>
    </w:p>
    <w:p w:rsidR="006C4C22" w:rsidRDefault="000273F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6C4C22" w:rsidRDefault="000273F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（2015年6月10日至2026年03月31日）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（1）交银国企改革灵活配置混合A</w:t>
      </w:r>
    </w:p>
    <w:p w:rsidR="006C4C22" w:rsidRDefault="0019601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（2）交银国企改革灵活配置混合C</w:t>
      </w:r>
    </w:p>
    <w:p w:rsidR="006C4C22" w:rsidRDefault="0019601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2、本基金自2023年2月28日起，开始销售C类份额，投资者提交的申购申请于2023年3月1日被确认并将有效份额登记在册。</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5" w:name="_Toc231995030"/>
      <w:r>
        <w:rPr>
          <w:rFonts w:ascii="Times New Roman" w:hAnsi="Times New Roman"/>
          <w:sz w:val="30"/>
        </w:rPr>
        <w:lastRenderedPageBreak/>
        <w:t>十二、基金的财产</w:t>
      </w:r>
      <w:bookmarkEnd w:id="15"/>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基金资产总值是指基金拥有的各类有价证券、股指期货合约、证券投资基金份额、银行存款本息、基金应收申购款及其他资产的价值总和。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6" w:name="_Toc231995031"/>
      <w:r>
        <w:rPr>
          <w:rFonts w:ascii="Times New Roman" w:hAnsi="Times New Roman"/>
          <w:sz w:val="30"/>
        </w:rPr>
        <w:lastRenderedPageBreak/>
        <w:t>十三、基金资产的估值</w:t>
      </w:r>
      <w:bookmarkEnd w:id="16"/>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基金所拥有的股票、债券、证券投资基金、衍生工具和其它投资等持续以公允价值计量的金融资产及负债。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基金管理人和基金托管人将采取必要、适当、合理的措施确保基金资产估值的准确性、及时性。当基金份额净值小数点后第4位以内（含第4位) 发生估值错误时，视为基金份额净值错误。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w:t>
      </w:r>
      <w:r>
        <w:rPr>
          <w:rFonts w:ascii="宋体" w:hAnsi="宋体"/>
          <w:sz w:val="24"/>
        </w:rPr>
        <w:lastRenderedPageBreak/>
        <w:t>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w:t>
      </w:r>
      <w:r>
        <w:rPr>
          <w:rFonts w:ascii="宋体" w:hAnsi="宋体"/>
          <w:sz w:val="24"/>
        </w:rPr>
        <w:lastRenderedPageBreak/>
        <w:t>认后，基金管理人应当暂停估值；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7" w:name="_Toc231995032"/>
      <w:r>
        <w:rPr>
          <w:rFonts w:ascii="Times New Roman" w:hAnsi="Times New Roman"/>
          <w:sz w:val="30"/>
        </w:rPr>
        <w:lastRenderedPageBreak/>
        <w:t>十四、基金收益与分配</w:t>
      </w:r>
      <w:bookmarkEnd w:id="17"/>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6次，每份基金份额每次分配比例不得低于收益分配基准日每份基金份额可供分配利润的10%，若《基金合同》生效不满3个月可不进行收益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8" w:name="_Toc231995033"/>
      <w:r>
        <w:rPr>
          <w:rFonts w:ascii="Times New Roman" w:hAnsi="Times New Roman"/>
          <w:sz w:val="30"/>
        </w:rPr>
        <w:lastRenderedPageBreak/>
        <w:t>十五、基金的费用与税收</w:t>
      </w:r>
      <w:bookmarkEnd w:id="18"/>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款指令，经基金托管人复核后于次月首日起5个工作日内从基金财产中一次性支付给基金管理人，由基金管理人代付给销售机构。若遇法定节假日、休息日或不可抗力致使无法按时支付的，顺延至最近可支付日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销售服务费率等相关费率。降低基金管理费率、基金托管费率、销售服务费率，无须召开基金份额持有人大会。基金管理人必须依照有关规定于新的费率实施日前在指定媒介上刊登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（六）基金税收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19" w:name="_Toc231995034"/>
      <w:r>
        <w:rPr>
          <w:rFonts w:ascii="Times New Roman" w:hAnsi="Times New Roman"/>
          <w:sz w:val="30"/>
        </w:rPr>
        <w:lastRenderedPageBreak/>
        <w:t>十六、基金的会计与审计</w:t>
      </w:r>
      <w:bookmarkEnd w:id="19"/>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1、基金管理人聘请与基金管理人、基金托管人相互独立的具有证券从业资格证券、期货相关从业资格的会计师事务所及其注册会计师对本基金的年度财务报表进行审计。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20" w:name="_Toc231995035"/>
      <w:r>
        <w:rPr>
          <w:rFonts w:ascii="Times New Roman" w:hAnsi="Times New Roman"/>
          <w:sz w:val="30"/>
        </w:rPr>
        <w:lastRenderedPageBreak/>
        <w:t>十七、基金的信息披露</w:t>
      </w:r>
      <w:bookmarkEnd w:id="20"/>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报刊和网站上；基金管理人、基金托管人应当将《基金合同》、基金托管协议登载在网站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次日，通过指定网站、基金销售机构网站或者营业网点分别披露开放日A类基金份额和C类基金份额所对应的基金份额净值和基金份额累计净值。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13、实施侧袋机制期间的信息披露</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C4C22" w:rsidRDefault="000273F3">
      <w:pPr>
        <w:pStyle w:val="1"/>
        <w:snapToGrid w:val="0"/>
        <w:spacing w:beforeLines="0" w:before="240" w:after="240"/>
        <w:rPr>
          <w:rFonts w:ascii="宋体" w:hAnsi="宋体"/>
          <w:szCs w:val="30"/>
        </w:rPr>
      </w:pPr>
      <w:bookmarkStart w:id="21" w:name="_Toc231995036"/>
      <w:r>
        <w:rPr>
          <w:rFonts w:ascii="Times New Roman" w:hAnsi="Times New Roman"/>
          <w:sz w:val="30"/>
        </w:rPr>
        <w:lastRenderedPageBreak/>
        <w:t>十八、侧袋机制</w:t>
      </w:r>
      <w:bookmarkEnd w:id="21"/>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C4C22" w:rsidRDefault="000273F3">
      <w:pPr>
        <w:pStyle w:val="1"/>
        <w:snapToGrid w:val="0"/>
        <w:spacing w:beforeLines="0" w:before="240" w:after="240"/>
        <w:rPr>
          <w:rFonts w:ascii="宋体" w:hAnsi="宋体"/>
          <w:szCs w:val="30"/>
        </w:rPr>
      </w:pPr>
      <w:bookmarkStart w:id="22" w:name="_Toc231995037"/>
      <w:r>
        <w:rPr>
          <w:rFonts w:ascii="Times New Roman" w:hAnsi="Times New Roman"/>
          <w:sz w:val="30"/>
        </w:rPr>
        <w:lastRenderedPageBreak/>
        <w:t>十九、风险揭示</w:t>
      </w:r>
      <w:bookmarkEnd w:id="22"/>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体上进行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基金管理人将根据主袋账户运作情况合理确定申购政策，因此实施侧袋机制后主袋账户份额存在暂停申购的可能。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2、投资主题风险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本基金投资于核心资产主题相关证券的比例不低于非现金基金资产的 80%，因此本基金的股票投资业绩与本基金界定的具有核心资产的公司发行证券的相关性较大，需承担相应风险。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（4）保证金风险是指由于无法及时筹措资金满足建立或者维持股指期货合约头寸所要求的保证金而带来的风险。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（七）投资科创板股票的特定风险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（4）系统性风险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（九）本基金法律文件风险收益特征表述与销售机构基金风险评价可能不一致的风险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（十）其他风险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2、因基金业务快速发展，在制度建设、人员配备、内控制度建立等方面的不完善产生的风险；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23" w:name="_Toc231995038"/>
      <w:r>
        <w:rPr>
          <w:rFonts w:ascii="Times New Roman" w:hAnsi="Times New Roman"/>
          <w:sz w:val="30"/>
        </w:rPr>
        <w:lastRenderedPageBreak/>
        <w:t>二十、基金合同的变更、终止与基金财产的清算</w:t>
      </w:r>
      <w:bookmarkEnd w:id="23"/>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24" w:name="_Toc231995039"/>
      <w:r>
        <w:rPr>
          <w:rFonts w:ascii="Times New Roman" w:hAnsi="Times New Roman"/>
          <w:sz w:val="30"/>
        </w:rPr>
        <w:lastRenderedPageBreak/>
        <w:t>二十一、基金合同内容摘要</w:t>
      </w:r>
      <w:bookmarkEnd w:id="24"/>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（4）根据相关市场规则，为基金开设资金账户、证券账户等投资所需账户、协助开立股指期货业务相关账户及交易编码、为基金办理证券交易资金清算；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w:t>
      </w:r>
      <w:r>
        <w:rPr>
          <w:rFonts w:ascii="宋体" w:hAnsi="宋体"/>
          <w:sz w:val="24"/>
        </w:rPr>
        <w:lastRenderedPageBreak/>
        <w:t>份额申购、赎回价格；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同一类别的每份基金份额具有同等的合法权益。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w:t>
      </w:r>
      <w:r>
        <w:rPr>
          <w:rFonts w:ascii="宋体" w:hAnsi="宋体"/>
          <w:sz w:val="24"/>
        </w:rPr>
        <w:lastRenderedPageBreak/>
        <w:t>充，并保证其真实性；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1）终止《基金合同》，法律法规和中国证监会另有规定的除外；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4）转换基金运作方式，法律法规和中国证监会另有规定的除外；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5）提高基金管理人、基金托管人的报酬标准或提高销售服务费率，但法律法规要求提高该等报酬标准的除外；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7）本基金与其他基金的合并，法律法规和中国证监会另有规定的除外；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8）变更基金投资目标、范围或策略，法律法规和中国证监会另有规定的除外；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9）变更基金份额持有人大会程序，法律法规和中国证监会另有规定的除外；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1）调低基金管理费、基金托管费和其他应由本基金或基金份额持有人承担的</w:t>
      </w:r>
      <w:r>
        <w:rPr>
          <w:rFonts w:ascii="宋体" w:hAnsi="宋体"/>
          <w:sz w:val="24"/>
        </w:rPr>
        <w:lastRenderedPageBreak/>
        <w:t>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3）在法律法规和《基金合同》规定的范围内，且在对现有基金份额持有人利益无实质性不利影响的前提下调整本基金的申购费率、调低赎回费率及销售服务费率、变更或增加收费方式；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4）在符合法律法规及本基金合同规定、并且对基金份额持有人利益无实质不利影响的前提下，调整本基金份额类别的设置、对基金份额分类办法及规则进行调整；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5）因相应的法律法规发生变动而应当对《基金合同》进行修改；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7）在法律法规允许的情况下，且在对现有基金份额持有人利益无实质性不利影响的前提下，基金推出新业务或服务；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60日内召开；基金管理人决定不召集，代表基金份额10%以上（含10%）的基金</w:t>
      </w:r>
      <w:r>
        <w:rPr>
          <w:rFonts w:ascii="宋体" w:hAnsi="宋体"/>
          <w:sz w:val="24"/>
        </w:rPr>
        <w:lastRenderedPageBreak/>
        <w:t>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w:t>
      </w:r>
      <w:r>
        <w:rPr>
          <w:rFonts w:ascii="宋体" w:hAnsi="宋体"/>
          <w:sz w:val="24"/>
        </w:rPr>
        <w:lastRenderedPageBreak/>
        <w:t>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7）对基金剩余财产进行分配。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25" w:name="_Toc231995040"/>
      <w:r>
        <w:rPr>
          <w:rFonts w:ascii="Times New Roman" w:hAnsi="Times New Roman"/>
          <w:sz w:val="30"/>
        </w:rPr>
        <w:lastRenderedPageBreak/>
        <w:t>二十二、托管协议的内容摘要</w:t>
      </w:r>
      <w:bookmarkEnd w:id="25"/>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本基金保留的现金或者投资于到期日在一年以内的政府债券的比例合计不低于基金资产净值的5%，其中现金不包括结算备付金、存出保证金和应收申购款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w:t>
      </w:r>
      <w:r>
        <w:rPr>
          <w:rFonts w:ascii="宋体" w:hAnsi="宋体"/>
          <w:sz w:val="24"/>
        </w:rPr>
        <w:lastRenderedPageBreak/>
        <w:t>资、融券比例进行监督。基金托管人按下述比例和调整期限进行监督：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（1）本基金持有一家公司发行的证券，其市值不超过基金资产净值的10%；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（2）本基金与本基金管理人管理的、且由本基金托管人托管的其他基金持有一家公司发行的证券，其市值不超过该证券的10%；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（3）本基金进入全国银行间同业市场进行债券回购的资金余额不超过基金资产净值的40%。债券回购最长期限为１年，债券回购到期后不得展期。本基金的基金资产总值不得超过基金资产净值的140%；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（4）本基金持有其他证券投资基金（不含货币市场基金），其市值不得超过基金资产净值的10%；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（5）本基金的存款银行为具有证券投资基金托管人资格、证券投资基金销售业务资格或合格境外机构投资者托管人资格的商业银行；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（6）本基金投资于定期存款的比例不得超过基金资产净值的30%，根据协议可提前支取且没有利息损失的银行存款，不受此限制；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（7）本基金参与股票发行申购，本基金所申报的金额不超过本基金的总资产，本基金所申报的股票数量不超过拟发行股票公司本次发行股票的总量；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在任何交易日买入权证的总金额，不得超过上一交易日基金资产净值的0.5%；本基金持有的全部权证，其市值不得超过基金资产净值的3%；本基金与本基金管理人管理的、且由本基金托管人托管的其他基金持有的同一权证，不得超过该权证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本基金投资于同一原始权益人的各类资产支持证券的比例，不得超过基金资产净值的10%；本基金管理人管理的、且由本基金托管人托管的全部证券投资基金投资于同一原始权益人的各类资产支持证券，不得超过其各类资产支持证券合计规模的10%；本基金持有的全部资产支持证券，其市值不得超过基金资产净值的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（11）本基金持有的同一中期票据，其市值不得超过基金资产净值的10%；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（12）本基金持有的同一流通受限证券，其公允价值不得超过本基金资产净值</w:t>
      </w:r>
      <w:r>
        <w:rPr>
          <w:rFonts w:ascii="宋体" w:hAnsi="宋体"/>
          <w:sz w:val="24"/>
        </w:rPr>
        <w:lastRenderedPageBreak/>
        <w:t>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本基金保持不低于基金资产净值5%的现金或者到期日在一年以内的政府债券，其中现金不包括结算备付金、存出保证金和应收申购款等；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（14）本基金若投资股指期货，则：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（15）本基金不得违反基金合同中有关投资范围、投资策略、投资比例的规定；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（18）本基金与私募类证券资管产品及中国证监会认定的其他主体为交易对手开展逆回购交易的，可接受质押品的资质要求应当与基金合同约定的投资范围保持一致；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（19）本基金投资存托凭证的比例限制依照境内上市交易的股票执行；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（20）法律法规或监管部门对上述比例限制另有规定的，从其规定；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9）、（17）、（18）项、第（13）项第二款以及第（14）项第6）目外，因证券、期货市场波动、证券发行人合并、基金规模变动、股权分置改革中支付对价等基金管理人之外的因素致使基金投资比例不符合上述规定的投资比例的，基金管理人应当在10个交易日内进行调整，但中国证监会规定的特殊情形除外。法律法规另有规定的，从其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w:t>
      </w:r>
      <w:r>
        <w:rPr>
          <w:rFonts w:ascii="宋体" w:hAnsi="宋体"/>
          <w:sz w:val="24"/>
        </w:rPr>
        <w:lastRenderedPageBreak/>
        <w:t>仍违规进行关联交易，并造成基金资产损失的，由基金管理人承担责任，基金托管人并有权向中国证监会报告。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运用基金财产买卖基金管理人、基金托管人及其控股股东、实际控制人或者与其有其他重大利害关系的公司发行的证券或承销期内承销的证券，或者从事其他重大关联交易的，基金管理人应当遵循基金份额持有人利益优先的原则，防范利益冲突，符合中国证监会的规定，并履行信息披露义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基金投资银行定期存款的，基金管理人应根据法律法规的规定及基金合同的约定选择存款银行。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w:t>
      </w:r>
      <w:r>
        <w:rPr>
          <w:rFonts w:ascii="宋体" w:hAnsi="宋体"/>
          <w:sz w:val="24"/>
        </w:rPr>
        <w:lastRenderedPageBreak/>
        <w:t>等的各项规定。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w:t>
      </w:r>
      <w:r>
        <w:rPr>
          <w:rFonts w:ascii="宋体" w:hAnsi="宋体"/>
          <w:sz w:val="24"/>
        </w:rPr>
        <w:lastRenderedPageBreak/>
        <w:t>管人提供有关非公开定向增发流通受限证券的相关信息，具体应当包括但不限于如下文件（如有）：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基金首次投资中期票据前，与基金托管人签署相应的风险控制补充协议，并按照法律法规的规定和补充协议的约定向基金托管人提供经基金管理人董事会批准的有关基金投资中期票据的投资管理制度。</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w:t>
      </w:r>
      <w:r>
        <w:rPr>
          <w:rFonts w:ascii="宋体" w:hAnsi="宋体"/>
          <w:sz w:val="24"/>
        </w:rPr>
        <w:lastRenderedPageBreak/>
        <w:t>监会。基金托管人发现基金管理人依据交易程序已经生效的投资指令违反法律、行政法规和其他有关规定，或者违反基金合同约定的，应当立即通知基金管理人，并报告中国证监会。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各类基金份额净值、根据基金管理人指令办理清算交收、相关信息披露和监督基金投资运作等行为。</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w:t>
      </w:r>
      <w:r>
        <w:rPr>
          <w:rFonts w:ascii="宋体" w:hAnsi="宋体"/>
          <w:sz w:val="24"/>
        </w:rPr>
        <w:lastRenderedPageBreak/>
        <w:t>由，拒绝、阻挠对方根据本协议规定行使监督权，或采取拖延、欺诈等手段妨碍对方进行有效监督，情节严重或经基金管理人提出警告仍不改正的，基金管理人应报告中国证监会。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w:t>
      </w:r>
      <w:r>
        <w:rPr>
          <w:rFonts w:ascii="宋体" w:hAnsi="宋体"/>
          <w:sz w:val="24"/>
        </w:rPr>
        <w:lastRenderedPageBreak/>
        <w:t>办理退款等事宜，基金托管人应提供充分协助。</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w:t>
      </w:r>
      <w:r>
        <w:rPr>
          <w:rFonts w:ascii="宋体" w:hAnsi="宋体"/>
          <w:sz w:val="24"/>
        </w:rPr>
        <w:lastRenderedPageBreak/>
        <w:t>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计算日该类基金份额的基金资产净值除以计算日该类基金份额总数后得到的数值。各类基金份额的基金份额净值的计算，均精确到0.0001元，小数点后第五位四舍五入，由此产生的误差计入基金财产。国家另有规定的，从其规定。</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基金管理人于每工作日计算各类基金份额的基金资产净值及基金份额净值，并按规定公告，但根据法律法规或基金合同的规定暂停估值时除外。</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w:t>
      </w:r>
      <w:r>
        <w:rPr>
          <w:rFonts w:ascii="宋体" w:hAnsi="宋体"/>
          <w:sz w:val="24"/>
        </w:rPr>
        <w:lastRenderedPageBreak/>
        <w:t>金托管人，经基金托管人复核无误后，由基金管理人依据基金合同和相关法律法规的规定对外公布。月末、年中和年末估值复核与基金会计账目的核对同时进行。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律师费由败诉方承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本协议双方当事人经协商一致，可以对协议进行修改。修改后的新协议，其内容不得与基金合同的规定有任何冲突。基金托管协议的变更应报中国证监会备案后生效。</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26" w:name="_Toc231995041"/>
      <w:r>
        <w:rPr>
          <w:rFonts w:ascii="Times New Roman" w:hAnsi="Times New Roman"/>
          <w:sz w:val="30"/>
        </w:rPr>
        <w:lastRenderedPageBreak/>
        <w:t>二十三、对基金份额持有人的服务</w:t>
      </w:r>
      <w:bookmarkEnd w:id="26"/>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A类基金份额和C类基金份额的申购、赎回、定期定额投资和转换等业务。通过网上直销交易平台办理本基金A类基金份额申购和定期定额投资业务的个人投资者将享受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本基金已开通基金转换业务，具体实施方法请参见相关公告。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27" w:name="_Toc231995042"/>
      <w:r>
        <w:rPr>
          <w:rFonts w:ascii="Times New Roman" w:hAnsi="Times New Roman"/>
          <w:sz w:val="30"/>
        </w:rPr>
        <w:lastRenderedPageBreak/>
        <w:t>二十四、其他应披露事项</w:t>
      </w:r>
      <w:bookmarkEnd w:id="27"/>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C4C2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交银施罗德国企改革灵活配置混合型证券投资基金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4C22" w:rsidRDefault="000273F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28" w:name="_Toc231995043"/>
      <w:r>
        <w:rPr>
          <w:rFonts w:ascii="Times New Roman" w:hAnsi="Times New Roman"/>
          <w:sz w:val="30"/>
        </w:rPr>
        <w:lastRenderedPageBreak/>
        <w:t>二十五、招募说明书的存放及查阅方式</w:t>
      </w:r>
      <w:bookmarkEnd w:id="28"/>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0273F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4C22" w:rsidRDefault="000273F3">
      <w:pPr>
        <w:pStyle w:val="1"/>
        <w:snapToGrid w:val="0"/>
        <w:spacing w:beforeLines="0" w:before="240" w:after="240"/>
        <w:rPr>
          <w:rFonts w:ascii="宋体" w:hAnsi="宋体"/>
          <w:szCs w:val="30"/>
        </w:rPr>
      </w:pPr>
      <w:bookmarkStart w:id="29" w:name="_Toc231995044"/>
      <w:r>
        <w:rPr>
          <w:rFonts w:ascii="Times New Roman" w:hAnsi="Times New Roman"/>
          <w:sz w:val="30"/>
        </w:rPr>
        <w:lastRenderedPageBreak/>
        <w:t>二十六、备查文件</w:t>
      </w:r>
      <w:bookmarkEnd w:id="29"/>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（一）中国证监会准予交银施罗德国企改革灵活配置混合型证券投资基金募集注册的文件</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（二）《交银施罗德国企改革灵活配置混合型证券投资基金基金合同》</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（三）《交银施罗德国企改革灵活配置混合型证券投资基金托管协议》</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6C4C22" w:rsidRDefault="000273F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（六）关于申请募集注册交银施罗德国企改革灵活配置混合型证券投资基金的法律意见书</w:t>
      </w:r>
    </w:p>
    <w:sectPr w:rsidR="006C4C22">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73EF" w:rsidRDefault="000273F3">
      <w:r>
        <w:separator/>
      </w:r>
    </w:p>
  </w:endnote>
  <w:endnote w:type="continuationSeparator" w:id="0">
    <w:p w:rsidR="00E373EF" w:rsidRDefault="00027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C22" w:rsidRDefault="006C4C2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C22" w:rsidRDefault="0019601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6C4C22" w:rsidRDefault="000273F3">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9601B">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C22" w:rsidRDefault="006C4C2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C22" w:rsidRDefault="0019601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6C4C22" w:rsidRDefault="000273F3">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9601B">
                  <w:rPr>
                    <w:rFonts w:ascii="Times New Roman" w:hAnsi="Times New Roman"/>
                    <w:noProof/>
                    <w:kern w:val="0"/>
                    <w:sz w:val="18"/>
                    <w:szCs w:val="18"/>
                  </w:rPr>
                  <w:t>159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73EF" w:rsidRDefault="000273F3">
      <w:r>
        <w:separator/>
      </w:r>
    </w:p>
  </w:footnote>
  <w:footnote w:type="continuationSeparator" w:id="0">
    <w:p w:rsidR="00E373EF" w:rsidRDefault="00027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C22" w:rsidRDefault="006C4C2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C22" w:rsidRDefault="000273F3">
    <w:pPr>
      <w:pStyle w:val="a3"/>
      <w:jc w:val="right"/>
      <w:rPr>
        <w:rFonts w:ascii="宋体" w:hAnsi="宋体"/>
      </w:rPr>
    </w:pPr>
    <w:r>
      <w:rPr>
        <w:rFonts w:ascii="宋体" w:hAnsi="宋体" w:hint="eastAsia"/>
      </w:rPr>
      <w:t>交银施罗德国企改革灵活配置混合型证券投资基金招募说明书更新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C22" w:rsidRDefault="006C4C22">
    <w:pPr>
      <w:pStyle w:val="10"/>
      <w:jc w:val="right"/>
    </w:pPr>
  </w:p>
  <w:p w:rsidR="006C4C22" w:rsidRDefault="006C4C22">
    <w:pPr>
      <w:pStyle w:val="10"/>
      <w:jc w:val="right"/>
    </w:pPr>
  </w:p>
  <w:p w:rsidR="006C4C22" w:rsidRDefault="006C4C22">
    <w:pPr>
      <w:pStyle w:val="a3"/>
      <w:jc w:val="right"/>
    </w:pPr>
  </w:p>
  <w:p w:rsidR="006C4C22" w:rsidRDefault="000273F3">
    <w:pPr>
      <w:pStyle w:val="a3"/>
      <w:jc w:val="right"/>
      <w:rPr>
        <w:rFonts w:ascii="宋体" w:hAnsi="宋体"/>
      </w:rPr>
    </w:pPr>
    <w:r>
      <w:rPr>
        <w:rFonts w:ascii="宋体" w:hAnsi="宋体" w:hint="eastAsia"/>
      </w:rPr>
      <w:t>交银施罗德国企改革灵活配置混合型证券投资基金招募说明书更新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C22" w:rsidRDefault="006C4C22">
    <w:pPr>
      <w:pStyle w:val="a3"/>
      <w:jc w:val="right"/>
    </w:pPr>
  </w:p>
  <w:p w:rsidR="006C4C22" w:rsidRDefault="006C4C22">
    <w:pPr>
      <w:pStyle w:val="a3"/>
      <w:jc w:val="right"/>
    </w:pPr>
  </w:p>
  <w:p w:rsidR="006C4C22" w:rsidRDefault="006C4C22">
    <w:pPr>
      <w:pStyle w:val="a3"/>
      <w:jc w:val="right"/>
    </w:pPr>
  </w:p>
  <w:p w:rsidR="006C4C22" w:rsidRDefault="000273F3">
    <w:pPr>
      <w:pStyle w:val="a3"/>
      <w:jc w:val="right"/>
      <w:rPr>
        <w:rFonts w:ascii="宋体" w:hAnsi="宋体"/>
      </w:rPr>
    </w:pPr>
    <w:r>
      <w:rPr>
        <w:rFonts w:ascii="宋体" w:hAnsi="宋体" w:hint="eastAsia"/>
      </w:rPr>
      <w:t>交银施罗德国企改革灵活配置混合型证券投资基金招募说明书更新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3F3"/>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601B"/>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4C22"/>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3EF"/>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CE39AEEA-F8DF-47CA-AB51-79D2242BD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160</Pages>
  <Words>16477</Words>
  <Characters>93920</Characters>
  <Application>Microsoft Office Word</Application>
  <DocSecurity>0</DocSecurity>
  <Lines>782</Lines>
  <Paragraphs>220</Paragraphs>
  <ScaleCrop>false</ScaleCrop>
  <Company>Microsoft</Company>
  <LinksUpToDate>false</LinksUpToDate>
  <CharactersWithSpaces>110177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2026-06-10T06:43:00Z</dcterms:created>
  <dcterms:modified xsi:type="dcterms:W3CDTF">2026-06-10T06:43:00Z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