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7071F">
      <w:pPr>
        <w:rPr>
          <w:sz w:val="32"/>
        </w:rPr>
      </w:pPr>
    </w:p>
    <w:p w:rsidR="00C92FC0" w:rsidRPr="00EB07BC" w:rsidRDefault="0097071F">
      <w:pPr>
        <w:rPr>
          <w:sz w:val="32"/>
        </w:rPr>
      </w:pPr>
    </w:p>
    <w:p w:rsidR="00C92FC0" w:rsidRPr="00EB07BC" w:rsidRDefault="0097071F">
      <w:pPr>
        <w:rPr>
          <w:sz w:val="32"/>
        </w:rPr>
      </w:pPr>
    </w:p>
    <w:p w:rsidR="00934076" w:rsidRDefault="0093407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34076" w:rsidRDefault="0093407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34076" w:rsidRDefault="00934076">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934076" w:rsidRDefault="00C23400">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交银施罗德货币市场证券投资基金</w:t>
      </w:r>
    </w:p>
    <w:p w:rsidR="00934076" w:rsidRDefault="00C23400">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934076" w:rsidRDefault="00934076">
      <w:pPr>
        <w:snapToGrid w:val="0"/>
        <w:spacing w:line="360" w:lineRule="auto"/>
        <w:jc w:val="center"/>
        <w:rPr>
          <w:rFonts w:ascii="宋体" w:hAnsi="宋体"/>
          <w:b/>
          <w:sz w:val="30"/>
          <w:szCs w:val="30"/>
        </w:rPr>
      </w:pPr>
    </w:p>
    <w:p w:rsidR="00934076" w:rsidRDefault="0093407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34076" w:rsidRDefault="0093407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34076" w:rsidRDefault="0093407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34076" w:rsidRDefault="0093407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34076" w:rsidRDefault="0093407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34076" w:rsidRDefault="0093407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34076" w:rsidRDefault="00C2340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934076" w:rsidRDefault="00C23400">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基金托管人：中国农业银行股份有限公司</w:t>
      </w:r>
    </w:p>
    <w:p w:rsidR="00934076" w:rsidRDefault="0093407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34076" w:rsidRDefault="00934076">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934076" w:rsidRDefault="00C23400">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二〇二六年五月</w:t>
      </w:r>
    </w:p>
    <w:p w:rsidR="00934076" w:rsidRDefault="00934076">
      <w:pPr>
        <w:autoSpaceDE w:val="0"/>
        <w:autoSpaceDN w:val="0"/>
        <w:adjustRightInd w:val="0"/>
        <w:snapToGrid w:val="0"/>
        <w:spacing w:line="360" w:lineRule="auto"/>
        <w:ind w:left="1347" w:rightChars="6" w:right="13"/>
        <w:rPr>
          <w:rFonts w:ascii="宋体" w:hAnsi="宋体"/>
          <w:kern w:val="0"/>
          <w:sz w:val="32"/>
          <w:szCs w:val="32"/>
        </w:rPr>
        <w:sectPr w:rsidR="00934076">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934076" w:rsidRDefault="00C23400">
      <w:pPr>
        <w:pStyle w:val="1"/>
        <w:snapToGrid w:val="0"/>
        <w:spacing w:beforeLines="0" w:before="240" w:after="240"/>
        <w:rPr>
          <w:rFonts w:ascii="宋体" w:hAnsi="宋体"/>
          <w:kern w:val="0"/>
        </w:rPr>
      </w:pPr>
      <w:bookmarkStart w:id="0" w:name="_Toc324920538"/>
      <w:bookmarkStart w:id="1" w:name="_Toc496884613"/>
      <w:bookmarkStart w:id="2" w:name="_Toc231197047"/>
      <w:r>
        <w:rPr>
          <w:rFonts w:ascii="Times New Roman" w:hAnsi="Times New Roman"/>
          <w:kern w:val="0"/>
        </w:rPr>
        <w:lastRenderedPageBreak/>
        <w:t>重要提示</w:t>
      </w:r>
      <w:bookmarkEnd w:id="0"/>
      <w:bookmarkEnd w:id="1"/>
      <w:bookmarkEnd w:id="2"/>
    </w:p>
    <w:p w:rsidR="00934076" w:rsidRDefault="00C2340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交银施罗德货币市场证券投资基金（以下简称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2005</w:t>
      </w:r>
      <w:r>
        <w:rPr>
          <w:rFonts w:ascii="Times New Roman" w:hAnsi="Times New Roman"/>
          <w:kern w:val="0"/>
          <w:sz w:val="24"/>
        </w:rPr>
        <w:t>年</w:t>
      </w:r>
      <w:r>
        <w:rPr>
          <w:rFonts w:ascii="Times New Roman" w:hAnsi="Times New Roman"/>
          <w:kern w:val="0"/>
          <w:sz w:val="24"/>
        </w:rPr>
        <w:t>12</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日中国证券监督管理委员会证监基金字【</w:t>
      </w:r>
      <w:r>
        <w:rPr>
          <w:rFonts w:ascii="Times New Roman" w:hAnsi="Times New Roman"/>
          <w:kern w:val="0"/>
          <w:sz w:val="24"/>
        </w:rPr>
        <w:t>2005</w:t>
      </w:r>
      <w:r>
        <w:rPr>
          <w:rFonts w:ascii="Times New Roman" w:hAnsi="Times New Roman"/>
          <w:kern w:val="0"/>
          <w:sz w:val="24"/>
        </w:rPr>
        <w:t>】</w:t>
      </w:r>
      <w:r>
        <w:rPr>
          <w:rFonts w:ascii="Times New Roman" w:hAnsi="Times New Roman"/>
          <w:kern w:val="0"/>
          <w:sz w:val="24"/>
        </w:rPr>
        <w:t>204</w:t>
      </w:r>
      <w:r>
        <w:rPr>
          <w:rFonts w:ascii="Times New Roman" w:hAnsi="Times New Roman"/>
          <w:kern w:val="0"/>
          <w:sz w:val="24"/>
        </w:rPr>
        <w:t>号文核准募集。本基金基金合同于</w:t>
      </w:r>
      <w:r>
        <w:rPr>
          <w:rFonts w:ascii="Times New Roman" w:hAnsi="Times New Roman"/>
          <w:kern w:val="0"/>
          <w:sz w:val="24"/>
        </w:rPr>
        <w:t>2006</w:t>
      </w:r>
      <w:r>
        <w:rPr>
          <w:rFonts w:ascii="Times New Roman" w:hAnsi="Times New Roman"/>
          <w:kern w:val="0"/>
          <w:sz w:val="24"/>
        </w:rPr>
        <w:t>年</w:t>
      </w:r>
      <w:r>
        <w:rPr>
          <w:rFonts w:ascii="Times New Roman" w:hAnsi="Times New Roman"/>
          <w:kern w:val="0"/>
          <w:sz w:val="24"/>
        </w:rPr>
        <w:t>1</w:t>
      </w:r>
      <w:r>
        <w:rPr>
          <w:rFonts w:ascii="Times New Roman" w:hAnsi="Times New Roman"/>
          <w:kern w:val="0"/>
          <w:sz w:val="24"/>
        </w:rPr>
        <w:t>月</w:t>
      </w:r>
      <w:r>
        <w:rPr>
          <w:rFonts w:ascii="Times New Roman" w:hAnsi="Times New Roman"/>
          <w:kern w:val="0"/>
          <w:sz w:val="24"/>
        </w:rPr>
        <w:t>20</w:t>
      </w:r>
      <w:r>
        <w:rPr>
          <w:rFonts w:ascii="Times New Roman" w:hAnsi="Times New Roman"/>
          <w:kern w:val="0"/>
          <w:sz w:val="24"/>
        </w:rPr>
        <w:t>日正式生效。</w:t>
      </w:r>
    </w:p>
    <w:p w:rsidR="00934076" w:rsidRDefault="00C2340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核准，但中国证监会对本基金募集的核准，并不表明其对本基金的价值和收益作出实质性判断或保证，也不表明投资于本基金没有风险。</w:t>
      </w:r>
    </w:p>
    <w:p w:rsidR="00934076" w:rsidRDefault="00C2340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投资者购买本基金并不等于将资金作为存款存放在银行或存款类金融机构，本基金管理人不保证本基金一定盈利，也不保证最低收益。</w:t>
      </w:r>
    </w:p>
    <w:p w:rsidR="00934076" w:rsidRDefault="00C2340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投资有风险，投资者在认（申）购本基金前应认真阅读本招募说明书。基金的过往业绩并不代表其未来表现。基金管理人管理的其他基金的业绩并不构成对本基金业绩表现的保证。</w:t>
      </w:r>
    </w:p>
    <w:p w:rsidR="00934076" w:rsidRDefault="00C23400">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05</w:t>
      </w:r>
      <w:r>
        <w:rPr>
          <w:rFonts w:ascii="Times New Roman" w:hAnsi="Times New Roman"/>
          <w:kern w:val="0"/>
          <w:sz w:val="24"/>
        </w:rPr>
        <w:t>月</w:t>
      </w:r>
      <w:r>
        <w:rPr>
          <w:rFonts w:ascii="Times New Roman" w:hAnsi="Times New Roman"/>
          <w:kern w:val="0"/>
          <w:sz w:val="24"/>
        </w:rPr>
        <w:t>14</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934076" w:rsidRDefault="00934076">
      <w:pPr>
        <w:autoSpaceDE w:val="0"/>
        <w:autoSpaceDN w:val="0"/>
        <w:adjustRightInd w:val="0"/>
        <w:snapToGrid w:val="0"/>
        <w:spacing w:before="51" w:line="360" w:lineRule="auto"/>
        <w:ind w:left="120" w:rightChars="6" w:right="13" w:firstLine="480"/>
        <w:rPr>
          <w:rFonts w:ascii="宋体" w:hAnsi="宋体"/>
          <w:kern w:val="0"/>
          <w:szCs w:val="24"/>
        </w:rPr>
        <w:sectPr w:rsidR="00934076">
          <w:headerReference w:type="default" r:id="rId14"/>
          <w:pgSz w:w="11920" w:h="16840"/>
          <w:pgMar w:top="1440" w:right="1680" w:bottom="280" w:left="1680" w:header="0" w:footer="1073" w:gutter="0"/>
          <w:pgNumType w:start="1"/>
          <w:cols w:space="720"/>
        </w:sectPr>
      </w:pPr>
    </w:p>
    <w:p w:rsidR="0097071F" w:rsidRPr="0097071F" w:rsidRDefault="00C23400" w:rsidP="0097071F">
      <w:pPr>
        <w:pStyle w:val="ad"/>
        <w:snapToGrid w:val="0"/>
        <w:spacing w:after="240" w:line="360" w:lineRule="auto"/>
        <w:jc w:val="center"/>
        <w:rPr>
          <w:rFonts w:ascii="宋体" w:hAnsi="宋体"/>
          <w:noProof/>
          <w:sz w:val="24"/>
        </w:rPr>
      </w:pPr>
      <w:r w:rsidRPr="0097071F">
        <w:rPr>
          <w:rFonts w:ascii="宋体" w:hAnsi="宋体"/>
          <w:color w:val="000000"/>
          <w:position w:val="-4"/>
          <w:sz w:val="24"/>
          <w:szCs w:val="30"/>
        </w:rPr>
        <w:lastRenderedPageBreak/>
        <w:t>目</w:t>
      </w:r>
      <w:r w:rsidRPr="0097071F">
        <w:rPr>
          <w:rFonts w:ascii="宋体" w:hAnsi="宋体"/>
          <w:color w:val="000000"/>
          <w:position w:val="-4"/>
          <w:sz w:val="24"/>
          <w:szCs w:val="30"/>
        </w:rPr>
        <w:tab/>
        <w:t>录</w:t>
      </w:r>
      <w:r w:rsidR="0097071F" w:rsidRPr="0097071F">
        <w:rPr>
          <w:rFonts w:ascii="宋体" w:hAnsi="宋体"/>
          <w:color w:val="000000"/>
          <w:position w:val="-4"/>
          <w:sz w:val="24"/>
          <w:szCs w:val="30"/>
        </w:rPr>
        <w:fldChar w:fldCharType="begin"/>
      </w:r>
      <w:r w:rsidR="0097071F" w:rsidRPr="0097071F">
        <w:rPr>
          <w:rFonts w:ascii="宋体" w:hAnsi="宋体"/>
          <w:color w:val="000000"/>
          <w:position w:val="-4"/>
          <w:sz w:val="24"/>
          <w:szCs w:val="30"/>
        </w:rPr>
        <w:instrText xml:space="preserve"> TOC \o "1-3" \f - \h \t "-1" </w:instrText>
      </w:r>
      <w:r w:rsidR="0097071F" w:rsidRPr="0097071F">
        <w:rPr>
          <w:rFonts w:ascii="宋体" w:hAnsi="宋体"/>
          <w:color w:val="000000"/>
          <w:position w:val="-4"/>
          <w:sz w:val="24"/>
          <w:szCs w:val="30"/>
        </w:rPr>
        <w:fldChar w:fldCharType="separate"/>
      </w:r>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47" w:history="1">
        <w:r w:rsidRPr="0097071F">
          <w:rPr>
            <w:rStyle w:val="aa"/>
            <w:rFonts w:ascii="宋体" w:hAnsi="宋体" w:hint="eastAsia"/>
            <w:noProof/>
            <w:kern w:val="0"/>
            <w:sz w:val="24"/>
          </w:rPr>
          <w:t>重要提示</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_Toc231197047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48" w:history="1">
        <w:r w:rsidRPr="0097071F">
          <w:rPr>
            <w:rStyle w:val="aa"/>
            <w:rFonts w:ascii="宋体" w:hAnsi="宋体" w:hint="eastAsia"/>
            <w:noProof/>
            <w:sz w:val="24"/>
          </w:rPr>
          <w:t>一、绪言</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_Toc231197048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3</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49" w:history="1">
        <w:r w:rsidRPr="0097071F">
          <w:rPr>
            <w:rStyle w:val="aa"/>
            <w:rFonts w:ascii="宋体" w:hAnsi="宋体" w:hint="eastAsia"/>
            <w:noProof/>
            <w:sz w:val="24"/>
          </w:rPr>
          <w:t>二、释义</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_Toc231197049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4</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0" w:history="1">
        <w:r w:rsidRPr="0097071F">
          <w:rPr>
            <w:rStyle w:val="aa"/>
            <w:rFonts w:ascii="宋体" w:hAnsi="宋体" w:hint="eastAsia"/>
            <w:noProof/>
            <w:sz w:val="24"/>
          </w:rPr>
          <w:t>三、基金管理人</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_Toc231197050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9</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1" w:history="1">
        <w:r w:rsidRPr="0097071F">
          <w:rPr>
            <w:rStyle w:val="aa"/>
            <w:rFonts w:ascii="宋体" w:hAnsi="宋体" w:hint="eastAsia"/>
            <w:noProof/>
            <w:sz w:val="24"/>
          </w:rPr>
          <w:t>四、基金托管人</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_Toc231197051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17</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2" w:history="1">
        <w:r w:rsidRPr="0097071F">
          <w:rPr>
            <w:rStyle w:val="aa"/>
            <w:rFonts w:ascii="宋体" w:hAnsi="宋体" w:hint="eastAsia"/>
            <w:noProof/>
            <w:sz w:val="24"/>
          </w:rPr>
          <w:t>五、相关服务机构</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_Toc231197052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20</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3" w:history="1">
        <w:r w:rsidRPr="0097071F">
          <w:rPr>
            <w:rStyle w:val="aa"/>
            <w:rFonts w:ascii="宋体" w:hAnsi="宋体" w:hint="eastAsia"/>
            <w:noProof/>
            <w:sz w:val="24"/>
          </w:rPr>
          <w:t>六、基金的募集</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_Toc231197053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57</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4" w:history="1">
        <w:r w:rsidRPr="0097071F">
          <w:rPr>
            <w:rStyle w:val="aa"/>
            <w:rFonts w:ascii="宋体" w:hAnsi="宋体" w:hint="eastAsia"/>
            <w:noProof/>
            <w:sz w:val="24"/>
          </w:rPr>
          <w:t>七、基金合同的生效</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_Toc231197054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58</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5" w:history="1">
        <w:r w:rsidRPr="0097071F">
          <w:rPr>
            <w:rStyle w:val="aa"/>
            <w:rFonts w:ascii="宋体" w:hAnsi="宋体" w:hint="eastAsia"/>
            <w:noProof/>
            <w:sz w:val="24"/>
          </w:rPr>
          <w:t>八、基金份额的分类及升降级设置</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_Toc231197055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59</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6" w:history="1">
        <w:r w:rsidRPr="0097071F">
          <w:rPr>
            <w:rStyle w:val="aa"/>
            <w:rFonts w:ascii="宋体" w:hAnsi="宋体" w:hint="eastAsia"/>
            <w:noProof/>
            <w:sz w:val="24"/>
          </w:rPr>
          <w:t>九、基金份额的申购、赎回及其他业务</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_Toc231197056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60</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7" w:history="1">
        <w:r w:rsidRPr="0097071F">
          <w:rPr>
            <w:rStyle w:val="aa"/>
            <w:rFonts w:ascii="宋体" w:hAnsi="宋体" w:hint="eastAsia"/>
            <w:noProof/>
            <w:sz w:val="24"/>
          </w:rPr>
          <w:t>十、基金的转换</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_Toc231197057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69</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8" w:history="1">
        <w:r w:rsidRPr="0097071F">
          <w:rPr>
            <w:rStyle w:val="aa"/>
            <w:rFonts w:ascii="宋体" w:hAnsi="宋体" w:hint="eastAsia"/>
            <w:noProof/>
            <w:sz w:val="24"/>
          </w:rPr>
          <w:t>十一、基金的投资</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_Toc231197058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78</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59" w:history="1">
        <w:r w:rsidRPr="0097071F">
          <w:rPr>
            <w:rStyle w:val="aa"/>
            <w:rFonts w:ascii="宋体" w:hAnsi="宋体" w:hint="eastAsia"/>
            <w:noProof/>
            <w:sz w:val="24"/>
          </w:rPr>
          <w:t>十二、基金的业绩</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_Toc231197059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92</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0" w:history="1">
        <w:r w:rsidRPr="0097071F">
          <w:rPr>
            <w:rStyle w:val="aa"/>
            <w:rFonts w:ascii="宋体" w:hAnsi="宋体" w:hint="eastAsia"/>
            <w:noProof/>
            <w:sz w:val="24"/>
          </w:rPr>
          <w:t>十三、基金的财产</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_Toc231197060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98</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1" w:history="1">
        <w:r w:rsidRPr="0097071F">
          <w:rPr>
            <w:rStyle w:val="aa"/>
            <w:rFonts w:ascii="宋体" w:hAnsi="宋体" w:hint="eastAsia"/>
            <w:noProof/>
            <w:sz w:val="24"/>
          </w:rPr>
          <w:t>十四、基金资产的估值</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_Toc231197061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99</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2" w:history="1">
        <w:r w:rsidRPr="0097071F">
          <w:rPr>
            <w:rStyle w:val="aa"/>
            <w:rFonts w:ascii="宋体" w:hAnsi="宋体" w:hint="eastAsia"/>
            <w:noProof/>
            <w:sz w:val="24"/>
          </w:rPr>
          <w:t>十五、基金收益与分配</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_Toc231197062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104</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3" w:history="1">
        <w:r w:rsidRPr="0097071F">
          <w:rPr>
            <w:rStyle w:val="aa"/>
            <w:rFonts w:ascii="宋体" w:hAnsi="宋体" w:hint="eastAsia"/>
            <w:noProof/>
            <w:sz w:val="24"/>
          </w:rPr>
          <w:t>十六、基金的费用与税收</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_Toc231197063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107</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4" w:history="1">
        <w:r w:rsidRPr="0097071F">
          <w:rPr>
            <w:rStyle w:val="aa"/>
            <w:rFonts w:ascii="宋体" w:hAnsi="宋体" w:hint="eastAsia"/>
            <w:noProof/>
            <w:sz w:val="24"/>
          </w:rPr>
          <w:t>十七、基金的会计与审计</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_Toc231197064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110</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5" w:history="1">
        <w:r w:rsidRPr="0097071F">
          <w:rPr>
            <w:rStyle w:val="aa"/>
            <w:rFonts w:ascii="宋体" w:hAnsi="宋体" w:hint="eastAsia"/>
            <w:noProof/>
            <w:sz w:val="24"/>
          </w:rPr>
          <w:t>十八、基金的信息披露</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_Toc231197065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111</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6" w:history="1">
        <w:r w:rsidRPr="0097071F">
          <w:rPr>
            <w:rStyle w:val="aa"/>
            <w:rFonts w:ascii="宋体" w:hAnsi="宋体" w:hint="eastAsia"/>
            <w:noProof/>
            <w:sz w:val="24"/>
          </w:rPr>
          <w:t>十九、风险揭示</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_Toc231197066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117</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7" w:history="1">
        <w:r w:rsidRPr="0097071F">
          <w:rPr>
            <w:rStyle w:val="aa"/>
            <w:rFonts w:ascii="宋体" w:hAnsi="宋体" w:hint="eastAsia"/>
            <w:noProof/>
            <w:sz w:val="24"/>
          </w:rPr>
          <w:t>二十、基金合同的终止与基金财产的清算</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_Toc231197067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121</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8" w:history="1">
        <w:r w:rsidRPr="0097071F">
          <w:rPr>
            <w:rStyle w:val="aa"/>
            <w:rFonts w:ascii="宋体" w:hAnsi="宋体" w:hint="eastAsia"/>
            <w:noProof/>
            <w:sz w:val="24"/>
          </w:rPr>
          <w:t>二十一、基金合同内容摘要</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_Toc231197068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123</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69" w:history="1">
        <w:r w:rsidRPr="0097071F">
          <w:rPr>
            <w:rStyle w:val="aa"/>
            <w:rFonts w:ascii="宋体" w:hAnsi="宋体" w:hint="eastAsia"/>
            <w:noProof/>
            <w:sz w:val="24"/>
          </w:rPr>
          <w:t>二十二、托管协议的内容摘要</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_Toc231197069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136</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70" w:history="1">
        <w:r w:rsidRPr="0097071F">
          <w:rPr>
            <w:rStyle w:val="aa"/>
            <w:rFonts w:ascii="宋体" w:hAnsi="宋体" w:hint="eastAsia"/>
            <w:noProof/>
            <w:sz w:val="24"/>
          </w:rPr>
          <w:t>二十三、对基金份额持有人的服务</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_Toc231197070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146</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71" w:history="1">
        <w:r w:rsidRPr="0097071F">
          <w:rPr>
            <w:rStyle w:val="aa"/>
            <w:rFonts w:ascii="宋体" w:hAnsi="宋体" w:hint="eastAsia"/>
            <w:noProof/>
            <w:sz w:val="24"/>
          </w:rPr>
          <w:t>二十四、其他应披露事项</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_Toc231197071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148</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72" w:history="1">
        <w:r w:rsidRPr="0097071F">
          <w:rPr>
            <w:rStyle w:val="aa"/>
            <w:rFonts w:ascii="宋体" w:hAnsi="宋体" w:hint="eastAsia"/>
            <w:noProof/>
            <w:sz w:val="24"/>
          </w:rPr>
          <w:t>二十五、招募说明书的存放及查阅方式</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_Toc231197072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150</w:t>
        </w:r>
        <w:r w:rsidRPr="0097071F">
          <w:rPr>
            <w:rFonts w:ascii="宋体" w:hAnsi="宋体"/>
            <w:noProof/>
            <w:sz w:val="24"/>
          </w:rPr>
          <w:fldChar w:fldCharType="end"/>
        </w:r>
      </w:hyperlink>
    </w:p>
    <w:p w:rsidR="0097071F" w:rsidRPr="0097071F" w:rsidRDefault="0097071F" w:rsidP="0097071F">
      <w:pPr>
        <w:pStyle w:val="10"/>
        <w:tabs>
          <w:tab w:val="right" w:leader="dot" w:pos="8550"/>
        </w:tabs>
        <w:spacing w:line="360" w:lineRule="auto"/>
        <w:rPr>
          <w:rFonts w:ascii="宋体" w:hAnsi="宋体" w:cstheme="minorBidi"/>
          <w:noProof/>
          <w:sz w:val="24"/>
        </w:rPr>
      </w:pPr>
      <w:hyperlink w:anchor="_Toc231197073" w:history="1">
        <w:r w:rsidRPr="0097071F">
          <w:rPr>
            <w:rStyle w:val="aa"/>
            <w:rFonts w:ascii="宋体" w:hAnsi="宋体" w:hint="eastAsia"/>
            <w:noProof/>
            <w:sz w:val="24"/>
          </w:rPr>
          <w:t>二十六、备查文件</w:t>
        </w:r>
        <w:r w:rsidRPr="0097071F">
          <w:rPr>
            <w:rFonts w:ascii="宋体" w:hAnsi="宋体"/>
            <w:noProof/>
            <w:sz w:val="24"/>
          </w:rPr>
          <w:tab/>
        </w:r>
        <w:r w:rsidRPr="0097071F">
          <w:rPr>
            <w:rFonts w:ascii="宋体" w:hAnsi="宋体"/>
            <w:noProof/>
            <w:sz w:val="24"/>
          </w:rPr>
          <w:fldChar w:fldCharType="begin"/>
        </w:r>
        <w:r w:rsidRPr="0097071F">
          <w:rPr>
            <w:rFonts w:ascii="宋体" w:hAnsi="宋体"/>
            <w:noProof/>
            <w:sz w:val="24"/>
          </w:rPr>
          <w:instrText xml:space="preserve"> PAGEREF _Toc231197073 \h </w:instrText>
        </w:r>
        <w:r w:rsidRPr="0097071F">
          <w:rPr>
            <w:rFonts w:ascii="宋体" w:hAnsi="宋体"/>
            <w:noProof/>
            <w:sz w:val="24"/>
          </w:rPr>
        </w:r>
        <w:r w:rsidRPr="0097071F">
          <w:rPr>
            <w:rFonts w:ascii="宋体" w:hAnsi="宋体"/>
            <w:noProof/>
            <w:sz w:val="24"/>
          </w:rPr>
          <w:fldChar w:fldCharType="separate"/>
        </w:r>
        <w:r w:rsidRPr="0097071F">
          <w:rPr>
            <w:rFonts w:ascii="宋体" w:hAnsi="宋体"/>
            <w:noProof/>
            <w:sz w:val="24"/>
          </w:rPr>
          <w:t>151</w:t>
        </w:r>
        <w:r w:rsidRPr="0097071F">
          <w:rPr>
            <w:rFonts w:ascii="宋体" w:hAnsi="宋体"/>
            <w:noProof/>
            <w:sz w:val="24"/>
          </w:rPr>
          <w:fldChar w:fldCharType="end"/>
        </w:r>
      </w:hyperlink>
    </w:p>
    <w:p w:rsidR="00934076" w:rsidRPr="0097071F" w:rsidRDefault="0097071F" w:rsidP="0097071F">
      <w:pPr>
        <w:pStyle w:val="ad"/>
        <w:snapToGrid w:val="0"/>
        <w:spacing w:after="240" w:line="360" w:lineRule="auto"/>
        <w:jc w:val="center"/>
        <w:rPr>
          <w:rFonts w:ascii="宋体" w:hAnsi="宋体"/>
          <w:color w:val="000000"/>
          <w:sz w:val="24"/>
        </w:rPr>
      </w:pPr>
      <w:r w:rsidRPr="0097071F">
        <w:rPr>
          <w:rFonts w:ascii="宋体" w:hAnsi="宋体"/>
          <w:color w:val="000000"/>
          <w:position w:val="-4"/>
          <w:sz w:val="24"/>
          <w:szCs w:val="30"/>
        </w:rPr>
        <w:fldChar w:fldCharType="end"/>
      </w:r>
      <w:bookmarkStart w:id="3" w:name="_GoBack"/>
      <w:bookmarkEnd w:id="3"/>
    </w:p>
    <w:p w:rsidR="00934076" w:rsidRDefault="00934076">
      <w:pPr>
        <w:autoSpaceDE w:val="0"/>
        <w:autoSpaceDN w:val="0"/>
        <w:adjustRightInd w:val="0"/>
        <w:snapToGrid w:val="0"/>
        <w:spacing w:line="360" w:lineRule="auto"/>
        <w:ind w:left="120" w:rightChars="6" w:right="13"/>
        <w:rPr>
          <w:rFonts w:ascii="宋体" w:hAnsi="宋体"/>
          <w:kern w:val="0"/>
          <w:szCs w:val="24"/>
        </w:rPr>
        <w:sectPr w:rsidR="00934076">
          <w:pgSz w:w="11920" w:h="16840"/>
          <w:pgMar w:top="1480" w:right="1680" w:bottom="280" w:left="1680" w:header="0" w:footer="1073" w:gutter="0"/>
          <w:cols w:space="720"/>
        </w:sectPr>
      </w:pPr>
    </w:p>
    <w:p w:rsidR="00934076" w:rsidRDefault="00C23400">
      <w:pPr>
        <w:pStyle w:val="1"/>
        <w:snapToGrid w:val="0"/>
        <w:spacing w:beforeLines="0" w:before="240" w:after="240"/>
        <w:rPr>
          <w:rFonts w:ascii="宋体" w:hAnsi="宋体"/>
          <w:szCs w:val="30"/>
        </w:rPr>
      </w:pPr>
      <w:bookmarkStart w:id="4" w:name="_Toc231197048"/>
      <w:r>
        <w:rPr>
          <w:rFonts w:ascii="Times New Roman" w:hAnsi="Times New Roman"/>
          <w:sz w:val="30"/>
        </w:rPr>
        <w:lastRenderedPageBreak/>
        <w:t>一、绪言</w:t>
      </w:r>
      <w:bookmarkEnd w:id="4"/>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货币市场证券投资基金招募说明书（更新）》（以下简称“本招募说明书”）依据《中华人民共和国证券投资基金法》（以下简称“《基金法》”）、《证券投资基金运作管理办法》（以下简称“《运作办法》”）、《证券投资基金销售管理办法》（以下简称“《销售办法》”）、《公开募集证券投资基金信息披露管理办法》（以下简称“《信息披露办法》”）、《货币市场基金管理暂行规定》（以下简称“《暂行规定》”）、《货币市场基金信息披露特别规定》（以下简称“《信息披露特别规定》”）、《公开募集开放式证券投资基金流动性风险管理规定》（以下简称《流动性规定》）和其他相关法律法规的规定以及《交银施罗德货币市场证券投资基金基金合同》（以下简称“基金合同”）编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核准。基金合同是约定基金当事人之间权利、义务的法律文件。基金投资者自依基金合同取得基金份额，即成为基金份额持有人和基金合同的当事人，其持有基金份额的行为本身即表明其对基金合同的承认和接受，并按照《基金法》、基金合同及其他有关规定享有权利、承担义务。基金投资者欲了解基金份额持有人的权利和义务，应详细查阅基金合同。</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5" w:name="_Toc231197049"/>
      <w:r>
        <w:rPr>
          <w:rFonts w:ascii="Times New Roman" w:hAnsi="Times New Roman"/>
          <w:sz w:val="30"/>
        </w:rPr>
        <w:lastRenderedPageBreak/>
        <w:t>二、释义</w:t>
      </w:r>
      <w:bookmarkEnd w:id="5"/>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本招募说明书中，除非文意另有所指，下列词语或简称具有如下含义：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基金或本基金：指交银施罗德货币市场证券投资基金；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基金合同：指《交银施罗德货币市场证券投资基金基金合同》及其任何有效的修订和补充；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招募说明书：指《交银施罗德货币市场证券投资基金招募说明书》及其更新；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发售公告：指《交银施罗德货币市场证券投资基金基金份额发售公告》；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基金产品资料概要：指《交银施罗德货币市场证券投资基金基金产品资料概要》及其更新；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托管协议：指基金管理人与基金托管人签订的《交银施罗德货币市场证券投资基金托管协议》及其任何有效的修订和补充；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法律法规：指中国现时有效并公布实施的法律、行政法规、部门规章及规范性文件、地方性法规、地方政府规章及规范性文件；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《证券法》：指《中华人民共和国证券法》及颁布机关对其不时作出的修订；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《基金法》：指自2004年6月1日起施行的《中华人民共和国证券投资基金法》及颁布机关对其不时作出的修订；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《销售办法》：指自2011年10月1日起施行的《证券投资基金销售管理办法》；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《运作办法》：指自2004年7月1日起施行的《证券投资基金运作管理办法》；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《信息披露办法》：指自2019年9月1日起施行的《公开募集证券投资基金信息披露管理办法》；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《暂行规定》：指中国证监会和中国人民银行于2004 年8月16日联合发布并于该日施行的《货币市场基金管理暂行规定》；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《信息披露特别规定》：指自2005月4月1日起施行的《证券投资基金信息披露编报规则第5号&lt;货币市场基金信息披露特别规定&gt;》；</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《流动性规定》：指中国证监会2017年8月31日颁布、同年10月1日实施的《公开募集开放式证券投资基金流动性风险管理规定》及颁布机关对其不时做出的修订；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业务规则：指《交银施罗德基金管理有限公司开放式基金业务规则》；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中国：指中华人民共和国(就本招募说明书而言，不包括香港特别行政区、澳</w:t>
      </w:r>
      <w:r>
        <w:rPr>
          <w:rFonts w:ascii="宋体" w:hAnsi="宋体"/>
          <w:sz w:val="24"/>
        </w:rPr>
        <w:lastRenderedPageBreak/>
        <w:t>门特别行政区及台湾地区)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中国证监会：指中国证券监督管理委员会；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银行业监管机构：指中国银行业监督管理委员会或其他经国务院授权的机构；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基金合同当事人：指受基金合同约束，根据基金合同享受权利并承担义务的基金管理人、基金托管人和基金份额持有人；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基金管理人或本基金管理人：指交银施罗德基金管理有限公司；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基金托管人：指中国农业银行股份有限公司；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基金份额持有人：指依法并依基金合同、招募说明书取得并持有基金份额的投资者；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投资者：指个人投资者、机构投资者和合格境外机构投资者的总称；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个人投资者：指符合法律法规规定可以投资开放式证券投资基金的自然人；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机构投资者：指符合法律法规规定可以投资开放式证券投资基金的在中国境内注册登记或经有关政府部门批准设立的法人、社会团体和其他组织、机构；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合格境外机构投资者：指符合法律法规规定可投资于中国境内证券市场的中国境外的机构投资者；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销售机构：指交银施罗德基金管理有限公司及基金代销机构；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基金代销机构：指取得基金代销业务资格，接受基金管理人委托并与基金管理人签订了代销协议，代为办理基金销售服务业务的机构；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基金销售网点：指交银施罗德基金管理有限公司的直销网点及基金代销机构的代销网点；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注册登记业务：指基金登记、存管、清算和交收业务，具体内容包括投资者基金账户管理、基金份额注册登记、清算及基金交易确认、发放红利、建立并保管基金份额持有人名册等；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注册登记机构：指交银施罗德基金管理有限公司或由其委托办理基金注册登记业务的机构；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元：指中国法定货币人民币元；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服务费：也称持续销售和服务费用，主要用于支付销售机构佣金以及基金管理人的基金营销广告费、促销活动费、基金份额持有人服务费等，该笔费用从各类基金份额的基金财产中扣除，属于基金的营运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基金份额分类：指本基金根据销售服务费收取费率或注册登记机构等的不同将</w:t>
      </w:r>
      <w:r>
        <w:rPr>
          <w:rFonts w:ascii="宋体" w:hAnsi="宋体"/>
          <w:sz w:val="24"/>
        </w:rPr>
        <w:lastRenderedPageBreak/>
        <w:t>基金份额分为不同的类别，各类基金份额单独设置基金代码，并分别公布每万份基金已实现收益和基金七日年化收益率；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基金份额的升级：指当投资者在单个基金账户保留的A类基金份额达到B类基金份额的最低份额要求时，基金的注册登记机构自动将投资者在该基金账户保留的A类基金份额全部升级为B类基金份额；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基金份额的降级：指当投资者在单个基金账户保留的B类基金份额不能满足B类基金份额最低份额要求时，基金的注册登记机构自动将投资者在该基金账户保留的B类基金份额全部降级为A类基金份额；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基金合同生效日：指本基金募集达到法律法规规定及基金合同规定的条件，基金管理人聘请法定机构验资并办理完毕基金合同备案手续并获得中国证监会书面确认之日；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开放日：指销售机构为投资者办理基金申购、赎回等业务的工作日；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募集期：指自基金份额发售之日起不超过3个月的期间；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基金存续期：指基金合同生效后合法存续的不定期之期间；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日/天：指公历日；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月：指公历月；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工作日：指上海证券交易所和深圳证券交易所的正常交易日；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T日：指销售机构确认的投资者有效申请工作日；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T+n日：指自T日起第n个工作日（不包含T日）；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发售：指在本基金募集期内，销售机构向投资者销售本基金份额的行为；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认购：指在本基金募集期内，投资者购买本基金份额的行为；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申购：指基金合同生效后，基金投资者根据基金销售网点规定的手续，向基金管理人提出申请购买基金份额的行为。本基金的申购自基金合同生效后不超过30日的时间开始办理；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赎回：指基金合同生效后，基金投资者根据基金销售网点规定的手续，向基金管理人提出申请卖出基金份额的行为。本基金的赎回自基金合同生效后不超过30日的时间开始办理；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转托管：指投资者将其持有的同一基金账户下的基金份额从某一交易账户转入另一交易账户的业务；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投资指令：指基金管理人在运用基金财产进行投资时，向基金托管人发出的资</w:t>
      </w:r>
      <w:r>
        <w:rPr>
          <w:rFonts w:ascii="宋体" w:hAnsi="宋体"/>
          <w:sz w:val="24"/>
        </w:rPr>
        <w:lastRenderedPageBreak/>
        <w:t>金划拨及实物券调拨等指令；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基金账户：指基金注册登记机构给投资者开立的用于记录投资者持有的由该注册登记机构登记注册的开放式基金份额变动及结余情况的账户；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交易账户：指各销售机构为投资者开立的记录投资者通过该销售机构办理基金交易所引起的基金份额的变动及结余情况的账户；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定期定额投资计划：指投资者通过向有关销售机构提交申请，约定每期申购日、扣款金额及扣款方式，由指定的销售机构在投资者指定资金账户内自动扣款并于每期约定申购日提交基金申购申请的一种投资方式；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基金收益：指基金投资所得银行存款利息、债券利息、买卖债券差价以及其他合法收益；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每万份基金已实现收益：指按照相关法规计算的每万份基金份额的日已实现收益；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基金七日年化收益率（%）：指以最近七日（含节假日）收益折算的年资产收益率；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基金资产总值：指基金所购买的各类证券及票据价值、银行存款本息和本基金应收的申购基金款以及其他投资所形成的价值总和；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基金资产净值：指基金资产总值扣除负债后的净资产值；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基金份额净值：指计算日基金资产净值除以计算日发行在外的基金份额总数；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基金资产估值：指计算评估基金资产和负债的价值，以确定基金资产净值的过程；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摊余成本法：即估值对象以买入成本列示， 按票面利率或协议利率并考虑其买入时的溢价与折价，在其剩余存续期限内平均摊销，每日计提损益；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就本基金而言，指货币市场基金依法可投资的符合前述条件的资产，但中国证监会认可的特殊情形除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指定媒介：指中国证监会指定的用以进行信息披露的全国性报刊及指定互联网网站（包括基金管理人网站、基金托管人网站、中国证监会基金电子披露网站）等</w:t>
      </w:r>
      <w:r>
        <w:rPr>
          <w:rFonts w:ascii="宋体" w:hAnsi="宋体"/>
          <w:sz w:val="24"/>
        </w:rPr>
        <w:lastRenderedPageBreak/>
        <w:t>媒介；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不可抗力：指基金合同当事人不能预见、不能避免并不能克服且在基金合同由基金托管人、基金管理人签署之日后发生的，使基金合同当事人无法全部履行或无法部分履行基金合同的任何事件，包括但不限于洪水、地震及其他自然灾害、战争、骚乱、火灾、政府征用、没收、法律法规变化、突发停电或其他突发事件、证券交易所非正常暂停或停止交易。</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6" w:name="_Toc231197050"/>
      <w:r>
        <w:rPr>
          <w:rFonts w:ascii="Times New Roman" w:hAnsi="Times New Roman"/>
          <w:sz w:val="30"/>
        </w:rPr>
        <w:lastRenderedPageBreak/>
        <w:t>三、基金管理人</w:t>
      </w:r>
      <w:bookmarkEnd w:id="6"/>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张宏良先生，董事长，硕士，高级经济师。历任中国太平洋人寿保险公司乌鲁木齐分公司、河南（郑州）分公司、上海分公司党委书记、总经理，交银人寿保险有限公司党委书记、董事长、总裁，兼任交银康联资产管理有限公司董事长，交银理财有限责任公司党委书记、董事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袁庆伟女士，董事，总经理，硕士。历任交通银行乌鲁木齐分行财务会计处副</w:t>
      </w:r>
      <w:r>
        <w:rPr>
          <w:rFonts w:ascii="宋体" w:hAnsi="宋体"/>
          <w:sz w:val="24"/>
        </w:rPr>
        <w:lastRenderedPageBreak/>
        <w:t>处长、会计结算部高级经理，交通银行总行资产托管业务中心（资产托管部）副总裁、总裁，交通银行总行金融机构部总经理、资产管理业务中心总裁等职务。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季参平先生:基金经理。美国密歇根大学金融工程硕士、对外经济贸易大学经济学学士，14年金融行业从业经验。2012年至2017年任瑞士银行外汇和利率交易员、联席董事。2017年加入交银施罗德基金管理有限公司，曾任基金经理助理，现任固定收益部基金经理。曾任交银施罗德天运宝货币市场基金(2019年07月26日至2019年09月18日)、交银施罗德裕通纯债债券型证券投资基金(2019年10月12日至2024年12月17日)、交银施罗德裕祥纯债债券型证券投资基金(2020年07月09日至2024年02月20日)、交银施罗德中债1-3年政策性金融债指数证券投资基金(2020年08月20日至2023年08月30日)、交银施罗德中债1-3年农发行债券指数证券投资基金(2021年08月19日至2024年05月12日)、交银施罗德丰润收益债券型证券投资基金(2021年08月19日至2025年01月09日)、交银施罗德裕景纯债一年定期开放债券型证券投资基金(2021年09月09日至2024年05月12日)、交银施罗德裕道纯债一年定期开放债券型发起式证券投资基金(2022年03月29日至2025年01月15日)、交银施罗德中债1-5年政策性金融债指数证券投资基金(2022年06月08日至2023年11月15日)、交银施罗德中债0-3年政策性金融债指数证券投资基金(2024年03月22日至2025年07月17日)的基金经理。现任交银施罗德现金宝货币市场基金(2019年07月26日至今)、交银施罗德货币市场证券投资基金(2019年07月26日至今)、交银施罗德天鑫宝货币市场基金(2019年07月26日至今)、交银施罗德中证同业存单AAA指数7天持有期证券投资基金(2023年12月19日至今)、交银施罗德稳安30天滚动持有债券型证券投资基金(2024年11月23日至今)的基金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陈晓秋女士(2006年01月20日至2009年10月30日)；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李家春先生(2006年12月27日至2011年06月08日)；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林洪钧先生(2011年06月09日至2015年05月31日)；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黄莹洁女士(2015年05月27日至2019年08月02日)；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连端清先生(2015年10月16日至2019年08月02日)。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4、投资决策委员会成员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1、依法募集基金，办理或者委托经中国证监会认定的其他机构代为办理基金份额的发售、申购、赎回和登记事宜；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9、召集基金份额持有人大会；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1、基金管理人承诺不从事违反《证券法》的行为，并承诺建立健全内部控制制度，采取有效措施，防止违反《证券法》行为的发生。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（1）将基金管理人固有财产或者他人财产混同于基金财产从事证券投资；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（5）依照法律、行政法规有关规定，由中国证监会规定禁止的其他行为。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（5）成本效益原则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w:t>
      </w:r>
      <w:r>
        <w:rPr>
          <w:rFonts w:ascii="宋体" w:hAnsi="宋体"/>
          <w:sz w:val="24"/>
        </w:rPr>
        <w:lastRenderedPageBreak/>
        <w:t>及管理目标，对公司内部控制体系的适当性及运行的效果和效率进行独立评价，协助促进公司风险管理、控制和治理过程的完善，实现合规经营目标。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w:t>
      </w:r>
      <w:r>
        <w:rPr>
          <w:rFonts w:ascii="宋体" w:hAnsi="宋体"/>
          <w:sz w:val="24"/>
        </w:rPr>
        <w:lastRenderedPageBreak/>
        <w:t>指数趋势、行业及个股的风险，以便公司及时采取有效的措施，对风险进行分散、控制和规避，尽可能地减少损失。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7" w:name="_Toc231197051"/>
      <w:r>
        <w:rPr>
          <w:rFonts w:ascii="Times New Roman" w:hAnsi="Times New Roman"/>
          <w:sz w:val="30"/>
        </w:rPr>
        <w:lastRenderedPageBreak/>
        <w:t>四、基金托管人</w:t>
      </w:r>
      <w:bookmarkEnd w:id="7"/>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名称：中国农业银行股份有限公司（简称中国农业银行）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成立日期：2009年1月15日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批准设立机关和批准设立文号：中国银监会银监复[2009]13号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联系人：任航</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股份有限公司是中国金融体系的重要组成部分,总行设在北京。经国务院批准，中国农业银行整体改制为中国农业银行股份有限公司并于2009年1月15日依法成立。中国农业银行股份有限公司承继原中国农业银行全部资产、负债、业务、机构网点和员工。中国农业银行网点遍布中国城乡，成为国内网点最多、业务辐射范围最广，服务领域最广，服务对象最多，业务功能齐全的大型国有商业银行之一。在海外，中国农业银行同样通过自己的努力赢得了良好的信誉，每年位居《财富》世界500强企业之列。作为一家城乡并举、联通国际、功能齐备的大型国有商业银行，中国农业银行一贯秉承以客户为中心的经营理念，坚持审慎稳健经营、可持续发展，立足县域和城市两大市场，实施差异化竞争策略，着力打造“伴你成长”服务品牌，依托覆盖全国的分支机构、庞大的电子化网络和多元化的金融产品，致力为广大客户提供优质的金融服务，与广大客户共创价值、共同成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中国农业银行是中国第一批开展托管业务的国内商业银行，经验丰富，服务优质，业绩突出，2004年被英国《全球托管人》评为中国“最佳托管银行”。2007年</w:t>
      </w:r>
      <w:r>
        <w:rPr>
          <w:rFonts w:ascii="宋体" w:hAnsi="宋体"/>
          <w:sz w:val="24"/>
        </w:rPr>
        <w:lastRenderedPageBreak/>
        <w:t>中国农业银行通过了美国SAS70内部控制审计，并获得无保留意见的SAS70审计报告。自2010年起中国农业银行连续通过托管业务国际内控标准（ISAE3402）认证，表明了独立公正第三方对中国农业银行托管服务运作流程的风险管理、内部控制的健全有效性的全面认可。中国农业银行着力加强能力建设，品牌声誉进一步提升，在2010年首届“‘金牌理财’TOP10颁奖盛典”中成绩突出，获“最佳托管银行”奖。2010年再次荣获《首席财务官》杂志颁发的“最佳资产托管奖”。2012年荣获第十届中国财经风云榜“最佳资产托管银行”称号；2013年至2017年连续荣获上海清算所授予的“托管银行优秀奖”和中央国债登记结算有限责任公司授予的“优秀托管机构奖”称号；2015年、2016年荣获中国银行业协会授予的“养老金业务最佳发展奖”称号；2018年荣获中国基金报授予的公募基金20年“最佳基金托管银行”奖；2019年荣获证券时报授予的“2019年度资产托管银行天玑奖”称号；2020年被美国《环球金融》评为中国“最佳托管银行”；2021年荣获全国银行间同业拆借中心首次设立的“银行间本币市场优秀托管行”奖；2022年在权威杂志《财资》年度评选中首次荣获“中国最佳保险托管银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证券投资基金托管部于1998年5月经中国证监会和中国人民银行批准成立，2004年更名为中国农业银行托管业务部。目前内设风险合规部/综合管理部、业务管理部、客户一部、客户二部、客户三部、客户四部、系统与信息管理部、营运管理部、营运一部、营运二部，拥有先进的安全防范设施和基金托管业务系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农业银行托管业务部现有员工302名，其中具有高级职称的专家60名，服务团队成员专业水平高、业务素质好、服务能力强，高级管理层均有20年以上金融从业经验和高级技术职称，精通国内外证券市场的运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截止到2026年3月31日，中国农业银行托管的封闭式证券投资基金和开放式证券投资基金共1027只。</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（二）基金托管人的内部风险控制制度说明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严格遵守国家有关托管业务的法律法规、行业监管规章和行内有关管理规定，守法经营、规范运作、严格监察，确保业务的稳健运行，保证基金财产的安全完</w:t>
      </w:r>
      <w:r>
        <w:rPr>
          <w:rFonts w:ascii="宋体" w:hAnsi="宋体"/>
          <w:sz w:val="24"/>
        </w:rPr>
        <w:lastRenderedPageBreak/>
        <w:t>整，确保有关信息的真实、准确、完整、及时，保护基金份额持有人的合法权益。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委员会总体负责中国农业银行的风险管理与内部控制工作，对托管业务风险管理和内部控制工作进行监督和评价。托管业务部专门设置了风险管理处，配备了专职内控监督人员负责托管业务的内控监督工作，独立行使监督稽核职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备系统、完善的制度控制体系，建立了管理制度、控制制度、岗位职责、业务操作流程，可以保证托管业务的规范操作和顺利进行；业务人员具备从业资格；业务管理实行严格的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通过参数设置将《基金法》、《运作办法》、基金合同、托管协议规定的投资比例和禁止投资品种输入监控系统，每日登录监控系统监督基金管理人的投资运作，并通过基金资金账户、基金管理人的投资指令等监督基金管理人的其他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当基金出现异常交易行为时，基金托管人应当针对不同情况进行以下方式的处理：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1、电话提示。对媒体和舆论反映集中的问题，电话提示基金管理人；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2、书面警示。对本基金投资比例接近超标、资金头寸不足等问题，以书面方式对基金管理人进行提示；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3、书面报告。对投资比例超标、清算资金透支以及其他涉嫌违规交易等行为，书面提示有关基金管理人并报中国证监会。</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8" w:name="_Toc231197052"/>
      <w:r>
        <w:rPr>
          <w:rFonts w:ascii="Times New Roman" w:hAnsi="Times New Roman"/>
          <w:sz w:val="30"/>
        </w:rPr>
        <w:lastRenderedPageBreak/>
        <w:t>五、相关服务机构</w:t>
      </w:r>
      <w:bookmarkEnd w:id="8"/>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个人投资者可以通过基金管理人网上直销交易平台办理开户、本基金的赎回、定期定额投资、转换等业务，具体交易细则请参阅基金管理人网站。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 fund001.com。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（1）名称：江苏江南农村商业银行股份有限公司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住所：江苏省常州市和平中路413号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办公地址：江苏省常州市和平中路413号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法定代表人：陆向阳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电话：0519-80585939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传真：0519-89995170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客户服务电话：96005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网址：http://www.jnbank.com.cn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（2）名称：中国工商银行股份有限公司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注册地址：北京市西城区复兴门内大街55号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办公地址：北京市西城区复兴门内大街55号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法定代表人：廖林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网址：www.icbc.com.cn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（3）名称：杭州银行股份有限公司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住所：杭州市庆春路46号杭州银行大厦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办公地址：杭州市庆春路46号杭州银行大厦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法定代表人：陈震山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电话：（0571）85108195、85120696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传真：（0571）86475527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联系人：严峻、夏帆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网址：www.hzbank.com.cn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（4）名称：华夏银行股份有限公司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住所：北京市东城区建国门内大街22号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办公地址：北京市东城区建国门内大街22号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法定代表人：李民吉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网址：www.hxb.com.cn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（5）名称：江苏银行股份有限公司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住所：南京市中华路26号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办公地址：南京市中华路26号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法定代表人：夏平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电话：（025）58587018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传真：（025）58587038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联系人：田春慧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网址：www.jsbchina.cn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（6）名称：平安银行股份有限公司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注册地址：深圳市罗湖区深南东路5047号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（7）名称：北京银行股份有限公司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住所：北京市西城区金融大街甲17号首层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办公地址：北京市西城区金融大街甲17号首层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法定代表人：张东宁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传真：（010）66226045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联系人：孔超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网址：www.bankofbeijing.com.cn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（8）名称：宁波银行股份有限公司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（9）名称：中国光大银行股份有限公司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联系人：刘昭宇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（10）名称：中国民生银行股份有限公司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（11）名称：广发银行股份有限公司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住所：广州市越秀区东风东路713号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法定代表人：杨明生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联系人：李晓鹏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客户服务电话：800-830-8003，400-830-8003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网址：www.gdb.com.cn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（12）名称：东莞农村商业银行股份有限公司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（13）名称：江苏常熟农村商业银行股份有限公司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住所：江苏省常熟市新世纪大道58号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办公地址：江苏省常熟市新世纪大道58号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法定代表人：宋建明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联系电话：（0512）52909128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传真：（0512）52909122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联系人：黄晓</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客户服务电话：962000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网址：www.csrcbank.com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（14）名称：招商银行股份有限公司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（15）名称：中国建设银行股份有限公司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（16）名称：中国邮政储蓄银行股份有限公司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网址：www.psbc.com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（17）名称：中国农业银行股份有限公司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（18）名称：交通银行股份有限公司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（19）名称：中信银行股份有限公司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（20）名称：光大证券股份有限公司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住所：上海市静安区新闸路1508号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办公地址：上海市静安区新闸路1508号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电话：（021）22169999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传真：（021）22169134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10108998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网址：www.ebscn.com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（21）名称：中信证券股份有限公司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（22）名称：中国中金财富证券有限公司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（23）名称：中国银河证券股份有限公司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网址：www.chinastock.com.cn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（24）名称：申万宏源证券有限公司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（25）名称：国都证券股份有限公司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住所：北京市东城区东直门南大街3号国华投资大厦9层10层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办公地址：北京市东城区东直门南大街3号国华投资大厦9层10层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法定代表人：王少华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客户服务电话：400-818-8118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网址：www.guodu.com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（26）名称：平安证券股份有限公司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（27）名称：中信证券（山东）有限责任公司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联系人：赵如意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（28）名称：申万宏源西部证券有限公司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（29）名称：中泰证券股份有限公司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（30）名称：江海证券有限公司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住所：黑龙江省哈尔滨市香坊区赣水路56号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法定代表人：孙名扬</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电话：（0451）85863719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传真：（0451）82287211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客户服务电话：956007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网址：www.jhzq.com.cn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（31）名称：中国国际金融股份有限公司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住所：北京建国门外大街1号国贸大厦2座27层及28层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办公地址：北京建国门外大街1号国贸大厦2座27层及28层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法定代表人：毕明建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电话：（010）65051166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传真：（010）85679203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联系人：杨涵宇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（32）名称：瑞银证券有限责任公司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住所：北京市西城区金融大街7号英蓝国际金融中心12层、15层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办公地址：北京市西城区金融大街7号英蓝国际金融中心12层、15层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法定代表人：程宜荪</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电话：（010）58328112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传真：（010）58328740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联系人：牟冲</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客户服务电话：400-887-8827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网址：www.ubssecurities.com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（33）名称：长城证券有限责任公司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（34）名称：国金证券股份有限公司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联系人：刘婧漪 贾鹏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（35）名称：渤海证券股份有限公司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住所：天津经济技术开发区第二大街42号写字楼101室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办公地址：天津市南开区宾水西道8号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法定代表人：安志勇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电话：（022）28451991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传真：（022）28451892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956066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网址：www.ewww.com.cn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（36）名称：信达证券股份有限公司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（37）名称：西南证券股份有限公司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住所：重庆市江北区桥北苑8号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办公地址：重庆市江北区桥北苑8号西南证券大厦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电话：（023）63786141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传真：（023）63786212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客户服务电话：95355、400-809-6096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网址：www.swsc.com.cn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（38）名称：国新证券股份有限公司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（39）名称：粤开证券股份有限公司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注册地址：广州市黄埔区科学大道60号开发区控股中心19、22、23层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办公地址：广州市黄埔区科学大道60号开发区控股中心19、22、23层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法定代表人：郭川舟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客服电话：95564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网址：www.ykzq.com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（40）名称：华西证券股份有限公司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（41）名称：第一创业证券股份有限公司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联系人：崔国良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（42）名称：中信证券华南股份有限公司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（43）名称：国泰海通证券股份有限公司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（44）名称：招商证券股份有限公司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（45）名称：长江证券股份有限公司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（46）名称：爱建证券有限责任公司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住所：上海市南京西路758号24楼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办公地址：上海市浦东新区世纪大道1600号32楼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法定代表人：张建华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电话：（021）32229888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传真：（021）68728703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客户服务电话：（021）63340678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网址：www.ajzq.com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（47）名称：长城国瑞证券有限公司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（48）名称：华宝证券股份有限公司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陈林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（49）名称：华龙证券股份有限公司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（50）名称：海通证券股份有限公司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住所：上海市淮海中路98号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（51）名称：广发证券股份有限公司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联系人：任嘉鹏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（52）名称：兴业证券股份有限公司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住所：福州市湖东路268号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（53）名称：湘财证券股份有限公司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（54）名称：华泰证券股份有限公司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（55）名称：金融街证券股份有限公司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注册地址：内蒙古自治区呼和浩特市新城区海拉尔东街满世尚都办公商业综合楼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办公地址：内蒙古自治区呼和浩特市新城区海拉尔东街满世尚都办公商业综合楼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法定代表人：祝艳辉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联系人：熊丽、王捷勋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联系电话：0471-4968480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客户服务电话：956088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网址：www.cnht.com.cn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（56）名称：国信证券股份有限公司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传真：（0755）82133952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（57）名称：中原证券股份有限公司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（58）名称：中信建投证券股份有限公司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电话：（010）56135784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（59）名称：中航证券有限公司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办公地址：南昌市红谷滩新区红谷中大道1619号国际金融大厦41楼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（60）名称：东莞证券股份有限公司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（61）名称：国元证券股份有限公司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住所：中国安徽省合肥市梅山路18号安徽国际金融中心A座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办公地址：中国安徽省合肥市梅山路18号安徽国际金融中心A座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法定代表人：俞仕新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联系电话：0551-62207400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传真：0551-62207148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联系人：汪先哲</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网址：www.gyzq.com.cn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（62）名称：国投证券股份有限公司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（63）名称：德邦证券股份有限公司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住所：上海市普陀区曹杨路510号南半幢9楼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办公地址：上海市福山路500号城建大厦26楼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法定代表人：姚文平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电话：（021）68761616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传真：（021）68767981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客户服务电话：4008-888-128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网址：www.tebon.com.cn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（64）名称：中国民族证券有限责任公司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住所：北京市西城区金融街5号新盛大厦A座6-9层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办公地址：北京市西城区金融街5号新盛大厦A座6-9层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法定代表人：赵大建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客户服务电话：400-889-5618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网址：www.e5618.com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（65）名称：方正证券股份有限公司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住所：湖南长沙芙蓉中路二段华侨国际大厦22-24层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办公地址：湖南长沙芙蓉中路二段华侨国际大厦22-24层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法定代表人：施华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电话：（010）68546765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传真：（010）68546792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联系人：张达</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网址：www.foundersc.com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（66）名称：东方证券股份有限公司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住所：上海市中山南路318号2号楼22层-29层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法定代表人：王益民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电话：（021）63325888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传真：（021）63326173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客户服务电话：95503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网址：www.dfzq.com.cn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（67）名称：东兴证券股份有限公司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住所：北京市西城区金融大街5号新盛大厦B座12-15层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法定代表人：徐勇力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电话：（010）66555316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传真：（010）66555246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联系人：汤漫川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400-8888-993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网址：www.dxzq.net</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（68）名称：华福证券股份有限公司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住所：福建省福州市鼓楼区鼓屏路27号1#楼3层、4层、5层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办公地址：福建省福州市鼓楼区鼓屏路27号1#楼3层、4层、5层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法定代表人：黄德良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电话：（0591）87383623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传真：（0591）87383610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客户服务电话：（0591）95547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网址：www.hfzq.com.cn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（69）名称：中银国际证券股份有限公司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住所：上海市银城中路200号39层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办公地址：中国上海浦东银城中路200号中银大厦39-40层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客户服务电话：400-620-8888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网址：www.bocichina.com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（70）名称：东北证券股份有限公司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住所：长春市自由大路1138号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办公地址：长春市自由大路1138号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法定代表人：矫正中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电话：（0431）85096709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联系人：潘锴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客户服务电话：4006000686，（0431）85096733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网址：www.nesc.cn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（71）名称：山西证券股份有限公司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（72）名称：国联民生证券股份有限公司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（73）名称：北京广源达信基金销售有限公司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注册地址：北京市西城区新街口外大街28号C座六层605室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办公地址：北京市顺义区天祥路6号院北京东航中心T1A-304B室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法定代表人：齐剑辉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电话：400-616-7531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联系人：赵明锦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客户服务电话：400-616-7531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网址：https://www.niuniufund.com/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（74）名称：大连网金基金销售有限公司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（75）名称：阳光人寿保险股份有限公司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电话：（010）85632771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（76）名称：玄元保险代理有限公司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住所：中国(上海)自由贸易试验区张杨路707号1105室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办公地址：中国(上海)自由贸易试验区张杨路707号1105室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法定代表人：马永谙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电话：（021）50701053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传真：（021）50701053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客户服务电话：400-080-8208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网址：www.licaimofang.cn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（77）名称：京东肯特瑞基金销售有限公司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（78）名称：上海大智慧基金销售有限公司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（79）名称：珠海盈米基金销售有限公司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（80）名称：上海华夏财富投资管理有限公司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住所：上海市虹口区东大名路687号1幢2楼268室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北京市西城区金融大街33号通泰大厦B座8层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毛淮平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电话：010-88066632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传真：010-63136184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张静怡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客户服务电话：400-817-5666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www.amcfortune.com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（81）名称：北京度小满基金销售有限公司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（82）名称：南京苏宁基金销售有限公司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（83）名称：嘉实财富管理有限公司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 张峰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（84）名称：北京汇成基金销售有限公司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（85）名称：上海利得基金销售有限公司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（86）名称：北京虹点基金销售有限公司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住所：北京市朝阳区工人体育场北路甲2号裙房2层222单元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办公地址：北京市朝阳区工人体育场北路甲2号裙房2层222单元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电话：（010）65951887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传真：（010）65951887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联系人：姜颖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客户服务电话：400-618-0707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网址：www.hongdianfund.com/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（87）名称：上海陆金所基金销售有限公司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办公地址：上海市浦东新区陆家嘴环路1333号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（88）名称：上海挖财基金销售有限公司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（89）名称：万家财富基金销售（天津）有限公司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（90）名称：上海万得基金销售有限公司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电话：021-50712782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（91）名称：格上富信投资顾问有限公司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住所：北京市朝阳区东三环北路19号楼701内09室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办公地址：北京市朝阳区东三环北路19号楼701内09室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法定代表人：李悦章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电话：（010）85594745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传真：（010）65983333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客户服务电话：400-066-8586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网址：www.igesafe.com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（92）名称：深圳市金斧子基金销售有限公司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（93）名称：北京雪球基金销售有限公司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法定代表人：李楠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（94）名称：北京新浪仓石基金销售有限公司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（95）名称：中证金牛（北京）基金销售有限公司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北京市丰台区东管头1号2号楼2-45室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北京市西城区宣武门外大街甲一号环球财讯中心A座5层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钱昊旻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电话：（010）59336512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传真：（010）59336586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沈晨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客户服务电话：4008-909-998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www.jnlc.com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（96）名称：上海证达通基金销售有限公司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上海市浦东新区金葵路118号3层B区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办公地址：上海市浦东新区金葵路118号3层B区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法定代表人：姚杨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电话：（021）20530186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传真：（021）20538999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潘梦茹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客户服务电话：021-20538880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网址：www.zdt.fund</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（97）名称：北京创金启富基金销售有限公司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（98）名称：奕丰基金销售有限公司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（99）名称：上海天天基金销售有限公司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客户服务电话：400-1818-188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（100）名称：和讯信息科技有限公司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网址：http://licaike.hexun.com/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（101）名称：诺亚正行基金销售有限公司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（102）名称：上海好买基金销售有限公司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（103）名称：上海长量基金销售有限公司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办公地址：上海市浦东新区浦东大道555号裕景国际B座16层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（104）名称：深圳众禄基金销售股份有限公司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（105）名称：蚂蚁（杭州）基金销售有限公司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（106）名称：中信期货有限公司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法定代表人：张皓</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（107）名称：天相投资顾问有限公司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住所：北京市西城区金融街19号富凯大厦B座701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办公地址：北京市西城区新街口外大街28号C座5层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法定代表人：林义相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电话：（010）66045529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传真：（010）66045518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客户服务电话：（010）66045678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网址：http://www.txsec.com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（108）名称：上海基煜基金销售有限公司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（109）名称：浙江同花顺基金销售有限公司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传真：（0571）86800423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（110）名称：宜信普泽（北京）基金销售有限公司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（111）名称：上海联泰基金销售有限公司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（112）名称：泛华普益基金销售有限公司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网址：https://www.puyifund.com/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（113）名称：北京展恒基金销售股份有限公司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（114）名称：深圳市新兰德证券投资咨询有限公司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住所：深圳市福田区华强北路赛格科技园4栋10层1006#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办公地址：北京市西城区金融大街35号国际企业大厦C座9层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电话：（010）58325395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传真：（010）58325282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联系人：刘宝文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客户服务电话：400-850-7771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网址：http://8.jrj.com.cn/</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（115）名称：和耕传承基金销售有限公司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（116）名称：济安财富（北京）基金销售有限公司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住所：北京市朝阳区太阳宫中路16号院1号楼10层1005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（117）名称：博时财富基金销售有限公司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（118）名称：上海中欧财富基金销售有限公司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基金管理人可根据有关法律法规的要求，选择其它符合要求的机构销售本基金，并在管理人网站公示。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本基金A类基金份额和B类基金份额的登记机构：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名称：中国证券登记结算有限责任公司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本基金C类基金份额和D类基金份额的登记机构：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电话：（021）61055461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传真：（021）61055064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联系人：陈方强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名称：上海源泰律师事务所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住所：上海浦东南路256号华夏银行大厦1405室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办公地址：上海浦东南路256号华夏银行大厦1405室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负责人：廖海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电话：（021）51150298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传真：（021）51150398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联系人：廖海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经办律师：梁丽金、刘佳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传真：（010）85188298</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9" w:name="_Toc231197053"/>
      <w:r>
        <w:rPr>
          <w:rFonts w:ascii="Times New Roman" w:hAnsi="Times New Roman"/>
          <w:sz w:val="30"/>
        </w:rPr>
        <w:lastRenderedPageBreak/>
        <w:t>六、基金的募集</w:t>
      </w:r>
      <w:bookmarkEnd w:id="9"/>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本基金由基金管理人依照《基金法》、《运作办法》、《销售办法》、《暂行规定》、基金合同及其他有关规定，并经中国证监会证监基金字[2005]204号文批准募集发售。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本基金为契约型开放式货币市场基金。基金存续期间为不定期。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本基金募集期间基金份额净值为人民币1.00元，按面值发售。本基金采用固定份额净值，基金帐面份额净值始终保持为1.00元。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本基金的募集期限不超过3个月，自基金份额开始发售之日起计算。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本基金自2005年12月27日至2006年1月16日进行发售。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本基金募集期共募集4,741,255,133.16份基金份额，有效认购户数为38,343户。</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0" w:name="_Toc231197054"/>
      <w:r>
        <w:rPr>
          <w:rFonts w:ascii="Times New Roman" w:hAnsi="Times New Roman"/>
          <w:sz w:val="30"/>
        </w:rPr>
        <w:lastRenderedPageBreak/>
        <w:t>七、基金合同的生效</w:t>
      </w:r>
      <w:bookmarkEnd w:id="10"/>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根据有关规定，本基金满足基金合同生效条件，基金合同已于2006年1月20日正式生效。自基金合同生效之日起，本基金管理人正式开始管理本基金。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1" w:name="_Toc231197055"/>
      <w:r>
        <w:rPr>
          <w:rFonts w:ascii="Times New Roman" w:hAnsi="Times New Roman"/>
          <w:sz w:val="30"/>
        </w:rPr>
        <w:lastRenderedPageBreak/>
        <w:t>八、基金份额的分类及升降级设置</w:t>
      </w:r>
      <w:bookmarkEnd w:id="11"/>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（一）基金份额的类别</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根据销售服务费收取费率或注册登记机构等的不同将基金份额分为不同的类别，本基金目前设置A类基金份额、B类基金份额、C类基金份额和D类基金份额四类不同的基金份额类别，各类基金份额单独设置基金代码，并分别公布每万份基金已实现收益和基金七日年化收益率。其中A类基金份额和B类基金份额的注册登记机构为中国证券登记结算有限责任公司，C类基金份额和D类基金份额的注册登记机构为交银施罗德基金管理有限公司，四类基金份额适用的销售服务费率如下表：</w:t>
      </w:r>
    </w:p>
    <w:tbl>
      <w:tblPr>
        <w:tblW w:w="5000" w:type="pct"/>
        <w:tblCellMar>
          <w:left w:w="0" w:type="dxa"/>
          <w:right w:w="0" w:type="dxa"/>
        </w:tblCellMar>
        <w:tblLook w:val="0000" w:firstRow="0" w:lastRow="0" w:firstColumn="0" w:lastColumn="0" w:noHBand="0" w:noVBand="0"/>
      </w:tblPr>
      <w:tblGrid>
        <w:gridCol w:w="667"/>
        <w:gridCol w:w="2000"/>
        <w:gridCol w:w="2001"/>
        <w:gridCol w:w="2001"/>
        <w:gridCol w:w="2001"/>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934076">
            <w:pPr>
              <w:widowControl/>
              <w:snapToGrid w:val="0"/>
              <w:jc w:val="center"/>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r>
              <w:rPr>
                <w:rFonts w:ascii="Times New Roman" w:hAnsi="Times New Roman"/>
                <w:color w:val="000000"/>
                <w:kern w:val="0"/>
                <w:sz w:val="25"/>
                <w:szCs w:val="24"/>
              </w:rPr>
              <w:t>类基金份额</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销售服务费率</w:t>
            </w:r>
            <w:r>
              <w:rPr>
                <w:rFonts w:ascii="Times New Roman" w:hAnsi="Times New Roman"/>
                <w:color w:val="000000"/>
                <w:kern w:val="0"/>
                <w:sz w:val="25"/>
                <w:szCs w:val="24"/>
              </w:rPr>
              <w:t>(</w:t>
            </w:r>
            <w:r>
              <w:rPr>
                <w:rFonts w:ascii="Times New Roman" w:hAnsi="Times New Roman"/>
                <w:color w:val="000000"/>
                <w:kern w:val="0"/>
                <w:sz w:val="25"/>
                <w:szCs w:val="24"/>
              </w:rPr>
              <w:t>年费率</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0.01%</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（二）基金份额的自动升降级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投资者在单个基金账户保留的A类基金份额达到或超过500万份时，基金的注册登记机构自动将投资者在该基金账户保留的A类基金份额全部升级为B类基金份额；当投资者在单个基金账户保留的B类基金份额低于500万份，基金的注册登记机构自动将投资者在该基金账户保留的B类基金份额全部降级为A类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C类基金份额和D类基金份额不适用上述基金份额升降级机制。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w:t>
      </w:r>
      <w:r w:rsidRPr="00BB248E">
        <w:rPr>
          <w:rFonts w:ascii="宋体" w:hAnsi="宋体" w:hint="eastAsia"/>
          <w:kern w:val="0"/>
          <w:sz w:val="24"/>
        </w:rPr>
        <w:t>在不违反法律法规、基金合同的约定以及对基金份额持有人利益无实质性不利影响的情况下，根据基金实际运作情况，基金管理人可增加、减少或调整基金份额类别设置、停止基金份额类别的销售、调整本基金基金份额升降级的数量限制及规则并在调整实施前依照《信息披露办法》的有关规定在指定媒介上公告。</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2" w:name="_Toc231197056"/>
      <w:r>
        <w:rPr>
          <w:rFonts w:ascii="Times New Roman" w:hAnsi="Times New Roman"/>
          <w:sz w:val="30"/>
        </w:rPr>
        <w:lastRenderedPageBreak/>
        <w:t>九、基金份额的申购、赎回及其他业务</w:t>
      </w:r>
      <w:bookmarkEnd w:id="12"/>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 申购和赎回的场所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1、本基金管理人的直销网点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本基金直销机构为本公司以及本公司的网上直销交易平台。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办公地址：上海市浦东新区世纪大道8号国金中心2期21-22楼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个人投资者可以通过本公司网上直销交易平台办理开户、本基金的赎回、转换及定期定额投资等业务，具体交易细则请参阅本公司网站。网上直销交易平台网址：www.fund001.com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2、办理本基金代销业务的各代销机构的代销网点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本基金的代销机构的代销网点请见本招募说明书“五、相关服务机构”章节或拨打本公司客户服务电话进行咨询。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投资者可通过上述场所按照规定的方式进行申购或赎回。本基金管理人可根据情况增减基金代销机构，并在管理人网站公示。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若基金管理人或其指定的代销机构开通电话、传真或网上等交易方式，投资者可以通过上述方式进行申购与赎回。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 申购和赎回的开放日及时间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基金的开放日是指为投资者办理基金申购、赎回等业务的证券交易所交易日。销售机构在开放日的具体业务办理时间为上海证券交易所、深圳证券交易所交易日的交易时间。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若出现新的证券交易市场、证券交易所交易时间变更或其他特殊情况，基金管理人将视情况对前述开放日及具体业务办理时间进行相应的调整并公告。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投资者在基金合同约定之外的日期和时间提出申购、赎回申请的，其基金份额申购、赎回价格为下次办理基金份额申购、赎回时间所在开放日的价格。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2、申购的开始日及业务办理时间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本基金A类基金份额已于2006年1月23日起开始办理申购业务。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本基金B类基金份额已于2007年6月25日起开始办理申购业务。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本基金C类基金份额和D类基金份额已于2024年3月5日起开始办理申购业务。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3、赎回的开始日及业务办理时间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本基金A类基金份额已于2006年2月8日起开始办理赎回业务。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本基金B类基金份额已于2007年6月25日起开始办理赎回业务。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本基金C类基金份额和D类基金份额已于2024年3月5日起开始办理赎回业务。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 申购和赎回的原则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1、“确定价”原则，即本基金的申购、赎回价格为每份基金份额1.00元。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3、投资者申购基金份额时，必须全额交付申购款项，投资者交付款项后，申购申请方为有效。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4、赎回遵循“先进先出”原则，即按照投资者认（申）购的先后次序进行顺序赎回。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5、当日的申购和赎回申请可以在基金管理人规定的时间以前撤销。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基金管理人在不损害基金份额持有人权益的情况下可更改上述原则。在变更上述原则时，基金管理人应在变更依照《信息披露办法》和《信息披露特别规定》的有关规定在指定媒介上公告。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 申购和赎回的数额限定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代销机构申购基金份额最低限额为单笔0.01元人民币；投资者通过直销网点申购基金份额最低限额为单笔100万元人民币，追加申购的最低金额为单笔10万元人民币；已在直销网点有认购或申购过本基金管理人管理的任一基金（包括本基金）记录的投资者不受首次申购最低金额的限制。本基金直销网点单笔申购最低金额可由基金管理人酌情调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投资者可多次申购，对单个投资者累计持有份额不设上限限制。法律法规、中国证监会另有规定的除外。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2、赎回份额的限制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投资者可将其全部或部分基金份额赎回。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单笔赎回不得少于0.01份基金份额，如果销售机构业务规则规定的最低单笔赎回份额高于0.01份，以该销售机构的规定为准。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每个工作日投资者在单个交易账户保留的本基金最低份额余额为0。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赎回的份额以及最低保留余额的数量限制，基金管理人必须在调整前依照《信息披露办法》和《信息披露特别规定》的有关规定在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 申购和赎回的程序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2、申购和赎回的确认与通知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正常情况下，T日规定时间受理的申请，基金注册登记机构在T＋1日内为投资者对该交易的有效性进行确认，在T＋2日后(包括该日)投资者可向销售机构查询申购、赎回的成交情况。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3、申购和赎回款项支付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申购采用全额缴款方式，若申购资金在规定时间内未全额到账则申购不成功，若申购不成功或无效，申购款项将退回投资者账户。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申请成功后，基金管理人将指示基金托管人在T＋2日（包括该日）内从托管账户将赎回款项划出，经销售机构划往基金份额持有人银行账户。在发生巨额赎回的情形时，款项的支付办法参照基金合同的有关条款处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4、申购和赎回基金份额的注册登记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投资者申购申请受理后，注册登记机构在T+1日为投资者办理增加权益的登记手续，投资者自T+2日起可赎回该部分基金份额。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投资者赎回基金成功后，注册登记机构在T+1日为投资者办理扣除权益的登记手续。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可以在法律法规允许的范围内，对上述注册登记办理时间进行调整，但不得实质影响投资者的合法权益，并最迟于开始实施前依照《信息披露办法》和《信息披露特别规定》的有关规定在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 申购和赎回的数额和价格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1、申购份额的计算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申购份额＝申购总金额÷基金份额净值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例一：假定T日某投资者投资10,000元申购本基金，则其可得到的申购份额计算如下：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申购份额=10,000/1.00=10,000份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申购份数保留至小数点后2位，小数点2位以后的部分四舍五入，四舍五入部分所代表的资产归基金所有。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2、基金赎回金额的计算（不包含特殊情况）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赎回金额=赎回份额×基金份额净值+该份额对应的未付收益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例二：假定某投资者在T日赎回10,000份本基金，且假设该10,000份基金份额对应的未支付收益为15.00元，则其获得的赎回金额计算如下：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赎回金额=10,000×1.00+15.00=10,015.00元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赎回总额以人民币元为单位，保留至小数点后2位，小数点2位以后的部分四舍五入，四舍五入部分所代表的资产归基金所有。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3、本基金每个工作日公告前一工作日各类基金份额的每万份基金已实现收益和基金七日年化收益率。遇特殊情况，经中国证监会同意，可以适当延迟计算或公告。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（七）基金的申购费和赎回费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另有规定或基金合同另有约定外，本基金的申购和赎回费率为零。当本基金前10名基金份额持有人的持有份额合计超过基金总份额50%，且本基金投资组合中现金、国债、中央银行票据、政策性金融债券以及5个交易日内到期的其他金融工具占基金资产净值的比例合计低于10%且偏离度为负时，基金管理人应当对当日单个基金份额持有人超过基金总份额1%以上的赎回申请征收1%的强制赎回费用，并将上述赎回费用全额计入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2、网上直销的有关费率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管理人已开通基金网上直销业务，个人投资者可以直接通过本公司网站的“交银施罗德基金管理有限公司网上直销交易平台”（以下简称“网上直销交易平台”）办理开户和本基金的赎回、定期定额投资和转换等业务。通过网上直销交易平台办理本基金转换出业务的个人投资者将享受转换费中相应申购补差费率的优惠，其他费率标准不变。具体优惠费率请参见公司网站列示的网上直销定期定额投资及转换费率表或相关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本公司基金网上直销业务已开通的银行卡及各银行卡交易金额限额请参阅本公司网站。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（八）暂停申购的情形及处理方式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发生下列情况时，基金管理人可暂停接受基金投资者的申购申请：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1、不可抗力的原因导致基金无法正常运作；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2、证券交易场所在交易时间非正常停市；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3、基金财产规模过大，使基金管理人无法找到合适的投资品种，或可能对基金业绩产生负面影响，从而损害现有基金份额持有人的利益；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4、基金管理人认为会有损于现有基金份额持有人利益的某笔申购；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5、法律法规规定或中国证监会认定的其他可暂停申购的情形；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7、基金管理人接受某笔或者某些申购申请有可能导致单一投资者持有基金份额的比例超过50%，或者变相规避50%集中度的情形时。出现上述情形时，基金管理人有权将上述申购申请全部或部分确认失败。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发生上述1到6项暂停申购情形时，申购款项将全额退还投资者。基金管理人依照《信息披露办法》和《信息披露特别规定》的有关规定在指定媒介上公告。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（九）暂停赎回或延缓支付赎回款项的情形及处理方式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发生下列情形时，基金管理人可暂停接受基金份额持有人的赎回申请：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1、不可抗力的原因导致基金无法正常运作；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2、证券交易场所交易时间非正常停市；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3、因市场剧烈波动或其他原因而出现连续两个或两个以上开放日巨额赎回，导致本基金的现金支付出现困难；</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4、基金管理人认为会有损于现有基金份额持有人利益的某笔赎回；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6、法律法规规定或中国证监会认定的其他情形。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的，基金管理人应在当日立即向中国证监会报告备案。已接受的赎回申请，基金管理人将足额支付；如暂时不能支付的，可支付部分按每个赎回申请人已被接受的赎回申请量占已接受赎回申请总量的比例分配给赎回申请人，未支付部分由基金管理人按照发生的情况制定相应的处理办法在后续开放日予以支付。同时在出现上述第3项的情形时，对已接受的赎回申请可延期支付赎回款项，最长不超过正常支付时间20个工作日，并在中国证监会指定媒介上公告。投资者在申请赎回时可事先选择将当日可能未获受理部分予以撤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暂停基金的赎回，基金管理人应及时在中国证监会指定媒介上刊登暂停赎回公告。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在暂停赎回的情况消除时，基金管理人应及时恢复赎回业务的办理，并依照《信息披露办法》和《信息披露特别规定》的有关规定在指定媒介上公告。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份额总份额扣除申购申请总份额及基金转换中转入申请份额总份额后的余额）超过上一日基金总份额的10%时，即认为发生了巨额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当出现巨额赎回时，基金管理人可以根据本基金当时的资产组合状况决定全额赎回或部分顺延赎回。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（1）全额赎回：当基金管理人认为有能力支付投资者的全部赎回申请时，按正常赎回程序执行。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投资者的赎回申请有困难或认为支付投资者的赎回申请可能会对基金的资产净值造成较大波动时，基金管理人在当日接受赎回比例不低于上一日基金总份额的10%的前提下，对其余赎回申请予以延期办理。对于当日的赎回申请，应当按单个账户赎回申请量占当日赎回申请总量的</w:t>
      </w:r>
      <w:r>
        <w:rPr>
          <w:rFonts w:ascii="宋体" w:hAnsi="宋体"/>
          <w:sz w:val="24"/>
        </w:rPr>
        <w:lastRenderedPageBreak/>
        <w:t>比例，确定当日单个帐户受理的赎回份额。未受理部分，除投资者在提交赎回申请时明确作出不参加顺延下一个开放日赎回的表示外，顺延至下一个开放日赎回处理。依照上述规定转入下一个开放日的赎回不享有赎回优先权并将按该下一个开放日赎回申请总量计算赎回金额，以此类推，直到全部赎回为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（3）巨额赎回的公告：当发生巨额赎回并顺延赎回时，基金管理人应通过邮寄、传真或者招募说明书规定的其他方式，在两日内通知基金份额持有人，说明有关处理方法，并在2日内在指定媒介上刊登公告。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连续2个开放日以上发生巨额赎回，如基金管理人认为有必要，可暂停接受赎回申请；已经接受的赎回申请可以延缓支付赎回款项，但不得超过正常支付时间20个工作日，并应当在中国证监会指定媒体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（十一）重新开放申购或赎回的公告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发生暂停申购或赎回的时间为一日，第二个工作日基金管理人应在中国证监会指定媒介上刊登基金重新开放申购或赎回公告并公布最近一个开放日各类基金份额的每万份基金已实现收益和基金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发生暂停的时间超过一日但少于两周，基金重新开放申购或赎回时，基金管理人应提前一个工作日在中国证监会指定媒介上刊登基金重新开放申购或赎回公告，并在重新开放申购或赎回日公告最近一个工作日各类基金份额的每万份基金已实现收益和基金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发生暂停的时间超过两周，暂停期间，基金管理人应至少每两周重复刊登暂停公告一次。基金重新开放申购或赎回时，基金管理人依照《信息披露办法》和《信息披露特别规定》的有关规定在指定媒介上连续刊登基金重新开放申购或赎回公告并在重新开放申购或赎回日公告最近一个开放日各类基金份额的每万份基金已实现收益和基金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（十二）转托管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本基金目前实行份额托管的交易制度。基金份额持有人可办理已持有基金份额在不同销售机构之间的转托管。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进行份额转托管时，基金份额持有人可以将其某个交易账户下的基金份额全部或部分转托管。办理转托管业务的基金份额持有人需在转出方办理基金份额转出手续，在转入方办理基金账户注册手续。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（十三）定期定额投资计划</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本基金2006年2月20日刊登公告自2006年2月23日起开通A类基金份额的定期定额投资计划业务，本基金2024年2月29日刊登公告自2024年3月5日起增设C类基金份额和D类基金份额并开通C类基金份额和D类基金份额的定期定额投资计划业务，具体开通销售机构名单和业务规则参见相关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（十四）基金的非交易过户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基金注册登记机构只受理继承、捐赠、司法强制执行和经注册登记机构认可的其他情况下的非交易过户。无论在上述何种情况下，接受划转的主体必须是依法可投资于本基金的个人投资者或机构投资者。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受理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注册登记机构要求提供的相关资料，按基金注册登记机构的规定办理，并按基金注册登记机构规定的标准收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（十五）基金份额的升级和降级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2007年6月22日起，在基金存续期内的任何一个工作日，若基金份额持有人在单个基金账户内保留的A类基金份额达到或超过500万份，本基金的注册登记机构自动将其单个基金账户内持有的A类基金份额升级为B类基金份额，并于升级当日起享受B类基金份额的收益。投资者可于升级日后的第一个工作日起对升级后的基金</w:t>
      </w:r>
      <w:r>
        <w:rPr>
          <w:rFonts w:ascii="宋体" w:hAnsi="宋体"/>
          <w:sz w:val="24"/>
        </w:rPr>
        <w:lastRenderedPageBreak/>
        <w:t>份额提交赎回、转换出及转托管申请。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在单个基金账户内保留的B类基金份额的最低余额为500万份(包含500万份)。若基金份额持有人在单个基金账户内保留的B类基金份额低于500万份，本基金的注册登记机构自动将其在单个基金账户内持有的B类基金份额降级为A类基金份额，并于降级当日起享受A类基金份额的收益。投资者可于降级日后的第一个工作日起对降级后的基金份额提交赎回、转换出及转托管申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注册登记机构在T日对投资者持有的基金份额进行了升降级处理，那么投资者在该日对升降级前的基金份额提交的赎回、转换出和转托管等交易申请将被确认失败，基金管理人不承担由此造成的一切损失。从T＋1日起，投资者可以正常提交上述交易申请。基金份额升降级的相关规则由基金管理人制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C类基金份额和D类基金份额不适用上述基金份额升降级机制。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（十六）基金的冻结与解冻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基金注册登记机构只受理国家有权机关依法要求的基金份额的冻结与解冻，以及注册登记机构认可的其他情况下的冻结与解冻。</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3" w:name="_Toc231197057"/>
      <w:r>
        <w:rPr>
          <w:rFonts w:ascii="Times New Roman" w:hAnsi="Times New Roman"/>
          <w:sz w:val="30"/>
        </w:rPr>
        <w:lastRenderedPageBreak/>
        <w:t>十、基金的转换</w:t>
      </w:r>
      <w:bookmarkEnd w:id="13"/>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2006年2月20日刊登公告自2006年2月23日起开放A类基金份额的日常转换业务，本基金2007年6月15日刊登公告自2007年6月22日起实行销售服务费分级收费方式并于2007年6月25日起开通B类基金份额的日常转换业务，本基金2024年2月29日刊登公告自2024年3月5日起增设C类基金份额和D类基金份额并开通C类基金份额和D类基金份额的日常转换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w:t>
      </w:r>
      <w:r>
        <w:rPr>
          <w:rFonts w:ascii="宋体" w:hAnsi="宋体"/>
          <w:sz w:val="24"/>
        </w:rPr>
        <w:lastRenderedPageBreak/>
        <w:t>日）投资人可向销售机构查询基金转换的成交情况，并有权转换或赎回该部分基金份额。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基金转换以份额为单位进行申请，申请转换份额精确到小数点后两位，小数点后两位以后的部分四舍五入，误差部分归基金财产。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3、转出与转入基金的申购补差费用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（1）对于注册登记机构为中国证券登记结算有限责任公司的A类基金份额和B类基金份额：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1）前端收费模式下转出与转入基金的申购补差费用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w:t>
      </w:r>
      <w:r>
        <w:rPr>
          <w:rFonts w:ascii="宋体" w:hAnsi="宋体"/>
          <w:sz w:val="24"/>
        </w:rPr>
        <w:lastRenderedPageBreak/>
        <w:t>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2）后端收费模式下转出与转入基金的申购补差费用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（2）对于注册登记机构为交银施罗德基金管理有限公司的C类基金份额和D类基金份额：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申购费用低的基金向申购费用高的基金转换，收取申购补差费用；从申购费用高的基金向申购费用低的基金或不收取申购费用的基金转换，不收取申购补差费用。申购补差费用原则上按照转出确认金额对应的转入基金申购费减去转出基金申购费差额进行计算补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4、网上直销的申购补差费率优惠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5、基金管理人可以根据法律法规及基金合同的规定对上述收费方式和费率进行调整，并应于调整后的收费方式和费率在实施前依照《信息披露办法》的有关规定在中国证监会指定媒介上公告。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1、对于注册登记机构为中国证券登记结算有限责任公司的A类基金份额和B类基金份额：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转出基金的赎回费=转出确认金额×对应的转出基金的赎回费率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转入确认金额=1,020,000-510=1,019,490元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类基金份额100,000份，该100,000份基金份额未结转的待支付收益为61.52元，转换申请当日交银增利A类基金份额净值为1.2700元，交银货币的基金份额净值为1.00元。若该投资者将100,000份交银货币A类基金份额转换为交银增利A类基金份额，则转入确认的交银增利A类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A为货币市场基金转出的基金份额按比例结转的账户当前累计待支付收益（仅限转出基金为货币市场基金的情形，否则A为0）。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A/B，则转入交银货币A/B的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转入基金确认份额=（85,000-170）/1.0500=80,790.48份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类基金份额100,000份，该100,000份基金份额未结转的待支付收益为61.52元，转换申请当日交银增利B类基金份额净值为1.2700元，交银货币的基金份额净值为1.00元。若该投资者将100,000份交银货币A类基金份额转换为交银增利B类基金份额，则转入确认的交银增利B类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2、对于注册登记机构为交银施罗德基金管理有限公司的C类基金份额和D类基金份额：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转出基金申购费用=转入确认金额×转出基金申购费率/（1+转出基金申购费率）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转入基金申购费用=转入确认金额×转入基金申购费率/（1+转入基金申购费率）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转出与转入基金的申购补差费=MAX（0，转入基金申购费用-转出基金申购费用）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例九：某投资者持有交银稳利A类基金份额100,000份，持有期半年，转换申请当日交银稳利的A类基金份额净值为1.0100元，交银现金宝A类基金份额的基金份额</w:t>
      </w:r>
      <w:r>
        <w:rPr>
          <w:rFonts w:ascii="宋体" w:hAnsi="宋体"/>
          <w:sz w:val="24"/>
        </w:rPr>
        <w:lastRenderedPageBreak/>
        <w:t>净值为1.00元。若该投资者将100,000份交银稳利A类基金份额转换为交银现金宝A类基金份额，则转入交银现金宝确认的A类基金份额为：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转入确认金额=101,000-0=101,000元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转出基金申购费用=101,000×0.30%/（1+0.30%）=302.09元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转入基金确认份额=（101,000-0）/1.00=101,000份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十：某投资者持有交银现金宝A类基金份额100,000份，该100,000份基金份额未结转的待支付收益为61.52元，转换申请当日交银现金宝的A类基金份额净值为1.00元，交银稳利的A类基金份额净值为1.0100元。若该投资者将100,000份交银现金宝A类基金份额转换为交银稳利A类基金份额，则转入交银稳利确认的A类基金份额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转出基金申购费用=0元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转入基金申购费用=100,000×0.30%/（1+0.30%）=299.10元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转出与转入基金的申购补差费=299.10-0=299.10元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转入基金确认份额=（100,000-299.10+61.52）/1.0100=98,774.67份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代理的同一基金管理人管理的、在同一注册登记机构处注册登记的基金。投资人办理基金转换业务时，转出方的基金必须处于可赎回状态，转入方的基金必须处于可申购状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货币市场基金、债券基金C类基金份额与其他基金之间的转换不受上述收费模式的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3、基金转换采取未知价法，即基金的转换价格以申请受理当日各转出、转入基金的基金份额净值为基础进行计算。（货币市场基金的基金份额净值为固定价1.00元）。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情形和公告的有关规定一般也适用于暂停基金转换，具体暂停或恢复基金转换的相关业务请详见届时本基金管理人发布的相关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换中转出申请总份额后扣除申购申请总份额及基金转换中转入申请总份额后的余额）超过上一日基金总份额的10%时，即认为发生了巨额赎回。发生巨额赎回时，基金转出与基金赎回具有相同的优先级，基金管理人可根据基金资产组合情况，决定全额转出或部分转出，并且对于基金转出和基金赎回，将采取相同的比例确认；但在转出申请得到部分确认的情况下，未确认部分的转出申请将自动予以撤销，不再视为下一开放日的基金转换申请。</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4" w:name="_Toc231197058"/>
      <w:r>
        <w:rPr>
          <w:rFonts w:ascii="Times New Roman" w:hAnsi="Times New Roman"/>
          <w:sz w:val="30"/>
        </w:rPr>
        <w:lastRenderedPageBreak/>
        <w:t>十一、基金的投资</w:t>
      </w:r>
      <w:bookmarkEnd w:id="14"/>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（一）投资理念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在严格控制流动性风险的前提下，通过合理安排组合期限结构、积极选择投资工具，获取高于业绩比较基准的投资收益。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（二）投资目标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本基金属于货币市场基金，投资目标是在力求本金稳妥和资产充分流动性的前提下，追求超过业绩比较基准的投资收益。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（三）投资范围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2、通知存款；</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3、一年以内（含一年）的银行定期存款、大额存单；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4、剩余期限在397天以内（含397天）的债券；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5、期限在一年以内（含一年）的中央银行票据；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6、期限在一年以内（含一年）的债券回购；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7、剩余期限在397天以内（含397天）的资产支持证券；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8、中国证监会、中国人民银行认可的其他具有良好流动性的货币市场工具。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（四）业绩比较基准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本基金业绩比较基准为六个月银行定期存款利率（税后）。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本基金管理人认为，业绩的选择标准需要合理、透明，为广大投资者所接受。本业绩比较基准是投资者最熟知、最容易获得的低风险收益率。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若未来市场发生变化导致此业绩基准不再适用，基金管理人可根据市场发展状况及本基金的投资范围和投资策略，调整本基金的业绩比较基准。业绩基准的变更须经基金管理人和基金托管人协商一致。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（五）投资策略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1、短期利率水平预期策略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深入分析国家货币政策、短期资金市场利率波动、资本市场资金面的情况和流动性的变化，对短期利率走势形成合理预期，并据此调整基金货币资产的配置策略。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2、收益率曲线分析策略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根据收益率曲线的变化趋势，采取相应的投资管理策略。货币市场收益率曲线的形状反映当时短期利率水平之间的关系，反映市场对较短期限经济状况的判断及对未来短期经济走势的预期。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3、组合剩余期限策略、期限配置策略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对组合资产剩余期限的设计、跟踪、调整，达到保持合理的现金流，锁定组合剩余期限，以满足可能的、突发的现金需求，同时保持组合的稳定收益；特别在债券投资中，根据收益率曲线的情况，投资一定剩余期限的品种， 稳定收益，锁定风险，满足组合目标期限。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4、类别品种配置策略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在保持组合资产相对稳定的条件下，根据各类短期金融工具的市场规模、收益性和流动性，决定各类资产的配置比例；再通过评估各类资产的流动性和收益性利差，确定不同期限类别资产的具体资产配置比例。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5、流动性管理策略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在满足基金投资者申购、赎回的资金需求前提下，通过基金资产安排（包括现金库存、资产变现、剩余期限管理或以其他措施），在保持基金资产高流动性的前提下，确保基金的稳定收益。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6、无风险套利策略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无风险套利策略包括：</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市场套利策略：根据各细分短期金融工具的流动性和收益特征，动态调整基金资产在各个细分市场之间的配置比例。如，当交易所市场回购利率高于银行间市场回购利率时，可增加交易所市场回购的配置比例；另外，还包括一级市场发行定价和二级市场流通成交价之间的无风险套利机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跨品种套利策略：根据各细分市场中不同品种的风险参数、流动性补偿和收益特征，动态调整不同期限结构品种的配置比例。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7、滚动配置策略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具体投资品种的市场特性，采用持续滚动投资的方法，以提高基金资产的整体持续的变现能力。如，对N天期回购协议进行每天等量配置，提高基金资产的流动性；在公开市场操作中，跟随人民银行每周的滚动发行，持续同品种投资，达到剩余期限的直线分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8、信用利差策略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通过对资产支持证券的信用评估，分析预期违约率和违约损失率的变化趋势，评估其信用利差是否合理，并预测其变化趋势，通过其信用质量的改善和信用利差的缩小获利。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本基金采用投资决策委员会下的基金经理负责制。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投资决策委员会负责确定本基金的大类资产配置比例、组合基准剩余期限、回购最高比例等重大投资决策。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基金经理在投资决策委员会确定的投资范围内制定并实施具体的投资策略，向中央交易室下达投资指令。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央交易室设立债券交易员，负责执行投资指令，就指令执行过程中的问题及市场面的变化对指令执行的影响等问题及时向基金经理反馈，并可提出基于市场面的具体建议。中央交易室同时负责各项投资限制的实现监控以及本基金资产与公司其他基金之间的公平交易控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具体的投资管理程序如下：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1、决策依据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（1）国家有关法律、法规和基金合同的有关规定。依法决策是本基金进行投资的前提；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（2）宏观经济发展态势、微观经济运行环境和证券市场走势。这是本基金投资决策的基础；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（3）投资品种的风险—收益特征。在充分权衡投资对象的收益和风险的前提下作出投资决策，是本基金维护投资者利益的重要保障。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2、决策程序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（1）投资部策略分析师、固定收益产品分析师、定量分析师各自独立完成相应的研究报告，为投资策略提供依据；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（2）投资决策委员会每月召开投资策略会议，决定基金的资产配置比例和投资重点等；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（3）投资总监定期召集投资例会，根据投资决策委员会的决定，结合市场和公司基本面的变化，决定具体的投资策略；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（4）基金经理依据策略分析师的宏观经济分析和策略建议、固定收益产品分析师的债券市场研究和券种选择、定量分析师的定量投资策略研究，结合本基金产</w:t>
      </w:r>
      <w:r>
        <w:rPr>
          <w:rFonts w:ascii="宋体" w:hAnsi="宋体"/>
          <w:sz w:val="24"/>
        </w:rPr>
        <w:lastRenderedPageBreak/>
        <w:t>品定位及风险控制的要求，在权限范围内制定具体的投资组合方案；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（5）基金经理根据基金投资组合方案，向中央交易室下达交易指令；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（6）中央交易室执行基金经理的交易指令，对交易情况及时反馈；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（7）定量分析师负责完成有关投资风险监控报告及内部基金业绩评估报告。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投资决策委员会有权根据市场变化和实际情况的需要，对上述投资管理程序作出调整。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（七）投资组合限制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1、本基金不得投资于以下金融工具：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（2）可转换债券；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（3）剩余期限超过397天的债券；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（4）信用等级在AAA级以下的企业债券；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（5）投资于以定期存款利率为基准利率的浮动利率债券，但市场条件发生变化后另有规定的，从其规定；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（6）在有关法律法规允许交易所债券可以采用摊余成本法前，本基金暂不投资于交易所债券；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（7）中国证监会、中国人民银行禁止投资的其他金融工具。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本基金拟投资于主体信用评级低于AA+的商业银行的银行存款与同业存单的，应当经基金管理人董事会审议批准，相关交易应当事先征得基金托管人的同意，并作为重大事项履行信息披露程序。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2、本基金投资组合遵循如下投资限制：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（1）本基金投资组合的平均剩余期限，在每个交易日均不超过180天；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（2）本基金不得与基金管理人的股东进行交易，不得通过交易上的安排人为降低投资组合的平均剩余期限的真实天数；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发生巨额赎回的情形外，本基金的投资组合中，债券正回购的资金余额在每个交易日均不得超过基金资产净值的20%；因发生巨额赎回致使本基金债券正回购的资金余额超过基金资产净值20%的，基金管理人应当在5个交易日内进行调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（4）基金持有的剩余期限不超过397天，但剩余存续期超过397天的浮动利率债券的摊余成本总计不得超过当日基金资产净值的20%；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（5）买断式回购融入基础债券的剩余期限不得超过397天；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（6）存放在具有基金托管资格的同一商业银行的存款，不得超过基金资产净值的30%；存放在不具有基金托管资格的同一商业银行的存款，不得超过基金资产净值的5%；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（7）在全国银行间债券市场债券正回购的资金余额不得超过基金资产净值的40%；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投资于同一公司发行的短期企业债券及短期融资券的比例，合计不得超过基金资产净值的10%；因市场波动、基金规模变动等基金管理人之外的因素致使基金投资不符合上述比例的，基金管理人应当在10个交易日内调整完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（9）本基金投资于定期存款的比例不得超过基金资产净值的30%；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（10）本基金投资于资产支持证券的比例，不得超过该资产支持证券总规模的10%；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（11）本基金持有的同一（指同一信用级别）资产支持证券的比例，不得超过该资产支持证券规模的10%；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（12）本基金投资于同一原始权益人的各类资产支持证券的比例，不得超过基金资产净值的10%；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（13）同一基金管理公司管理的全部证券投资基金投资于同一原始权益人的各类资产支持证券，不得超过其各类资产支持证券合计规模的10%；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（14）本基金持有的全部资产支持证券，其市值不得超过基金资产净值的20%；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（15）本基金管理人管理的全部货币市场基金投资于同一商业银行的银行存款及其发行的同业存单与债券，不得超过该商业银行最近一个季度末净资产的10%；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当本基金前10名份额持有人的持有份额合计超过基金总份额的50%时，本基金投资组合的平均剩余期限不得超过60天，平均剩余存续期不得超过120天；投资组合中现金、国债、中央银行票据、政策性金融债券以及5个交易日内到期的其他金融工具占基金资产净值的比例合计不得低于30%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当本基金前10名份额持有人的持有份额合计超过基金总份额的20%时，本基金投资组合的平均剩余期限不得超过90天，平均剩余存续期不得超过180天；投资组合中现金、国债、中央银行票据、政策性金融债券以及5个交易日内到期的其他金融工具占基金资产净值的比例合计不得低于20%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18）本基金投资于主体信用评级低于AAA的机构发行的金融工具占基金资产净值的比例合计不得超过10%，其中单一机构发行的金融工具占基金资产净值的比例合计不得超过2%；前述金融工具包括债券、非金融企业债务融资工具、银行存款、同业存单、相关机构作为原始权益人的资产支持证券及中国证监会认定的其他品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主动投资于流动性受限资产的市值合计不得超过基金资产净值的10%；因证券市场波动、基金规模变动等基金管理人之外的因素致使基金不符合前款所规定比例限制的，基金管理人不得主动新增流动性受限资产的投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（20）本基金与私募类证券资管产品及中国证监会认定的其他主体为交易对手开展逆回购交易的，可接受质押品的资质要求应当与本基金合同约定的投资范围保持一致；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（21）中国证监会、中国人民银行规定的其他比例限制。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除上述第（19）项、第（20）项外，因基金规模或市场变化导致投资组合超过以上比例限制的，基金管理人应在10个交易日内进行调整，以达到上述标准。法律法规和监管机关另有规定时，从其规定。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3、本基金投资的短期融资券的信用评级，应不低于以下标准：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（1）国内信用评级机构评定的A-1级或相当于A-1级的短期信用级别；</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（2）根据有关规定予以豁免信用评级的短期融资券，其发行人最近三年的信用评级和跟踪评级具备下列条件之一：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①国内信用评级机构评定的AAA级或相当于AAA级的长期信用级别；</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②国际信用评级机构评定的低于中国主权评级一个级别的信用级别（例如，若中国主权评级为A-级，则低于中国主权评级一个级别的为BBB+级）；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同一发行人同时具有国内信用评级和国际信用评级的，以国内信用级别为准。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本基金持有短期融资券期间，如果其信用等级下降、不再符合投资标准，应在评级报告发布之日起20个交易日内予以全部减持。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4、本基金投资的资产支持证券须具有评级资质的资信评级机构进行持续信用评级，且应不低于国内信用评级机构评定的AAA级或相当于AAA级的信用级别。　　本基金持有资产支持证券期间，如果其信用等级下降、不再符合投资标准，应在评级报告发布之日起3个月内予以全部卖出。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5、禁止行为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为维护基金份额持有人的合法权益，本基金禁止从事下列行为：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（2）将基金财产用于向他人贷款或者提供担保；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（3）从事可能使基金承担无限责任的投资；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（4）买卖其他基金份额，但国务院另有规定的除外；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（5）向基金管理人、基金托管人出资或者买卖基金托管人、基金管理人发行的股票或债券；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（6）买卖与基金管理人、基金托管人有控股关系的股东或者与基金管理人、基金托管人有其他重大利害关系的公司发行的证券或承销期内承销的证券；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（7）从事内幕交易、操纵证券交易价格及其他不正当的证券交易活动；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（8）法律法规、中国证监会及基金合同规定禁止的其他活动。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对上述事项，法律法规另有规定时从其规定。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如果法律法规和相关规定发生变动，基金管理人有权依据新的规定相应修改本第（七）部分“投资组合限制”中的相关条款，并依法在指定媒介公告，但不需要召开基金份额持有人大会。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（八）各种资产和负债的剩余期限的确定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1、平均剩余期限的计算公式如下：</w:t>
      </w:r>
    </w:p>
    <w:p w:rsidR="00934076" w:rsidRDefault="0097071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39pt">
            <v:imagedata r:id="rId15" o:title="1521256610242020828"/>
          </v:shape>
        </w:pic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投资于金融工具产生的资产包括现金类资产（含银行存款、清算备付金、交易保证金、证券清算款、买断式回购履约金）、一年以内（含一年）的银行定期存款、大额存单、剩余期限在397天以内（含397天）的债券、期限在一年以内（含一年）的逆回购、期限在一年以内（含一年）的中央银行票据、买断式回购产生的待回购债券、剩余期限在397天以内（含397天）的资产支持证券，以及中国证监会、中国人民银行认可的其他具有良好流动性的货币市场工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投资于金融工具产生的负债包括期限在一年以内（含一年）的正回购、买断式回购产生的待返售债券等。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采用“摊余成本法”计算的附息债券成本包括债券的面值和折溢价；贴现债券成本包括债券投资成本和内在应收利息。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2、各类资产和负债剩余期限的确定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（1）银行存款、清算备付金、交易保证金的剩余期限为0天；证券清算款的剩余期限以计算日至交收日的剩余交易日天数计算；买断式回购履约金的剩余期限以计算日至协议到期日的实际剩余天数计算。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（2）一年以内（含一年）银行定期存款、通知存款、大额存单的剩余期限以计算日至协议到期日的实际剩余天数计算。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（3）组合中债券的剩余期限是指计算日至债券到期日为止所剩余的天数，以下情况除外：允许投资的浮动利率债券的剩余期限以计算日至下一个利率调整日的实际剩余天数计算。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（4）回购（包括正回购和逆回购）的剩余期限以计算日至回购协议到期日的实际剩余天数计算。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（5）中央银行票据的剩余期限以计算日至中央银行票据到期日的实际剩余天数计算。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（6）买断式回购产生的待回购债券的剩余期限为该基础债券的剩余期限。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（7）买断式回购产生的待返售债券的剩余期限以计算日至回购协议到期日的实际剩余天数计算。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（8）短期融资券的剩余期限以计算日至短期融资券到期日所剩余的天数计算。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（9）组合中资产支持证券的剩余期限是指计算日距法定最终到期日所剩余的天数，以下情况除外：允许投资的浮动利率资产支持证券的剩余期限以计算日至下一个利率调整日的实际剩余天数计算。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（10）其他情况根据法律法规或中国证监会的规定确定。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（九）投资组合比例调整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约定。因证券市场波动、基金规模变动等基金管理人之外的因素致使基金投资不符合基金合同约定的投资比例规定的，基金管理人应当在10个交易日内进行调整。法律法规另有规定的，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（十）风险收益特征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货币市场基金是具有较低风险、中低收益、流动性强的证券投资基金品种。根据2017年7月1日施行的《证券期货投资者适当性管理办法》，基金管理人和销售机构已对本基金重新进行风险评级。风险评级行为不改变本基金的实质性风险收益</w:t>
      </w:r>
      <w:r>
        <w:rPr>
          <w:rFonts w:ascii="宋体" w:hAnsi="宋体"/>
          <w:sz w:val="24"/>
        </w:rPr>
        <w:lastRenderedPageBreak/>
        <w:t>特征。但由于风险等级分类标准的变化，本基金的风险等级表述可能有相应变化，具体风险评级结果应以基金管理人和销售机构提供的评级结果为准。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（十一）基金管理人代表基金行使债权人权利的处理原则及方法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1、基金管理人按照国家有关规定代表基金独立行使债权人或其他权利人的权利，保护基金份额持有人的利益；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2、有利于基金财产的安全与增值；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3、不通过关联交易为自身、雇员、授权代理人或任何存在利害关系的第三人牟取任何不当利益。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（十二）基金投资组合报告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本基金托管人中国农业银行根据本基金合同规定，于2026年04月20日复核了本报告中的财务指标、净值表现和投资组合报告等内容，保证复核内容不存在虚假记载、误导性陈述或者重大遗漏。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本投资组合报告期为2026年01月01日起至03月31日，所载财务数据未经审计师审计。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956,868,367.47</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57.35</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956,868,367.47</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57.35</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250,065,611.37</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14.99</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934076">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442,028,835.30</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26.49</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19,472,752.37</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1.17</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1,668,435,566.51</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2、报告期债券回购融资情况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400" w:type="pct"/>
            <w:gridSpan w:val="2"/>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报告期内债券回购融资余额</w:t>
            </w:r>
          </w:p>
        </w:tc>
        <w:tc>
          <w:tcPr>
            <w:tcW w:w="400" w:type="pct"/>
            <w:gridSpan w:val="2"/>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7.18</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934076">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400" w:type="pct"/>
            <w:gridSpan w:val="2"/>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序号</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报告期末债券回购融资余额</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173,008,964.46</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934076">
            <w:pPr>
              <w:widowControl/>
              <w:snapToGrid w:val="0"/>
              <w:jc w:val="left"/>
              <w:rPr>
                <w:rFonts w:ascii="宋体" w:hAnsi="宋体"/>
                <w:color w:val="000000"/>
                <w:kern w:val="0"/>
                <w:sz w:val="25"/>
                <w:szCs w:val="24"/>
              </w:rPr>
            </w:pP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其中：买断式回购融资</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注：报告期内债券回购融资余额占基金资产净值的比例为报告期内每个银行间市场交易日融资余额占资产净值比例的简单平均值。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债券正回购的资金余额超过基金资产净值的20%的说明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3、基金投资组合平均剩余期限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投资组合平均剩余期限基本情况</w:t>
      </w:r>
    </w:p>
    <w:tbl>
      <w:tblPr>
        <w:tblW w:w="5000" w:type="pct"/>
        <w:tblCellMar>
          <w:left w:w="0" w:type="dxa"/>
          <w:right w:w="0" w:type="dxa"/>
        </w:tblCellMar>
        <w:tblLook w:val="0000" w:firstRow="0" w:lastRow="0" w:firstColumn="0" w:lastColumn="0" w:noHBand="0" w:noVBand="0"/>
      </w:tblPr>
      <w:tblGrid>
        <w:gridCol w:w="2167"/>
        <w:gridCol w:w="6503"/>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天数</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报告期末投资组合平均剩余期限</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114</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报告期内投资组合平均剩余期限最高值</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118</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报告期内投资组合平均剩余期限最低值</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102</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报告期内投资组合平均剩余期限超过120天情况说明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本基金本报告期内投资组合平均剩余期限未超过120天。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 报告期末投资组合平均剩余期限分布比例</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平均剩余期限</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各期限资产占基金资产净值的比例（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各期限负债占基金资产净值的比例（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32.95</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2.01</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天（含）</w:t>
            </w:r>
            <w:r>
              <w:rPr>
                <w:rFonts w:ascii="Times New Roman" w:hAnsi="Times New Roman"/>
                <w:color w:val="000000"/>
                <w:kern w:val="0"/>
                <w:sz w:val="25"/>
                <w:szCs w:val="24"/>
              </w:rPr>
              <w:t>—60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11.41</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2.01</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60</w:t>
            </w:r>
            <w:r>
              <w:rPr>
                <w:rFonts w:ascii="Times New Roman" w:hAnsi="Times New Roman"/>
                <w:color w:val="000000"/>
                <w:kern w:val="0"/>
                <w:sz w:val="25"/>
                <w:szCs w:val="24"/>
              </w:rPr>
              <w:t>天（含）</w:t>
            </w:r>
            <w:r>
              <w:rPr>
                <w:rFonts w:ascii="Times New Roman" w:hAnsi="Times New Roman"/>
                <w:color w:val="000000"/>
                <w:kern w:val="0"/>
                <w:sz w:val="25"/>
                <w:szCs w:val="24"/>
              </w:rPr>
              <w:t>—90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11.40</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0.67</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90</w:t>
            </w:r>
            <w:r>
              <w:rPr>
                <w:rFonts w:ascii="Times New Roman" w:hAnsi="Times New Roman"/>
                <w:color w:val="000000"/>
                <w:kern w:val="0"/>
                <w:sz w:val="25"/>
                <w:szCs w:val="24"/>
              </w:rPr>
              <w:t>天（含）</w:t>
            </w:r>
            <w:r>
              <w:rPr>
                <w:rFonts w:ascii="Times New Roman" w:hAnsi="Times New Roman"/>
                <w:color w:val="000000"/>
                <w:kern w:val="0"/>
                <w:sz w:val="25"/>
                <w:szCs w:val="24"/>
              </w:rPr>
              <w:t>—120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4.69</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120</w:t>
            </w:r>
            <w:r>
              <w:rPr>
                <w:rFonts w:ascii="Times New Roman" w:hAnsi="Times New Roman"/>
                <w:color w:val="000000"/>
                <w:kern w:val="0"/>
                <w:sz w:val="25"/>
                <w:szCs w:val="24"/>
              </w:rPr>
              <w:t>天（含）</w:t>
            </w:r>
            <w:r>
              <w:rPr>
                <w:rFonts w:ascii="Times New Roman" w:hAnsi="Times New Roman"/>
                <w:color w:val="000000"/>
                <w:kern w:val="0"/>
                <w:sz w:val="25"/>
                <w:szCs w:val="24"/>
              </w:rPr>
              <w:t>—397</w:t>
            </w:r>
            <w:r>
              <w:rPr>
                <w:rFonts w:ascii="Times New Roman" w:hAnsi="Times New Roman"/>
                <w:color w:val="000000"/>
                <w:kern w:val="0"/>
                <w:sz w:val="25"/>
                <w:szCs w:val="24"/>
              </w:rPr>
              <w:t>天（含）</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50.14</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gridSpan w:val="2"/>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110.59</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11.63</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报告期内投资组合平均剩余存续期超过240天情况说明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本基金本报告期内投资组合平均剩余存续期限未超过240天。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181,399,341.87</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12.19</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140,864,527.60</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9.47</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40,187,050.01</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2.70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10,195,227.33</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0.69</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725,086,748.26</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48.73</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956,868,367.47</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64.30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剩余存续期超过</w:t>
            </w:r>
            <w:r>
              <w:rPr>
                <w:rFonts w:ascii="Times New Roman" w:hAnsi="Times New Roman"/>
                <w:color w:val="000000"/>
                <w:kern w:val="0"/>
                <w:sz w:val="25"/>
                <w:szCs w:val="24"/>
              </w:rPr>
              <w:t>397</w:t>
            </w:r>
            <w:r>
              <w:rPr>
                <w:rFonts w:ascii="Times New Roman" w:hAnsi="Times New Roman"/>
                <w:color w:val="000000"/>
                <w:kern w:val="0"/>
                <w:sz w:val="25"/>
                <w:szCs w:val="24"/>
              </w:rPr>
              <w:t>天的浮动利率债券</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69,787,860.81</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4.69</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6、报告期末按摊余成本占基金资产净值比例大小排名的前十名债券投资明细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摊余成本（元）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240204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24</w:t>
            </w:r>
            <w:r>
              <w:rPr>
                <w:rFonts w:ascii="Times New Roman" w:hAnsi="Times New Roman"/>
                <w:color w:val="000000"/>
                <w:kern w:val="0"/>
                <w:sz w:val="25"/>
                <w:szCs w:val="24"/>
              </w:rPr>
              <w:t>国开</w:t>
            </w:r>
            <w:r>
              <w:rPr>
                <w:rFonts w:ascii="Times New Roman" w:hAnsi="Times New Roman"/>
                <w:color w:val="000000"/>
                <w:kern w:val="0"/>
                <w:sz w:val="25"/>
                <w:szCs w:val="24"/>
              </w:rPr>
              <w:t>04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30,301,954.52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2.04</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29,938,616.11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2.01</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112692032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天津农村商业银行</w:t>
            </w:r>
            <w:r>
              <w:rPr>
                <w:rFonts w:ascii="Times New Roman" w:hAnsi="Times New Roman"/>
                <w:color w:val="000000"/>
                <w:kern w:val="0"/>
                <w:sz w:val="25"/>
                <w:szCs w:val="24"/>
              </w:rPr>
              <w:t>CD033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29,678,241.18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112693699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中原银行</w:t>
            </w:r>
            <w:r>
              <w:rPr>
                <w:rFonts w:ascii="Times New Roman" w:hAnsi="Times New Roman"/>
                <w:color w:val="000000"/>
                <w:kern w:val="0"/>
                <w:sz w:val="25"/>
                <w:szCs w:val="24"/>
              </w:rPr>
              <w:t>CD037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29,659,490.27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112693734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26</w:t>
            </w:r>
            <w:r>
              <w:rPr>
                <w:rFonts w:ascii="Times New Roman" w:hAnsi="Times New Roman"/>
                <w:color w:val="000000"/>
                <w:kern w:val="0"/>
                <w:sz w:val="25"/>
                <w:szCs w:val="24"/>
              </w:rPr>
              <w:t>齐鲁银行</w:t>
            </w:r>
            <w:r>
              <w:rPr>
                <w:rFonts w:ascii="Times New Roman" w:hAnsi="Times New Roman"/>
                <w:color w:val="000000"/>
                <w:kern w:val="0"/>
                <w:sz w:val="25"/>
                <w:szCs w:val="24"/>
              </w:rPr>
              <w:t>CD032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29,658,388.25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1.99</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250421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农发</w:t>
            </w:r>
            <w:r>
              <w:rPr>
                <w:rFonts w:ascii="Times New Roman" w:hAnsi="Times New Roman"/>
                <w:color w:val="000000"/>
                <w:kern w:val="0"/>
                <w:sz w:val="25"/>
                <w:szCs w:val="24"/>
              </w:rPr>
              <w:t>21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20,237,387.49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1.36</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112584162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汉口银行</w:t>
            </w:r>
            <w:r>
              <w:rPr>
                <w:rFonts w:ascii="Times New Roman" w:hAnsi="Times New Roman"/>
                <w:color w:val="000000"/>
                <w:kern w:val="0"/>
                <w:sz w:val="25"/>
                <w:szCs w:val="24"/>
              </w:rPr>
              <w:t>CD162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19,975,757.71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112584334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浙江杭州余杭农商行</w:t>
            </w:r>
            <w:r>
              <w:rPr>
                <w:rFonts w:ascii="Times New Roman" w:hAnsi="Times New Roman"/>
                <w:color w:val="000000"/>
                <w:kern w:val="0"/>
                <w:sz w:val="25"/>
                <w:szCs w:val="24"/>
              </w:rPr>
              <w:t>CD016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19,973,894.14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112581714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郑州银行</w:t>
            </w:r>
            <w:r>
              <w:rPr>
                <w:rFonts w:ascii="Times New Roman" w:hAnsi="Times New Roman"/>
                <w:color w:val="000000"/>
                <w:kern w:val="0"/>
                <w:sz w:val="25"/>
                <w:szCs w:val="24"/>
              </w:rPr>
              <w:t>CD157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19,947,310.18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112505267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建设银行</w:t>
            </w:r>
            <w:r>
              <w:rPr>
                <w:rFonts w:ascii="Times New Roman" w:hAnsi="Times New Roman"/>
                <w:color w:val="000000"/>
                <w:kern w:val="0"/>
                <w:sz w:val="25"/>
                <w:szCs w:val="24"/>
              </w:rPr>
              <w:t>CD267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200,000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19,926,420.75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1.34</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“影子定价”与“摊余成本法”确定的基金资产净值的偏离</w:t>
      </w:r>
    </w:p>
    <w:tbl>
      <w:tblPr>
        <w:tblW w:w="5000" w:type="pct"/>
        <w:tblCellMar>
          <w:left w:w="0" w:type="dxa"/>
          <w:right w:w="0" w:type="dxa"/>
        </w:tblCellMar>
        <w:tblLook w:val="0000" w:firstRow="0" w:lastRow="0" w:firstColumn="0" w:lastColumn="0" w:noHBand="0" w:noVBand="0"/>
      </w:tblPr>
      <w:tblGrid>
        <w:gridCol w:w="2167"/>
        <w:gridCol w:w="6503"/>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偏离情况</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报告期内偏离度的绝对值在</w:t>
            </w:r>
            <w:r>
              <w:rPr>
                <w:rFonts w:ascii="Times New Roman" w:hAnsi="Times New Roman"/>
                <w:color w:val="000000"/>
                <w:kern w:val="0"/>
                <w:sz w:val="25"/>
                <w:szCs w:val="24"/>
              </w:rPr>
              <w:t>0.25</w:t>
            </w:r>
            <w:r>
              <w:rPr>
                <w:rFonts w:ascii="Times New Roman" w:hAnsi="Times New Roman"/>
                <w:color w:val="000000"/>
                <w:kern w:val="0"/>
                <w:sz w:val="25"/>
                <w:szCs w:val="24"/>
              </w:rPr>
              <w:t>（含）</w:t>
            </w:r>
            <w:r>
              <w:rPr>
                <w:rFonts w:ascii="Times New Roman" w:hAnsi="Times New Roman"/>
                <w:color w:val="000000"/>
                <w:kern w:val="0"/>
                <w:sz w:val="25"/>
                <w:szCs w:val="24"/>
              </w:rPr>
              <w:t>-0.5%</w:t>
            </w:r>
            <w:r>
              <w:rPr>
                <w:rFonts w:ascii="Times New Roman" w:hAnsi="Times New Roman"/>
                <w:color w:val="000000"/>
                <w:kern w:val="0"/>
                <w:sz w:val="25"/>
                <w:szCs w:val="24"/>
              </w:rPr>
              <w:t>间的次数</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报告期内偏离度的最高值</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0.0536%</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报告期内偏离度的最低值</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0.0182%</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报告期内每个工作日偏离度的绝对值的简单平均值</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0.0321%</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报告期内负偏离度的绝对值达到0.25%情况说明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报告期内正偏离度的绝对值达到0.5%情况说明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8、报告期末按摊余成本占基金资产净值比例大小排名的前十名资产支持证券投资明细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9、投资组合报告附注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基金计价方法说明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本基金采用摊余成本法计价，即计价对象以买入成本列示，按票面利率或商定利率并考虑其买入时的溢价与折价，在其剩余期限内按照实际利率和摊余成本逐日摊销计算损益。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本基金投资的前十名证券的发行主体本期是否出现被监管部门立案调查，或在报告编制日前一年内受到公开谴责、处罚的情形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2026年02月14日,央行公示银罚决字[2026]5号行政处罚决定书,给予中国建设银行股份有限公司罚没共计4350.6076万元人民币的行政处罚。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2026年01月28日,国家外汇管理局河南省分局公示豫汇检罚[2026]1号行政处罚决定书,给予郑州银行股份有限公司罚没共计100.59万元人民币的行政处罚。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2025年09月12日,国家金融监督管理总局公示行政处罚决定书,给予中国建设银行股份有限公司290万元人民币的行政处罚。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2025年08月15日,央行河南省分行公示豫银罚决字[2025]22号行政处罚决定书,给予郑州银行股份有限公司61.9万元人民币的行政处罚。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2025年08月01日,国家金融监督管理总局公示行政处罚决定书,给予中国农业发展银行1020万元人民币的行政处罚。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2025年07月09日,央行湖北省分行公示鄂银罚决字[2025]5号行政处罚决定书,给予汉口银行股份有限公司123万元人民币的行政处罚。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2025年05月22日,央行浙江省分行公示浙银罚决字[2025]34号行政处罚决定书,给予浙江杭州余杭农村商业银行股份有限公司罚没共计183.802万元人民币的行政处罚。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2025年04月15日,央行天津市分行公示津银罚决字[2025]2号行政处罚决定书,给予天津农村商业银行股份有限公司100万元人民币的行政处罚。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除上述主体外，本基金投资的前十名证券的其他发行主体本期没有出现被监管部门立案调查，或在报告编制日前一年内受到公开谴责、处罚的情形。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19,472,752.37</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right"/>
              <w:rPr>
                <w:rFonts w:ascii="宋体" w:hAnsi="宋体"/>
                <w:color w:val="000000"/>
                <w:kern w:val="0"/>
                <w:sz w:val="25"/>
                <w:szCs w:val="24"/>
              </w:rPr>
            </w:pPr>
            <w:r>
              <w:rPr>
                <w:rFonts w:ascii="Times New Roman" w:hAnsi="Times New Roman"/>
                <w:color w:val="000000"/>
                <w:kern w:val="0"/>
                <w:sz w:val="25"/>
                <w:szCs w:val="24"/>
              </w:rPr>
              <w:t>19,472,752.37</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9.4 投资组合报告附注的其他文字描述部分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5" w:name="_Toc231197059"/>
      <w:r>
        <w:rPr>
          <w:rFonts w:ascii="Times New Roman" w:hAnsi="Times New Roman"/>
          <w:sz w:val="30"/>
        </w:rPr>
        <w:lastRenderedPageBreak/>
        <w:t>十二、基金的业绩</w:t>
      </w:r>
      <w:bookmarkEnd w:id="15"/>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（一）基金份额净值收益率及其与同期业绩比较基准收益率的比较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（1）交银货币A</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0.2964%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0.3205%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-0.0241%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1.3451%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0.0451%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1.7257%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1.3036%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0.4221%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1.9280%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0.6280%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1.8415%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0.5415%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2.0843%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0.7843%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1.7473%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1.3036%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0.4437%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2.1564%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0.8564%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2.9844%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1.6844%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3.3324%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2.0324%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0.0020%</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2.4728%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1.3036%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1.1692%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3.1470%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0.0045%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1.9164%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1.2306%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0.0033%</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4.4725%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0.0055%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2.7726%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1.6999%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0.0053%</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3.5646%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2.8000%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0.7646%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0.0034%</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3.7384%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3.0447%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0.6937%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0.0023%</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3.2554%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3.0748%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0.1806%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0.0029%</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1.5968%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2.0289%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-0.4321%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0.0020%</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1.3396%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0.0049%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1.9800%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-0.6404%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0.0049%</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2008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3.3151%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0.0083%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3.4340%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-0.1189%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0.0072%</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2007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3.2219%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0.0063%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2.4441%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0.7778%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0.0046%</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2006</w:t>
            </w:r>
            <w:r>
              <w:rPr>
                <w:rFonts w:ascii="Times New Roman" w:hAnsi="Times New Roman"/>
                <w:color w:val="000000"/>
                <w:kern w:val="0"/>
                <w:sz w:val="25"/>
                <w:szCs w:val="24"/>
              </w:rPr>
              <w:t>年度（自基金合同生效日至</w:t>
            </w:r>
            <w:r>
              <w:rPr>
                <w:rFonts w:ascii="Times New Roman" w:hAnsi="Times New Roman"/>
                <w:color w:val="000000"/>
                <w:kern w:val="0"/>
                <w:sz w:val="25"/>
                <w:szCs w:val="24"/>
              </w:rPr>
              <w:t>2006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1.6718%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1.6231%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0.0487%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0.0020%</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（2）交银货币B</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②-④</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0.3558%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0.3205%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0.0353%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1.5884%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0.2884%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1.9698%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1.3036%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0.6662%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2.1726%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0.8726%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2.0855%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0.7855%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2.3292%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1.0292%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0.0006%</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1.9914%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1.3036%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0.6878%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0.0010%</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2.4016%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1.1016%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3.2314%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1.9314%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0.0032%</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3.5804%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2.2804%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0.0020%</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2.7187%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1.3036%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1.4151%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3.3943%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0.0045%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1.9164%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1.4779%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0.0033%</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4.7230%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0.0055%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2.7726%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1.9504%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0.0053%</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3.8128%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2.8000%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1.0128%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0.0034%</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3.9871%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3.0447%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0.9424%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0.0023%</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3.5014%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0.0036%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3.0748%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0.4266%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0.0029%</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2010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1.8421%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2.0289%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-0.1868%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0.0020%</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2009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1.5829%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0.0048%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1.9800%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-0.3971%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0.0048%</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2008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3.5615%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0.0083%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3.4340%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0.1275%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0.0072%</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2007</w:t>
            </w:r>
            <w:r>
              <w:rPr>
                <w:rFonts w:ascii="Times New Roman" w:hAnsi="Times New Roman"/>
                <w:color w:val="000000"/>
                <w:kern w:val="0"/>
                <w:sz w:val="25"/>
                <w:szCs w:val="24"/>
              </w:rPr>
              <w:t>年度（自基金分级日起至</w:t>
            </w:r>
            <w:r>
              <w:rPr>
                <w:rFonts w:ascii="Times New Roman" w:hAnsi="Times New Roman"/>
                <w:color w:val="000000"/>
                <w:kern w:val="0"/>
                <w:sz w:val="25"/>
                <w:szCs w:val="24"/>
              </w:rPr>
              <w:t>2007</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2.1597%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0.0080%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1.5446%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0.6151%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0.0067%</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（3）交银货币C</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0.2965%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0.3205%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-0.0240%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1.3449%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0.0449%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2024</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1.2280%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0.9901%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0.2379%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（4）交银货币D</w:t>
      </w:r>
    </w:p>
    <w:tbl>
      <w:tblPr>
        <w:tblW w:w="5000" w:type="pct"/>
        <w:tblCellMar>
          <w:left w:w="0" w:type="dxa"/>
          <w:right w:w="0" w:type="dxa"/>
        </w:tblCellMar>
        <w:tblLook w:val="0000" w:firstRow="0" w:lastRow="0" w:firstColumn="0" w:lastColumn="0" w:noHBand="0" w:noVBand="0"/>
      </w:tblPr>
      <w:tblGrid>
        <w:gridCol w:w="1294"/>
        <w:gridCol w:w="1294"/>
        <w:gridCol w:w="1294"/>
        <w:gridCol w:w="1294"/>
        <w:gridCol w:w="1294"/>
        <w:gridCol w:w="1294"/>
        <w:gridCol w:w="906"/>
      </w:tblGrid>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净值收益率标准差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0.3553%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0.3205%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0.0348%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0.0012%</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1.5862%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0.2862%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0.0015%</w:t>
            </w:r>
          </w:p>
        </w:tc>
      </w:tr>
      <w:tr w:rsidR="00934076">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年度（自基金份额类别首次确认起至</w:t>
            </w:r>
            <w:r>
              <w:rPr>
                <w:rFonts w:ascii="Times New Roman" w:hAnsi="Times New Roman"/>
                <w:color w:val="000000"/>
                <w:kern w:val="0"/>
                <w:sz w:val="25"/>
                <w:szCs w:val="24"/>
              </w:rPr>
              <w:t>2024</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1.5533%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1.0721%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0.0000%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0.4812%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0.0014%</w:t>
            </w:r>
          </w:p>
        </w:tc>
      </w:tr>
    </w:tbl>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根据《交银施罗德基金管理有限公司关于交银施罗德货币市场证券投资基金修订基金合同等法律文件的公告》，本基金自2023年9月22日起正式调整收益分配原则，由“每日分配，按月支付”调整为“每日分配，按日支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2、本基金的业绩比较基准为六个月银行定期存款利率（税后）。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（二）自基金合同生效以来基金份额累计净值收益率变动及其与同期业绩比较基准收益率变动的比较</w:t>
      </w:r>
    </w:p>
    <w:p w:rsidR="00934076" w:rsidRDefault="00C2340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交银施罗德货币市场证券投资基金</w:t>
      </w:r>
    </w:p>
    <w:p w:rsidR="00934076" w:rsidRDefault="00C2340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份额累计净值收益率与业绩比较基准收益率历史走势对比图</w:t>
      </w:r>
    </w:p>
    <w:p w:rsidR="00934076" w:rsidRDefault="00C23400">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（2006年1月20日至2026年03月31日）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1、交银货币A</w:t>
      </w:r>
    </w:p>
    <w:p w:rsidR="00934076" w:rsidRDefault="0097071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2、交银货币B</w:t>
      </w:r>
    </w:p>
    <w:p w:rsidR="00934076" w:rsidRDefault="0097071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7" type="#_x0000_t75" style="width:439.5pt;height:268.5pt">
            <v:imagedata r:id="rId17" o:title="1521256610242020828"/>
          </v:shape>
        </w:pic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3、交银货币C</w:t>
      </w:r>
    </w:p>
    <w:p w:rsidR="00934076" w:rsidRDefault="0097071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8" type="#_x0000_t75" style="width:439.5pt;height:268.5pt">
            <v:imagedata r:id="rId18" o:title="1521256610242020828"/>
          </v:shape>
        </w:pic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4、交银货币D</w:t>
      </w:r>
    </w:p>
    <w:p w:rsidR="00934076" w:rsidRDefault="0097071F">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 id="_x0000_i1029" type="#_x0000_t75" style="width:439.5pt;height:268.5pt">
            <v:imagedata r:id="rId19" o:title="1521256610242020828"/>
          </v:shape>
        </w:pic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注：1、本基金建仓期为自基金合同生效日起的6个月。截至建仓期结束，本基金各项资产配置比例符合基金合同及招募说明书有关投资比例的约定。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2、本基金自2024年3月5日起，开始销售C类份额，投资者提交的申购申请于2024年3月29日被确认并将有效份额登记在册。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3、本基金自2024年3月5日起，开始销售D类份额，投资者提交的申购申请于</w:t>
      </w:r>
      <w:r>
        <w:rPr>
          <w:rFonts w:ascii="宋体" w:hAnsi="宋体"/>
          <w:sz w:val="24"/>
        </w:rPr>
        <w:lastRenderedPageBreak/>
        <w:t>2024年3月6日被确认并将有效份额登记在册。</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6" w:name="_Toc231197060"/>
      <w:r>
        <w:rPr>
          <w:rFonts w:ascii="Times New Roman" w:hAnsi="Times New Roman"/>
          <w:sz w:val="30"/>
        </w:rPr>
        <w:lastRenderedPageBreak/>
        <w:t>十三、基金的财产</w:t>
      </w:r>
      <w:bookmarkEnd w:id="16"/>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（一）基金资产的总值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基金资产总值是指购买的各类证券及票据价值、银行存款本息和基金应收的申购基金款以及其他投资所形成的价值总和。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基金资产净值是指基金资产总值扣除基金负债后的价值。其构成主要有：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1、基金份额持有人申购基金份额所支付的款项；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2、运用基金财产所获得收益（亏损）；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3、以前年度实现的尚未分配的收益或尚未弥补的亏损。</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基金托管人的名义开立资金结算账户和托管专户用于基金的资金结算业务，并以基金托管人和“交银施罗德货币市场证券投资基金”联名的方式开立基金证券账户、以“交银施罗德货币市场证券投资基金”的名义开立银行间债券托管账户并报中国人民银行备案。开立的基金专用账户与基金管理人、基金托管人、基金代销机构和基金注册登记机构自有的财产账户以及其他基金财产账户相独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（四）基金财产的保管与处分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1、基金财产应独立于基金管理人、基金托管人的固有财产。基金管理人、基金托管人不得将基金财产归入其固有财产。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2、基金管理人、基金托管人因基金财产的管理、运用或者其他情形而取得的财产和收益，归入基金财产。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3、基金管理人、基金托管人因依法解散、被依法撤销或者被依法宣告破产等原因进行清算的，基金财产不属于其清算财产。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4、基金财产的债权，不得与基金管理人、基金托管人固有财产的债务相抵销；不同基金财产的债权债务，不得相互抵销。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5、非因基金财产本身承担的债务，不得对基金财产强制执行。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6、基金管理人、基金托管人可以按基金合同的规定，收取管理费、托管费及其他费用。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7、除依法律法规和基金合同的规定处分外，基金财产不得被处分。</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7" w:name="_Toc231197061"/>
      <w:r>
        <w:rPr>
          <w:rFonts w:ascii="Times New Roman" w:hAnsi="Times New Roman"/>
          <w:sz w:val="30"/>
        </w:rPr>
        <w:lastRenderedPageBreak/>
        <w:t>十四、基金资产的估值</w:t>
      </w:r>
      <w:bookmarkEnd w:id="17"/>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（一）估值目的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基金资产估值的目的是客观、准确地反映基金财产的价值，依据经基金资产估值后确定的基金资产净值计算出的基金份额收益。本基金采用固定份额净值，基金账面份额净值始终保持为1.00元。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本基金的估值日为相关的证券交易场所的正常营业日以及国家法律法规规定需要对外披露基金净值的非营业日。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1、本基金目前投资工具的估值方法如下：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（1）基金持有的银行存款以本金列示，按银行实际协议利率逐日计提利息；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（2）基金持有的回购协议（封闭式回购）以成本列示，按实际利率在实际持有期间内逐日计提利息，合同利率与实际利率差异较小的，也可采用合同利率计算确定利息收入；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（3）基金持有的附息债券、贴现券购买时采用实际支付价款（包含交易费用）确定初始成本，每日按摊余成本和实际利率计算确定利息收入；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持有的买断式回购以协议成本列示，所产生的利息在实际持有期间内逐日计提。回购期间对涉及的金融资产根据其资产的性质进行相应的估值。回购期满时，若双方都能履约，则按协议进行交割。若融资业务到期无法履约，则继续持有现金资产，实际持有的相关资产按其性质进行估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（5）基金持有的资产支持证券视同债券，购买时采用实际支付价款（包含交易费用）确定初始成本，每日按摊余成本和实际利率计算确定利息收入。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有确凿证据表明按上述方法进行估值不能客观反映其公允价值的，基金管理人可根据具体情况与基金托管人商定后，按最能反映公允价值的价格估值。即使存在上述情况，基金管理人若采用上述(1)-(5)规定的方法为基金财产进行了估值，仍应被认为采用了适当的估值方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货币市场基金存续期间，基金管理人应定期计算货币市场基金投资组合摊余成本与其他可参考公允价值指标之间的偏离程度，并定期测试其他可参考公允价值指标确定方法的有效性。投资组合的摊余成本与其他可参考公允价值指标产生重</w:t>
      </w:r>
      <w:r>
        <w:rPr>
          <w:rFonts w:ascii="宋体" w:hAnsi="宋体"/>
          <w:sz w:val="24"/>
        </w:rPr>
        <w:lastRenderedPageBreak/>
        <w:t>大偏离的（偏离度超过0.5%），应按其他公允价值指标对组合的账面价值进行调整，调整差额确认为“公允价值变动损益”，并按其他公允价值指标进行后续计量。如基金份额净值恢复至1元，可恢复使用摊余成本法估算公允价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4、如有新增事项，按国家有关法律法规的最新规定估值。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5、采用本估值方法可能对基金资产净值波动带来的影响：适用影子定价法对估值对象进行调整时，调整差额于当日计入基金资产净值，基金资产净值可能产生相应的波动。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6、如基金管理人或基金托管人发现基金估值违反基金合同订明的估值方法、程序及相关法律法规的规定或者未能充分维护基金份额持有人利益时，应立即通知对方，共同查明原因，双方协商解决。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开放式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（四）估值对象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本基金依法持有的银行存款、各类有价证券和应收款项以及其他投资等资产。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日常估值由基金管理人进行。基金资产净值由基金管理人完成估值后，将估值结果加盖业务公章以书面形式传真至基金托管人，基金托管人按法律法规、基金合同规定的估值方法、时间、程序进行复核；基金托管人复核无误后加盖业务公章返回给基金管理人；月末、年中和年末估值复核与基金会计账目的核对同时进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（六）每万份基金已实现收益的确认和估值错误的处理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本基金的估值采用四舍五入方式，每万份基金已实现收益的计算保留到小数点后4位，基金七日年化收益率保留到小数点后3位，国家另有规定的从其规定。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当基金资产的估值导致每万份基金已实现收益小数点后4位或基金七日年化收益率小数点后3位以内发生差错时，视为估值错误。国家另有规定的，从其规定。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确认已经发生估值错误情形时，基金管理人应当立即公告并予以纠正，并采取合理的措施防止损失进一步扩大；当错误偏差达到或超过基金资产净值的0.25%时，基金管理人应当及时通知基金托管人并报中国证监会；错误偏差达到基金资产净值的0.5%时，基金管理人应当公告、通报基金托管人并报中国证监会</w:t>
      </w:r>
      <w:r>
        <w:rPr>
          <w:rFonts w:ascii="宋体" w:hAnsi="宋体"/>
          <w:sz w:val="24"/>
        </w:rPr>
        <w:lastRenderedPageBreak/>
        <w:t>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因基金估值错误给投资者造成损失的应先由基金管理人承担，基金管理人对不应由其承担的责任，有权向过错人追偿。基金合同的当事人应将按照以下约定处理：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1、差错类型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注册登记机构、或代理销售机构、或投资者自身的过错造成差错，导致其他当事人遭受损失的，过错的责任人应当对由于该差错遭受损失的当事人（“受损方”）按下述“差错处理原则”给予赔偿承担赔偿责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差错的主要类型包括但不限于：资料申报差错、数据传输差错、数据计算差错、系统故障差错、下达指令差错等；对于因技术原因引起的差错，若系同行业现有技术水平不能预见、不能避免、不能克服，则属不可抗力，按照下述规定执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由于不可抗力原因造成投资者的交易资料灭失或被错误处理或造成其他差错，因不可抗力原因出现差错的当事人不对其他当事人承担赔偿责任，但因该差错取得不当得利的当事人仍应负有返还不当得利的义务。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2、差错处理原则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差错已发生，但尚未给当事人造成损失时，差错责任方应及时协调各方，及时进行更正，因更正差错发生的费用由差错责任方承担；由于差错责任方未及时更正已产生的差错，给当事人造成损失的，由差错责任方承担；若差错责任方已经积极协调，并且有协助义务的当事人有足够的时间进行更正而未更正，则其应当承担相应赔偿责任。差错责任方应对更正的情况向有关当事人进行确认，确保差错已得到更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（2）差错的责任方对可能导致有关当事人的直接损失负责，不对间接损失负责，并且仅对差错的有关直接当事人负责，不对第三方负责。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差错而获得不当得利的当事人负有及时返还不当得利的义务。但差错责任方仍应对差错负责。如果由于获得不当得利的当事人不返还或不全部返还不当得利造成其他当事人的利益损失（“受损方”），则差错责任方应赔偿受损方的损失，并在其支付的赔偿金额的范围内对获得不当得利的当事人享有要求交付不当得利的权利；如果获得不当得利的当事人已经将此部分不当得利返还给受损方，则受</w:t>
      </w:r>
      <w:r>
        <w:rPr>
          <w:rFonts w:ascii="宋体" w:hAnsi="宋体"/>
          <w:sz w:val="24"/>
        </w:rPr>
        <w:lastRenderedPageBreak/>
        <w:t>损方应当将其已经获得的赔偿额加上已经获得的不当得利返还的总和超过其实际损失的差额部分支付给差错责任方。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（4）差错调整采用尽量恢复至假设未发生差错的正确情形的方式。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差错责任方拒绝进行赔偿时，如果因基金管理人过错造成基金财产损失时，基金托管人应为基金的利益向基金管理人追偿，如果因基金托管人过错造成基金资产损失时，基金管理人应为基金的利益向基金托管人追偿。除基金管理人和托管人之外的第三方造成基金资产的损失，并拒绝进行赔偿时，由基金管理人负责向差错方追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果出现差错的当事人未按规定对受损方进行赔偿，并且依据法律法规、基金合同或其他规定，基金管理人自行或依据法院判决、仲裁裁决对受损方承担了赔偿责任，则基金管理人有权向出现过错的当事人进行追索，并有权要求其赔偿或补偿由此发生的费用和遭受的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（7）按法律法规规定的其他原则处理差错。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3、差错处理程序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差错被发现后，有关的当事人应当及时进行处理，处理的程序如下：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（1）查明差错发生的原因，列明所有的当事人，并根据差错发生的原因确定差错的责任方；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（2）根据差错处理原则或当事人协商的方法对因差错造成的损失进行评估；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（3）根据差错处理原则或当事人协商的方法由差错的责任方进行更正和赔偿损失；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（4）根据差错处理的方法，需要修改基金注册登记机构的交易数据的，由基金注册登记机构进行更正，并就差错的更正向有关当事人进行确认；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及基金托管人基金资产净值计算错误偏差达到或超过基金资产净值的0.25%时，基金管理人应当及时通知基金托管人并报中国证监会；错误偏差达到基金资产净值的0.5%时，基金管理人应当公告、通报基金托管人并报中国证监会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1、与本基金投资有关的证券交易场所遇法定节假日或因其他原因暂停营业时；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2、因不可抗力或其他情形致使基金管理人无法准确评估基金财产价值时；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3、当前一估值日基金资产净值50%以上的资产出现无可参考的活跃市场价格且采用估值技术仍导致公允价值存在重大不确定性时，经与基金托管人协商确认后，基金管理人应当暂停估值；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4、中国证监会认定的其他情形。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1、基金管理人按估值方法的第2、3项进行估值时，所造成的误差不作为基金资产估值错误处理；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证券交易所及其登记结算公司发送的数据错误，或由于其他不可抗力原因，基金管理人和基金托管人虽然已经采取必要、适当、合理的措施进行检查，但是未能发现该错误的，由此造成的基金资产估值错误，基金管理人和基金托管人可以免除赔偿责任。但基金管理人、基金托管人应当积极采取必要的措施消除由此造成的影响。</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8" w:name="_Toc231197062"/>
      <w:r>
        <w:rPr>
          <w:rFonts w:ascii="Times New Roman" w:hAnsi="Times New Roman"/>
          <w:sz w:val="30"/>
        </w:rPr>
        <w:lastRenderedPageBreak/>
        <w:t>十五、基金收益与分配</w:t>
      </w:r>
      <w:bookmarkEnd w:id="18"/>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（一）基金收益的构成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基金收益包括：基金投资所得利息收入、买卖证券差价收入、银行存款利息以及其他收入。因运用基金资产带来的成本或费用的节约计入基金收益。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（二）基金净收益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基金净收益为基金收益扣除按照有关规定可以在基金收益中扣除的费用后的余额。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1、基金收益分配原则遵循国家有关法律规定并符合基金合同的有关规定。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2、“每日分配、按日支付”。 本基金根据每日基金收益情况，以每万份基金已实现收益为基准，为投资人每日计算当日收益并分配，且每日进行支付。投资人当日收益分配的计算保留到小数点后2位，如当日收益计算结果为正，则小数点后第3位采用截位的方式，如当日收益计算结果为负，则小数点后第3位采用非零即入的方式，因截位或用非零即入形成的余额归入基金财产，参与第二个工作日的分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每日进行收益支付，以人民币元方式簿记，收益支付方式只采用红利再投资（即红利转基金份额）方式；若当日净收益大于零时，则增加投资人基金份额，若当日净收益等于零时，则保持投资人基金份额不变；基金管理人将采取必要措施尽量避免基金净收益小于零，若当日净收益小于零时，缩减投资人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4、当日申购的基金份额自下一个工作日起享有基金的分配权益；当日赎回的基金份额自下一个工作日起不享有基金的分配权益。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5、本基金同一类别的每一基金份额享有同等分配权。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相关法律法规及规范性文件的规定，且不影响基金份额持有人利益的情况下，基金管理人可酌情调整基金收益分配方式，此项调整不需要基金份额持有人大会决议通过，基金管理人应于实施更改前依照《信息披露办法》和《信息披露特别规定》的有关规定在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7、法律法规或监管机关另有规定的，从其规定。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本基金于2006年2月13日将投资者所拥有的自2006年1月20日至2006年2月13日</w:t>
      </w:r>
      <w:r>
        <w:rPr>
          <w:rFonts w:ascii="宋体" w:hAnsi="宋体"/>
          <w:sz w:val="24"/>
        </w:rPr>
        <w:lastRenderedPageBreak/>
        <w:t>的累计收益进行首次集中支付，并按1元面值直接结转为基金份额，不进行现金支付。2006年3月至2023年9月，本基金投资者的累计收益定于每月第一个工作日集中支付并按1元面值自动转为基金份额。从2023年9月22日起，本基金每日例行按照基金合同的约定对当天实现的收益进行收益结转(如遇节假日可顺延)，截至该日的累计未支付收益于该日进行结转。每日例行的收益结转不再另行公告，如遇特殊情况，将另行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（四）基金收益公告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本基金的基金合同生效后,将于开始办理基金份额申购或者赎回当日,公告截止前一日各类基金份额的基金资产净值、基金合同生效至前一日期间各类基金份额的每万份基金已实现收益、前一日的七日年化收益率。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每一工作日公告截止前一工作日（含节假日）的各类基金份额的每万份基金已实现收益和基金七日年化收益率。基金收益公告由基金管理人编制，并由基金托管人复核后公告。遇特殊情况，可以适当延迟计算或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某类基金份额的日每万份基金已实现收益=[当日该类基金份额的基金已实现收益/当日该类基金份额的总额]×10000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期间某类基金份额的每万份基金已实现收益＝</w:t>
      </w:r>
      <w:r w:rsidR="0097071F">
        <w:rPr>
          <w:rFonts w:ascii="宋体" w:hAnsi="宋体"/>
          <w:kern w:val="0"/>
          <w:sz w:val="24"/>
        </w:rPr>
        <w:pict>
          <v:shape id="_x0000_i1030" type="#_x0000_t75" style="width:153.75pt;height:57pt">
            <v:imagedata r:id="rId20" o:title="1521256610242020828"/>
          </v:shape>
        </w:pic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r1为期间首日该类基金份额的基金已实现收益,s1为期间首日该类基金份额的总额,rw为第w日该类基金份额的基金已实现收益,sw为第w日该类基金份额的总额,rn为期间最后一日该类基金份额的基金已实现收益,sn为期间最后一日该类基金份额的总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上述收益的精度为0.0001元，第5位采用四舍五入的方式。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某类基金份额的七日年化收益率=</w:t>
      </w:r>
      <w:r w:rsidR="0097071F">
        <w:rPr>
          <w:rFonts w:ascii="宋体" w:hAnsi="宋体"/>
          <w:kern w:val="0"/>
          <w:sz w:val="24"/>
        </w:rPr>
        <w:pict>
          <v:shape id="_x0000_i1031" type="#_x0000_t75" style="width:234pt;height:60.75pt">
            <v:imagedata r:id="rId21" o:title="1521256610242020828"/>
          </v:shape>
        </w:pic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其中Ri为最近第i个公历日（包括计算当日，i=1，2，…，7）该类基金份额的每万份基金已实现收益，基金七日年化收益率采用四舍五入方式保留小数点后3位。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基金收益分配方案由基金管理人拟定，并由基金托管人核实后确定。本基金按日计算并分配收益，基金管理人不另行公告基金收益分配方案。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收益分配采用红利再投资方式，免收再投资费用。</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19" w:name="_Toc231197063"/>
      <w:r>
        <w:rPr>
          <w:rFonts w:ascii="Times New Roman" w:hAnsi="Times New Roman"/>
          <w:sz w:val="30"/>
        </w:rPr>
        <w:lastRenderedPageBreak/>
        <w:t>十六、基金的费用与税收</w:t>
      </w:r>
      <w:bookmarkEnd w:id="19"/>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 基金费用的种类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3、基金销售服务费；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4、基金合同生效后的基金信息披露费用；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5、基金合同生效后与基金相关的会计师费、律师费；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6、基金份额持有人大会费用；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7、基金的证券交易费用；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8、按照国家有关规定和基金合同约定可以在基金财产中列支的其他费用。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本基金基金合同终止清算时所发生费用，按实际支出额从基金财产总值中扣除。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 基金费用计提方法、计提标准和支付方式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本基金的管理费按基金资产净值的0.15%年费率计提。管理费的计算方法如下：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H=E×0.15%÷当年天数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H为每日应付的基金管理费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向基金托管人发送基金管理费划款指令，基金托管人复核后于次月前2个工作日内从基金财产中一次性支付给基金管理人。若遇法定节假日、公休假等，支付日期顺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本基金的托管费按基金资产净值的0.05%的年费率计提。托管费的计算方法如下：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H＝E×0.05%÷当年天数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H为每日应支付的基金托管费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基金托管费每日计提，按月支付，由基金管理人向基金托管人发送基金托管费划款指令，基金托管人复核后于次月前2个工作日内从基金财产中一次性支取。若遇法定节假日、公休假等，支付日期顺延。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与基金销售有关的费用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本基金申购费的费率为零，详见“基金份额的申购、赎回及其他业务”一章。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本基金赎回费的费率为零，详见“基金份额的申购、赎回及其他业务”一章。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本基金转换费的费率水平、计算公式和收取方式详见“基金的转换”一章。</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（4）销售服务费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基金份额按照不同的费率计提销售服务费，在通常情况下，本基金A类基金份额的销售服务费年费率为0.25%，B类基金份额的年费率为0.01%，C类基金份额的销售服务费年费率为0.25%，D类基金份额的销售服务费年费率为0.01%。各类基金份额的销售服务费计提的计算公式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H＝E×R÷当年天数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H为每类基金份额每日应计提的销售服务费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E为前一日该类基金份额的基金资产净值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R为该类基金份额的销售服务费率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以调整对各类基金份额计提的销售服务费率，但销售服务费年费率最高不超过0.25%。基金管理人应在调整前依照《信息披露办法》和《信息披露特别规定》的有关规定在中国证监会指定媒介上公告并报中国证监会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类基金份额的基金销售服务费每日计提，按月支付。由基金管理人向基金托管人发送基金销售管理费划付指令，基金托管人复核后于次月前2个工作日内从基金财产中一次性支付给基金管理人，若遇法定节假日、休息日等，支付日期顺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基金销售服务费主要用于支付销售机构佣金，以及基金管理人的基金营销广告费、促销活动费、持有人服务费等。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上述（一）基金费用的种类中4－8项费用由基金托管人根据有关法规及相应协议规定，按费用实际支出金额列入当期费用，从基金财产中支付。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 不列入基金费用的项目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基金管理人和基金托管人因未履行或未完全履行义务导致的费用支出或基金财产的损失，以及处理与基金运作无关的事项发生的费用等不列入基金费用。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基金募集期间的信息披露费、会计师费、律师费及其他费用，不得从基金财产中列支。其他具体不列入基金费用的项目依据中国证监会有关规定执行。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（四）基金管理费、托管费、销售服务费率的调整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可根据基金发展情况调整基金管理费率、基金托管费率和销售服务费率。调高基金管理费率、基金托管费率、销售服务费率，须召开基金份额持有人大会审议；调低基金管理费率、基金托管费率、销售服务费率，无须召开基金份额持有人大会。基金管理人必须最迟于新的费率实施日前依照《信息披露办法》和《信息披露特别规定》的有关规定在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 基金税收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基金运作过程中涉及的各类纳税主体，其纳税义务按国家税收法律法规执行。</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0" w:name="_Toc231197064"/>
      <w:r>
        <w:rPr>
          <w:rFonts w:ascii="Times New Roman" w:hAnsi="Times New Roman"/>
          <w:sz w:val="30"/>
        </w:rPr>
        <w:lastRenderedPageBreak/>
        <w:t>十七、基金的会计与审计</w:t>
      </w:r>
      <w:bookmarkEnd w:id="20"/>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2、基金的会计年度为公历年度的1月1日至12月31日；基金募集所在会计年度按如下原则：如果基金合同生效少于2个月，可以并入下一个会计年度；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（二）基金审计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1、本基金管理人聘请与基金管理人、基金托管人相互独立的具有证券、期货相关从业资格的会计师事务所及其注册会计师对本基金的年度财务报表进行审计。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2、会计师事务所更换经办注册会计师，应事先征得基金管理人和基金托管人同意，并报中国证监会备案。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或基金托管人）认为有充足理由更换会计师事务所，须经基金托管人（或基金管理人）同意，并报中国证监会备案。更换会计师事务所应由基金管理人按照《信息披露办法》的有关规定在中国证监会指定媒介上公告。</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1" w:name="_Toc231197065"/>
      <w:r>
        <w:rPr>
          <w:rFonts w:ascii="Times New Roman" w:hAnsi="Times New Roman"/>
          <w:sz w:val="30"/>
        </w:rPr>
        <w:lastRenderedPageBreak/>
        <w:t>十八、基金的信息披露</w:t>
      </w:r>
      <w:bookmarkEnd w:id="21"/>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本基金的信息披露应符合《基金法》、《运作办法》、《信息披露办法》、《流动性规定》、基金合同及其他有关规定。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本基金信息披露义务人承诺公开披露的基金信息，不得有下列行为：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本基金公开披露的信息应采用中文文本。如同时采用外文文本的，基金信息披露义务人应保证不同文本的内容一致。不同文本之间发生歧义的，以中文文本为准。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（一）公开披露的基金信息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基金募集申请经中国证监会核准后，基金管理人在基金份额发售前，依照《信息披露办法》和《信息披露特别规定》的有关规定将基金招募说明书、基金合同摘</w:t>
      </w:r>
      <w:r>
        <w:rPr>
          <w:rFonts w:ascii="宋体" w:hAnsi="宋体"/>
          <w:sz w:val="24"/>
        </w:rPr>
        <w:lastRenderedPageBreak/>
        <w:t>要登载在指定报刊和网站上；基金管理人、基金托管人应当将基金合同、基金托管协议登载在网站上。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1）《基金合同》是界定《基金合同》当事人的各项权利、义务关系，明确基金份额持有人大会召开的规则及具体程序，说明基金产品的特性等涉及基金投资者重大利益的事项的法律文件。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2、发售公告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基金管理人应当就基金份额发售的具体事宜编制基金份额发售公告，并在披露招募说明书的当日登载于指定报刊和网站上。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基金管理人应当在本基金合同生效的次日在指定报刊和网站上登载基金合同生效公告。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本基金合同生效后，在开始办理基金份额申购或者赎回前，基金管理人应当至少每周公告一次各类基金份额的基金资产净值、每万份基金已实现收益和基金七日年化收益率。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基金管理人应于开始办理基金份额申购或者赎回当日，在指定报刊和网站上披</w:t>
      </w:r>
      <w:r>
        <w:rPr>
          <w:rFonts w:ascii="宋体" w:hAnsi="宋体"/>
          <w:sz w:val="24"/>
        </w:rPr>
        <w:lastRenderedPageBreak/>
        <w:t>露截止前一日各类基金份额的基金资产净值、基金合同生效至前一日期间各类基金份额的每万份基金已实现收益、前一日的基金七日年化收益率。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至少于每个开放日的次日，通过指定网站、基金销售机构网站或者营业网点披露截止开放日各类基金份额的每万份基金已实现收益和七日年化收益率。若遇法定节假日，应于节假日结束后第二个自然日披露节假日期间各类基金份额的每万份基金已实现收益、节假日最后一日的七日年化收益率，以及节假日后首个开放日的每万份基金已实现收益和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基金管理人应当在不晚于半年度和年度最后一日的次日，在指定网站披露半年度和年度最后一日的各类基金份额的每万份基金已实现收益和7日年化收益率。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5、基金定期报告，包括基金年度报告、基金中期报告和基金季度报告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6、临时报告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16）基金资产净值计价错误达基金资产净值百分之零点五；</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17）影子定价确定的基金资产净值与摊余成本法计算的基金资产净值的偏离度的绝对值达到或超过基金资产净值的0.5%；</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18）本基金开始办理申购、赎回；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19）本基金发生巨额赎回并延期办理；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20）本基金连续发生巨额赎回并暂停接受赎回申请或延缓支付赎回款项；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21）本基金暂停接受申购、赎回申请或重新接受申购、赎回申请；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22）发生涉及基金申购、赎回事项调整或潜在影响投资者赎回等重大事项时；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23）本基金投资于主体信用评级低于AA+的商业银行的银行存款与同业存单；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24）基金信息披露义务人认为可能对基金份额持有人权益或者基金份额的价格产生重大影响的其他事项或中国证监会规定的其他事项。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7、澄清公告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8、基金份额持有人大会决议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基金份额持有人依法自行召集基金份额持有人大会，基金管理人、本基金托管人对基金份额持有人大会决定的事项不依法履行信息披露义务的，召集人应当履行相关信息披露义务。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9、中国证监会规定的其他信息。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（二）信息披露事务管理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基金信息披露义务人公开披露基金信息，应当符合中国证监会相关基金信息披露内容与格式准则等法律法规规定。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w:t>
      </w:r>
      <w:r>
        <w:rPr>
          <w:rFonts w:ascii="宋体" w:hAnsi="宋体"/>
          <w:sz w:val="24"/>
        </w:rPr>
        <w:lastRenderedPageBreak/>
        <w:t>其他公共媒介披露信息，但是其他公共媒介不得早于指定媒介披露信息，并且在不同媒介上披露同一信息的内容应当一致。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（三）信息披露文件的存放与查阅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w:t>
      </w:r>
      <w:r w:rsidRPr="00BB248E">
        <w:rPr>
          <w:rFonts w:ascii="宋体" w:hAnsi="宋体" w:hint="eastAsia"/>
          <w:kern w:val="0"/>
          <w:sz w:val="24"/>
        </w:rPr>
        <w:t>本基金信息披露事项以法律法规规定及本章节约定的内容为准。</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2" w:name="_Toc231197066"/>
      <w:r>
        <w:rPr>
          <w:rFonts w:ascii="Times New Roman" w:hAnsi="Times New Roman"/>
          <w:sz w:val="30"/>
        </w:rPr>
        <w:lastRenderedPageBreak/>
        <w:t>十九、风险揭示</w:t>
      </w:r>
      <w:bookmarkEnd w:id="22"/>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者购买基金，既可能按其持有份额分享基金投资所产生的收益，也可能承担基金投资所带来的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基金总份额的百分之十时，投资者将可能无法及时赎回持有的全部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基金分为股票基金、混合基金、债券基金、货币市场基金等不同类型，投资者投资不同类型的基金将获得不同的收益预期，也将承担不同程度的风险。一般来说，基金的收益预期越高，投资者承担的风险也越大。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认真阅读《基金合同》、《招募说明书》、基金产品资料概要等基金法律文件，了解基金的风险收益特征，并根据自身的投资目的、投资期限、投资经验、资产状况等判断基金是否和投资者的风险承受能力相适应。</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应当充分了解基金定期定额投资和零存整取等储蓄方式的区别。定期定额投资是引导投资者进行长期投资、平均投资成本的一种简单易行的投资方式。但是定期定额投资并不能规避基金投资所固有的风险，不能保证投资者获得收益，也不是替代储蓄的等效理财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者基金投资的“买者自负”原则，在做出投资决策后，基金运营状况与基金净值变化引致的投资风险，由投资者自行负</w:t>
      </w:r>
      <w:r>
        <w:rPr>
          <w:rFonts w:ascii="宋体" w:hAnsi="宋体"/>
          <w:sz w:val="24"/>
        </w:rPr>
        <w:lastRenderedPageBreak/>
        <w:t>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本基金面临的主要风险是利率风险、经济周期风险、再投资风险、流动性风险、信用风险、交易对手违约风险、政策风险等。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 利率风险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由于中央银行的利率的调整和短期利率的波动产生本基金的利率风险。由于利率的波动基金持有人会面临投资收益率低于或高于业绩基准的风险。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 经济周期风险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随着经济的周期性变化，国家经济和各个行业也呈周期性变化，从而影响到证券市场和短期资金市场的走势，给本基金的投资收益带来风险。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 再投资风险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债券偿付本息后以及回购到期后的再投资获得的收益取决于再投资时的利率水平和再投资的策略。因未来市场利率的变化而引起再投资收益率的不确定性为再投资风险。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 流动性风险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流动性风险主要是指因基金资产变现的难易程度所导致基金收益变动的风险。本基金投资对象的流动性相对较好，但是在特殊市场情况下（加息或是市场资金紧张的情况下）也会出现部分品种的交易不活跃、成交量不足的情形，此时如果基金赎回金额较大，可能因流动性风险的存在导致基金收益出现波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本基金单个开放日，基金净赎回申请份额（该基金赎回申请总份额加上基金转</w:t>
      </w:r>
      <w:r>
        <w:rPr>
          <w:rFonts w:ascii="宋体" w:hAnsi="宋体"/>
          <w:sz w:val="24"/>
        </w:rPr>
        <w:lastRenderedPageBreak/>
        <w:t>换中转出申请份额总份额扣除申购申请总份额及基金转换中转入申请份额总份额后的余额）超过上一日基金总份额的10%时，即认为发生了巨额赎回。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当出现巨额赎回时，基金管理人可以根据本基金当时的资产组合状况决定全额赎回或部分顺延赎回。</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（1）全额赎回：当基金管理人认为有能力支付投资者的全部赎回申请时，按正常赎回程序执行。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顺延赎回：当基金管理人认为支付投资者的赎回申请有困难或认为支付投资者的赎回申请可能会对基金的资产净值造成较大波动时，基金管理人在当日接受赎回比例不低于上一日基金总份额的10%的前提下，对其余赎回申请予以延期办理。对于当日的赎回申请，应当按单个账户赎回申请量占当日赎回申请总量的比例，确定当日单个帐户受理的赎回份额。未受理部分，除投资者在提交赎回申请时明确作出不参加顺延下一个开放日赎回的表示外，顺延至下一个开放日赎回处理。依照上述规定转入下一个开放日的赎回不享有赎回优先权并将按该下一个开放日赎回申请总量计算赎回金额，以此类推，直到全部赎回为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基金份额持有人当日超过20%的赎回申请，可以对其赎回申请延期办理；对于基金份额持有人未超过上述比例的部分，基金管理人可以根据前段“（1）全额赎回”或“（2）部分顺延赎回”的约定方式与其他基金份额持有人的赎回申请一并办理。但是，如基金份额持有人在当日选择取消赎回，则其当日未获受理的部分赎回申请将被撤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本基金连续2个开放日以上发生巨额赎回，如基金管理人认为有必要，可暂停接受赎回申请；已经接受的赎回申请可以延缓支付赎回款项，但不得超过正常支付时间20个工作日，并应当在中国证监会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暂停基金估值等，作为特定情形下基金管理人流动性风险管理的辅助措施，同时基金管理人应时刻防范可能产生的流动性风险，对流动性风险进行日常监控，保护持有人的利益。当实施备用的流</w:t>
      </w:r>
      <w:r>
        <w:rPr>
          <w:rFonts w:ascii="宋体" w:hAnsi="宋体"/>
          <w:sz w:val="24"/>
        </w:rPr>
        <w:lastRenderedPageBreak/>
        <w:t>动性风险管理工具时，有可能无法按合同约定的时限支付赎回款项。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 信用风险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当基金持有的债券、票据的发行人违约，不按时偿付本金或利息时，将直接导致基金资产的损失，产生信用风险。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 交易对手违约风险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交易对手违约风险是指当债券、票据或债券回购等交易对手违约时，将直接导致基金资产的损失，或导致基金不能及时抓住市场机会，对投资收益产生影响。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 政策风险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政策风险主要指由于国家财政政策或货币政策的变动导致货币市场波动所引发本基金收益产生损失的风险。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（八）本基金法律文件风险收益特征表述与销售机构基金风险评价可能不一致的风险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(九) 其他风险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除上面提到的风险外，本基金还存在其他风险，如投资操作风险、技术风险、不可抗力风险等等。</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取红利再投资的分配方式，且每日计算收益并分配。但本基金的收益有正有负。当本基金的收益为正时，投资者的基金份额相应增加；当本基金的收益为负时，投资者的基金份额会相应减少；当本基金的收益为零时，投资者的基金份额保持不变。</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3" w:name="_Toc231197067"/>
      <w:r>
        <w:rPr>
          <w:rFonts w:ascii="Times New Roman" w:hAnsi="Times New Roman"/>
          <w:sz w:val="30"/>
        </w:rPr>
        <w:lastRenderedPageBreak/>
        <w:t>二十、基金合同的终止与基金财产的清算</w:t>
      </w:r>
      <w:bookmarkEnd w:id="23"/>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（一）基金合同的终止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出现下列情况之一的，基金合同终止：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2、基金管理人职责终止，而在6个月内没有新基金管理人承接其原有职责的；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3、基金托管人职责终止，而在6个月内没有新基金托管人承接其原有职责的；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4、基金合同规定的其他情况或中国证监会允许的其它情况。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（二）基金财产清算小组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自基金合同终止之日起30个工作日内成立基金财产清算小组，清算财产小组必须在中国证监会的监督下进行基金清算。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基金财产清算小组成员由基金管理人、基金托管人、具有从事证券相关业务资格的注册会计师、律师以及中国证监会指定的人员组成。基金清算小组可以聘请必要的工作人员。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基金财产清算小组接管基金资产后，负责基金财产的保管、清理、估价、变现和分配。基金财产清算小组可以依法进行必要的民事活动。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（三）清算程序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1、基金合同终止后，由基金财产清算小组统一接管基金资产；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2、对基金财产进行清理和确认；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3、对基金资产进行估值和变现；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4、对基金财产进行分配；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5、制作清算报告；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6、聘请会计师事务所对清算报告进行外部审计，聘请律师事务所对清算报告出具法律意见书；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7、将清算报告报中国证监会备案并公告。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清算费用是指基金财产清算小组在进行基金清算过程中发生的所有合理费用，清算费用由清算小组优先从基金财产中支付。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（五）基金资产按下列顺序清偿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1、支付清算费用；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2、交纳所欠税款；</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3、清偿基金债务；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4、按基金份额持有人持有的基金份额比例进行分配。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基金财产按前款1-4项规定依顺序清偿，在上一顺序权利人未得以清偿前，不进行对下一顺序权利人的分配。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（六）基金清算的公告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清算过程中的有关重大事项将及时公告；基金财产清算报告经会计师事务所审计并由律师事务所出具法律意见书后报中国证监会备案并公告。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（七）基金清算账册及文件的保存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基金清算账册及有关文件由基金托管人保存15年以上。</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4" w:name="_Toc231197068"/>
      <w:r>
        <w:rPr>
          <w:rFonts w:ascii="Times New Roman" w:hAnsi="Times New Roman"/>
          <w:sz w:val="30"/>
        </w:rPr>
        <w:lastRenderedPageBreak/>
        <w:t>二十一、基金合同内容摘要</w:t>
      </w:r>
      <w:bookmarkEnd w:id="24"/>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（一）基金合同当事人及权利义务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（1）依法募集基金；</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（3）依照基金合同收取基金管理费以及法律法规规定或监管部门批准的其他收入；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（5）召集基金份额持有人大会；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委托、更换基金代销机构，对代销机构的相关行为进行监督和处理。如认为基金代销机构违反本基金合同、代销协议及法律法规的规定，应呈报中国证监会和其他监管部门，并采取必要措施保护基金份额持有人的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（9）依据本基金合同及有关法律法规规定决定基金收益的分配方案；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（10）在基金合同约定的范围内，拒绝或暂停受理申购与赎回申请；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（11）在符合有关法律法规和基金合同的前提下，制订和调整业务规则，决定和调整除调高托管费率、管理费率、销售服务费率之外的相关费率结构和收费方式；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（12）依照法律法规为基金的利益行使因基金财产投资所产生的权利；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（15）选择、更换律师、审计师、证券经纪商或其他为基金提供服务的外部机</w:t>
      </w:r>
      <w:r>
        <w:rPr>
          <w:rFonts w:ascii="宋体" w:hAnsi="宋体"/>
          <w:sz w:val="24"/>
        </w:rPr>
        <w:lastRenderedPageBreak/>
        <w:t>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（16）法律法规和基金合同规定的其他权利。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（1）办理基金备案手续；</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（2）自基金合同生效之日起,以诚实信用、勤勉尽责的原则管理和运用基金财产；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（3）配备足够的具有专业资格的人员进行基金投资分析、决策，以专业化的经营方式管理和运作基金财产；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（4）办理或者委托经中国证监会认定的其他机构代为办理基金份额的发售、申购、赎回和登记事宜；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（5）建立健全内部风险控制、监察与稽核、财务管理及人事管理等制度，保证所管理的基金财产和基金管理人的财产相互独立,对所管理的不同基金分别管理，分别记账，进行投资；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（12）保守基金商业秘密，不泄露基金投资计划、投资意向等。除《基金法》、基金合同及其他有关规定另有规定外，在基金信息公开披露前应予保密，不得向他人泄露；</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（13）按照基金合同的约定确定基金收益分配方案，及时向基金份额持有人分配收益；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w:t>
      </w:r>
      <w:r>
        <w:rPr>
          <w:rFonts w:ascii="宋体" w:hAnsi="宋体"/>
          <w:sz w:val="24"/>
        </w:rPr>
        <w:lastRenderedPageBreak/>
        <w:t>配合基金托管人、基金份额持有人依法召集基金份额持有人大会；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（21）基金托管人因违反基金合同造成基金财产损失时，应为基金份额持有人利益向基金托管人追偿；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（22）以基金管理人名义，代表基金份额持有人利益行使诉讼权利或实施其他法律行为；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（23）基金管理人在募集期间未能达到基金的备案条件，基金合同不能生效，基金管理人承担全部募集费用，将已募集资金并加计募集期内产生的利息在募集期结束后30天内退还基金认购人；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（24）执行生效的基金份额持有人大会的决定；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（25）不从事任何有损基金及其他基金当事人利益的活动；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（26）法律法规和基金合同规定的其他义务。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（1）自本基金合同生效之日起，依法律法规和基金合同的规定安全保管基金财产；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（2）依基金合同约定获得基金托管费以及法律法规规定或监管部门批准的其他收入；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w:t>
      </w:r>
      <w:r>
        <w:rPr>
          <w:rFonts w:ascii="宋体" w:hAnsi="宋体"/>
          <w:sz w:val="24"/>
        </w:rPr>
        <w:lastRenderedPageBreak/>
        <w:t>同及国家法律法规行为，应呈报中国证监会，并采取必要措施保护基金份额持有人的利益；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（4）以基金托管人和基金联名的方式在中国证券登记结算有限责任公司上海分公司和深圳分公司开设证券账户；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（5）以基金托管人名义开立证券交易资金账户，用于证券交易资金清算；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（6）以基金的名义在中央国债登记结算有限公司开设银行间债券托管账户，负责基金的债券及资金的清算；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（7）提议召开基金份额持有人大会；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（8）在基金管理人更换时，提名新的基金管理人；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（2）设立专门的资产托管部，具有符合要求的营业场所，配备足够的、合格的熟悉基金托管业务的专职人员，负责基金财产托管事宜；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不同的基金分别设置账户，独立核算，分账管理，保证不同基金之间在名册登记、账户设置、资金划拨、账册记录等方面相互独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（6）按规定开设基金财产的资金账户和证券账户，按照基金合同的约定，根据基金管理人的投资指令，及时办理清算、交割事宜；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（8）复核、审查基金管理人计算的基金资产净值、基金份额净值、每万份基金已实现收益和七日年化收益率；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w:t>
      </w:r>
      <w:r>
        <w:rPr>
          <w:rFonts w:ascii="宋体" w:hAnsi="宋体"/>
          <w:sz w:val="24"/>
        </w:rPr>
        <w:lastRenderedPageBreak/>
        <w:t>基金管理人在各重要方面的运作是否严格按照基金合同的规定进行；如果基金管理人有未执行基金合同规定的行为，还应当说明基金托管人是否采取了适当的措施；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（11）按有关规定，保存基金托管业务活动的记录、账册、报表和其他相关资料；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（15）按照规定召集基金份额持有人大会或配合基金份额持有人依法自行召集基金份额持有人大会；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（16）按照规定监督基金管理人的投资运作；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（18）面临解散、依法被撤销或者被依法宣告破产时，及时报告中国证监会和银行监管机构，并通知基金管理人；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（20）基金管理人因违反基金合同造成基金财产损失时，应为基金份额持有人的利益向基金管理人追偿；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（22）不从事任何有损基金及其他基金当事人利益的活动；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（23）法律法规和基金合同规定的其他义务。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（3）依法转让或者申请赎回其持有的基金份额；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w:t>
      </w:r>
      <w:r>
        <w:rPr>
          <w:rFonts w:ascii="宋体" w:hAnsi="宋体"/>
          <w:sz w:val="24"/>
        </w:rPr>
        <w:lastRenderedPageBreak/>
        <w:t>议事项行使表决权；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（8）对基金管理人、基金托管人、基金份额发售机构损害其合法权益的行为依法提起诉讼；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（9）法律法规和基金合同规定的其他权利。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（1）遵守基金合同；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（2）缴纳基金认购、申购款项及法律法规和基金合同所规定的费用；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（3）在持有的基金份额范围内，承担基金亏损或者基金合同终止的有限责任；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（4）不从事任何有损基金及基金份额持有人合法权益的活动；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（5）返还在基金交易过程中因任何原因，自基金管理人、基金托管人及基金管理人的代理人处获得的不当得利；</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（6）执行生效的基金份额持有人大会的决定；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（7）法律法规和基金合同规定的其他义务。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基金合同当事各方的权利和义务以基金合同为依据，不因基金财产账户名称的改变而有所改变。</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基金份额持有人大会由基金份额持有人或基金份额持有人的合法授权代表共同组成。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一、召开事由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（6）提高销售服务费费率；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（7）变更基金类别；</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（10）对基金当事人权利和义务产生重大影响的事项；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（11）法律法规、基金合同或中国证监会规定的其他应当召开基金份额持有人大会的事项。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（1）调低基金管理费、基金托管费、基金销售服务费；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（2）在基金合同规定范围内变更本基金的申购费率、赎回费率或收费方式；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（3）因相应的法律法规发生变动而应当对基金合同进行修改；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（4）对基金合同的修改对基金份额持有人利益无实质性不利影响或修改不涉及基金合同当事人权利义务关系发生变化；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（5）除按照法律法规和基金合同规定应当召开基金份额持有人大会的以外的其他情形。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二、会议召集人及召集方式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基金管理人决定召集的，应当自出具书面决定之日起60日内召开；基金管理人决定不召集，代表基金份额10%以上（含10%）的基金份额持有人仍认为有必要召开</w:t>
      </w:r>
      <w:r>
        <w:rPr>
          <w:rFonts w:ascii="宋体" w:hAnsi="宋体"/>
          <w:sz w:val="24"/>
        </w:rPr>
        <w:lastRenderedPageBreak/>
        <w:t>的，应当向基金托管人提出书面提议。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基金托管人应当自收到书面提议之日起10日内决定是否召集，并书面告知提出提议的基金份额持有人代表和基金管理人；基金托管人决定召集的，应当自出具书面决定之日起60日内召开。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5、如在上述第4条情况下，基金管理人、基金托管人都不召集的，代表基金份额10%以上（含10%）的基金份额持有人有权自行召集，并至少提前30日报中国证监会备案。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三、召开基金份额持有人大会的通知时间、通知内容、通知方式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1、召开基金份额持有人大会，召集人应于会议召开前30天，在中国证监会指定媒介上公告。基金份额持有人大会通知应至少载明以下内容：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（3）有权出席基金份额持有人大会的基金份额持有人的权利登记日；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（4）代理投票授权委托书送达时间和地点；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通讯方式和书面表决方式，并在会议通知中说明本次基金份额持有人大会所采取的具体通讯方式、委托的公证机关及其联系方式和联系人、书面表决意见的寄交的截止时间和收取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四、基金份额持有人出席会议的方式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基金份额持有人大会可通过现场开会方式或通讯开会方式召开。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会议的召开方式由会议召集人确定，但更换基金管理人和基金托管人必须以现场开会方式召开。</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书委派代表出席，现场开会时基金管理人和基金托管人的授权代表应当列席基金份额持有人大会，基金管理人或托管人拒不派代表列席的，不影响表决效力。现场开会同时符合以下条件时，可以进行基金份额持有人大会议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w:t>
      </w:r>
      <w:r>
        <w:rPr>
          <w:rFonts w:ascii="宋体" w:hAnsi="宋体"/>
          <w:sz w:val="24"/>
        </w:rPr>
        <w:lastRenderedPageBreak/>
        <w:t>有基金份额的凭证及委托人出具的代理投票授权委托书符合法律法规、基金合同和会议通知的规定；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（2）经核对，汇总到会者出示的在权利登记日持有基金份额的凭证显示，有效的基金份额不少于在权利登记日本基金总份额的50%（含50%）。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2、通讯开会。通讯开会应以书面方式进行表决。在同时符合以下条件时，通讯开会的方式视为有效：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（1）会议召集人按基金合同规定公布会议通知后，在2个工作日内连续公布相关提示性公告；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在基金托管人（如果基金托管人为召集人，则为基金管理人）和公证机关的监督下按照会议通知规定的方式收取基金份额持有人的书面表决意见；基金托管人或基金管理人经通知拒不参加收取书面表决意见的，不影响表决效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 本人直接出具书面意见或授权他人代为出具书面意见的基金份额持有人所持有的基金份额不少于在权利登记日基金总份额的50%（含50%）；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提交的持有基金份额的凭证、受托出具书面意见的代理人出具的委托人持有基金份额的凭证及委托人出具的代理投票授权委托书符合法律法规、基金合同和会议通知的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（5）会议通知公布前报中国证监会备案。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五、议事内容与程序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修改基金合同、终止基金合同、转换基金运作方式、更换基金管理人、更换基金托管人、与其他基金合并、变更基金类别、变更基金投资目标、范围或策略；变更基金份额持有人大会程序以及法律法规及基金合同规定的其他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基金管理人、基金托管人、单独或合并持有权利登记日基金总份额10%以上（含10%）的基金份额持有人可以在大会召集人发出会议通知前向大会召集人提交需由基金份额持有人大会审议表决的提案。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大会召集人应当按照以下原则对提案进行审核：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（1）关联性。对于涉及事项与本基金有直接关系，并且不超出法律法规和基金合同规定的基金份额持有人大会职权范围的提案，大会召集人应将提案提交大会</w:t>
      </w:r>
      <w:r>
        <w:rPr>
          <w:rFonts w:ascii="宋体" w:hAnsi="宋体"/>
          <w:sz w:val="24"/>
        </w:rPr>
        <w:lastRenderedPageBreak/>
        <w:t>审议；对于不符合上述要求的，不提交基金份额持有人大会审议。如果召集人决定不将基金份额持有人提案提交大会表决，应当在该次基金份额持有人大会上进行解释和说明。</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程序性。大会召集人可以对提案涉及的程序性问题做出决定。如将提案进行分拆或合并表决，需征得原提案人同意；原提案人不同意变更的，大会主持人可以就程序性问题提请基金份额持有人大会做出决定，并按照基金份额持有人大会决定的程序进行审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独或合并持有权利登记日基金总份额10%以上（含10%）的基金份额持有人提交基金份额持有人大会审议表决的提案，或基金管理人或基金托管人提交基金份额持有人大会审议表决的提案，未获基金份额持有人大会审议通过，就同一提案再次提请基金份额持有人大会审议，其时间间隔不少于6个月。法律法规另有规定的除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出席或主持大会，则由出席大会的基金份额持有人所持表决权的50%以上（含50%）选举产生一名基金份额持有人作为该次基金份额持有人大会的主持人。基金管理人和基金托管人拒不出席或主持基金份额持有人大会，不影响基金份额持有人大会作出的决议的效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在通讯开会的情况下，公告会议通知时应当同时公布提案，在所通知的表决截止日期后2个工作日内统计全部有效表决，在公证机关监督下形成决议。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六、表决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1、一般决议，一般决议须经参加大会的基金份额持有人所持表决权的50%以上</w:t>
      </w:r>
      <w:r>
        <w:rPr>
          <w:rFonts w:ascii="宋体" w:hAnsi="宋体"/>
          <w:sz w:val="24"/>
        </w:rPr>
        <w:lastRenderedPageBreak/>
        <w:t>（含50%）通过方为有效；除下列第2项所规定的须以特别决议通过事项以外的其他事项均以一般决议的方式通过。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所持表决权的三分之二以上（含三分之二）通过方可为有效。转换基金运作方式、更换基金管理人或者基金托管人、终止基金合同以特别决议通过方为有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提交符合会议通知中规定的确认投资者身份文件的表决视为有效出席的投资者，符合会议通知规定的书面表决意见视为有效表决，表决意见模糊不清或相互矛盾的视为弃权表决，但应当计入出具书面意见的基金份额持有人所代表的基金份额总数。</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七、计票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拒不出席大会的，不影响计票的效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对于提交的表决结果有怀疑，可以在宣布表决结果后立即对所投票数要求进行重新清点。监票人应当进行重新清点，重新清点以一次为限。重新清点后，大会主持人应当当场公布重新清点结果。</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w:t>
      </w:r>
      <w:r>
        <w:rPr>
          <w:rFonts w:ascii="宋体" w:hAnsi="宋体"/>
          <w:sz w:val="24"/>
        </w:rPr>
        <w:lastRenderedPageBreak/>
        <w:t>票，并由公证机关对其计票过程予以公证。基金管理人或托管人拒不派代表监督计票的，不影响计票效力。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八、生效与公告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基金份额持有人大会表决通过的事项，召集人应当自通过之日起5日内报中国证监会核准或者备案。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基金份额持有人大会决定的事项自中国证监会依法核准或者出具无异议意见之日起生效。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基金份额持有人大会决议自生效之日起两日内在中国证监会指定媒介上公告。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如果采用通讯方式进行表决，在公告基金份额持有人大会决议时，必须将公证书全文、公证机关、公证员姓名等一同公告。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基金份额持有人大会决议对全体基金份额持有人、基金管理人、基金托管人均有约束力。</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（三）基金合同的变更与终止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一、基金合同的变更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1、下列涉及到基金合同内容变更的事项须召开基金份额持有人大会：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（1）更换基金管理人；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（2）更换基金托管人；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（4）提高基金管理人、基金托管人的报酬标准；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（5）变更基金类别；</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（6）变更基金投资目标、范围或策略；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（7）变更基金份额持有人大会程序；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（8）对基金当事人权利和义务产生重大影响的事项；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（9）法律法规、基金合同或中国证监会规定的其他事项。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2、除非法律法规和基金合同另有规定，对基金合同的变更应当召开基金份额持有人大会的，基金合同变更的内容应经基金份额持有人大会决议通过，并报中国证监会核准或备案。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3、依现行有效的有关法律法规，对基金合同的变更自中国证监会核准或出具</w:t>
      </w:r>
      <w:r>
        <w:rPr>
          <w:rFonts w:ascii="宋体" w:hAnsi="宋体"/>
          <w:sz w:val="24"/>
        </w:rPr>
        <w:lastRenderedPageBreak/>
        <w:t>无异议意见之日起生效。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本基金合同和依现行有效的有关法律法规，对基金合同的变更须基金份额持有人大会决议通过和须报中国证监会核准以外的情形，经基金管理人和基金托管人同意可对基金合同进行变更后公布，并报中国证监会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二、基金合同的终止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 基金份额持有人大会决定终止的；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3、基金合同约定的其他情形；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4、中国证监会规定的其他情况。</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（四）争议的处理和适用的法律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应提交中国国际经济贸易仲裁委员会根据该会当时有效的仲裁规则进行仲裁，仲裁的地点在上海分会，仲裁裁决是终局性的并对各方当事人具有约束力，仲裁费由败诉方承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本基金合同受中国法律管辖。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基金合同可印制成册，供投资者在基金管理人、基金托管人、代销机构的办公场所和营业场所查阅；投资者也可按工本费购买基金合同复制件或复印件，但内容应以本基金合同正本为准。</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5" w:name="_Toc231197069"/>
      <w:r>
        <w:rPr>
          <w:rFonts w:ascii="Times New Roman" w:hAnsi="Times New Roman"/>
          <w:sz w:val="30"/>
        </w:rPr>
        <w:lastRenderedPageBreak/>
        <w:t>二十二、托管协议的内容摘要</w:t>
      </w:r>
      <w:bookmarkEnd w:id="25"/>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法定代表人：张宏良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营业期限：持续经营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二、基金托管人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名称：中国农业银行股份有限公司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注册地址：北京市东城区建国门内大街69号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办公地址：北京市西城区复兴门内大街28号凯晨世贸中心东座九层</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邮政编码：100031</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法定代表人：谷澍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成立时间：2009年1月15日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基金托管资格批文及文号：中国证监会证监基字[1998]23号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注册资本：34,998,303.4万元人民币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结汇、售汇；从事银行卡业务；提供信用证服务及担保；代理收付款项；提供保管箱服务；代理资金清</w:t>
      </w:r>
      <w:r>
        <w:rPr>
          <w:rFonts w:ascii="宋体" w:hAnsi="宋体"/>
          <w:sz w:val="24"/>
        </w:rPr>
        <w:lastRenderedPageBreak/>
        <w:t>算；各类汇兑业务；代理政策性银行、外国政府和国际金融机构贷款业务；贷款承诺；组织或参加银团贷款；外汇存款；外汇贷款；外汇汇款；外汇借款；发行、代理发行、买卖或代理买卖股票以外的外币有价证券；外汇票据承兑和贴现；自营、代客外汇买卖；外币兑换；外汇担保；资信调查、咨询、见证业务；企业、个人财务顾问服务；证券公司客户交易结算资金存管业务；证券投资基金托管业务；企业年金托管业务；产业投资基金托管业务；合格境外机构投资者境内证券投资托管业务；代理开放式基金业务；电话银行、手机银行、网上银行业务；金融衍生产品交易业务；经国务院银行业监督管理机构等监管部门批准的其他业务；保险兼业代理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（二）基金托管人和基金管理人之间的业务监督、核查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基金合同》、本协议和有关基金法规的规定，基金托管人对基金的投资对象、基金财产的投资组合比例、基金财产的核算、基金资产净值的计算、基金管理人报酬的计提和支付、基金费用的支付、基金申购资金的到账和赎回资金的划付、基金收益分配、基金的融资条件等行为的合法性、合规性进行监督和核查，其中对基金的投资比例的监督和检查自《基金合同》生效六个月之后开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违反《基金法》、《基金合同》、本协议或有关基金法规规定的行为，应及时以书面形式通知基金管理人限期纠正，基金管理人收到通知后应及时核对，并以书面形式对基金托管人发出回函确认。在限期内，基金托管人有权随时对通知事项进行复查，督促基金管理人改正。基金管理人对基金托管人通知的违规事项未能在限期内纠正的，基金托管人应报告中国证监会。基金托管人有义务要求基金管理人赔偿因其过失致使投资者遭受的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基金托管人发现基金管理人有重大违规行为，应立即报告中国证监会，同时通知基金管理人限期纠正。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基金合同》、本协议及其他有关规定，基金管理人就基金托管人是否及时执行基金管理人的划款指令、是否擅自动用基金财产、是否按时将分配给基金份额持有人的收益划入分红派息账户等事项，对基金托管人进行监督和核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基金管理人定期对基金托管人保管的基金财产进行核查。基金管理人发现基金托管人未对基金财产实行分账管理、擅自挪用基金财产、因基金托管人的过错导致</w:t>
      </w:r>
      <w:r>
        <w:rPr>
          <w:rFonts w:ascii="宋体" w:hAnsi="宋体"/>
          <w:sz w:val="24"/>
        </w:rPr>
        <w:lastRenderedPageBreak/>
        <w:t>基金财产灭失、减损或处于危险状态的，基金管理人应立即以书面的方式要求基金托管人予以纠正并采取必要的补救措施。基金管理人有义务要求基金托管人赔偿基金因此所遭受的损失。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的行为违反《基金法》、《基金合同》、本协议或有关基金法规的规定，应及时以书面形式通知基金托管人限期纠正，基金托管人收到通知后应及时核对并以书面形式对基金管理人发出回函。在限期内，基金管理人有权随时对通知事项进行复查，督促基金托管人改正。基金托管人对基金管理人通知的违规事项未能在限期内纠正的，基金管理人应报告中国证监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基金管理人发现基金托管人有重大违规行为，应立即报告中国证监会，同时通知基金托管人限期纠正。</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和基金托管人有义务配合和协助对方依照本协议对基金业务执行监督、核查。基金管理人或基金托管人无正当理由，拒绝、阻挠对方根据本协议规定行使监督权，或采取拖延、欺诈等手段妨碍对方进行有效监督，情节严重或经监督方提出警告仍不改正的，监督方应报告中国证监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（三）基金财产保管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一、基金财产保管的原则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1、基金托管人应依法持有并安全、完整地保管基金财产。未经基金管理人的正当指令，不得自行运用、处分、分配基金的任何财产。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2、基金财产应独立于基金管理人、基金托管人的固有财产。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3、基金托管人按照规定开立基金财产的资金账户和证券账户，对所托管的基金财产分别设置账户，与基金托管人的其他业务和其他基金的托管业务实行严格的分账管理，确保基金财产的完整与独立。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于因基金投资、基金申（认）购过程中产生的应收财产，应由基金管理人负责与有关当事人确定到账日期并通知托管人，到账日基金财产没有到达托管人处的，托管人应及时通知基金管理人采取措施进行催收。由此给基金造成损失的，基金管理人应负责向有关当事人追偿基金的损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二、募集资金的验证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期满，由基金管理人聘请具有从事证券业务资格的会计师事务所进行验资，出具验资报告，出具的验资报告应由参加验资的2名以上（含2名）中国注册会计师签字方为有效。验资完成，基金管理人应将募集到的全部资金存入基金托管</w:t>
      </w:r>
      <w:r>
        <w:rPr>
          <w:rFonts w:ascii="宋体" w:hAnsi="宋体"/>
          <w:sz w:val="24"/>
        </w:rPr>
        <w:lastRenderedPageBreak/>
        <w:t>人为基金开立的基金托管专户中，基金托管人在收到资金当日出具基金财产接收报告。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三、基金的银行账户的开设和管理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其营业机构开设基金托管专户，保管基金的银行存款。该基金托管专户是指基金托管人在集中托管模式下，代表所托管的基金与中国证券登记结算有限责任公司进行一级结算的专用账户。该账户的开设和管理由基金托管人承担。本基金的一切货币收支活动，均需通过基金托管人的基金托管专户进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基金托管专户的开立和使用，限于满足开展本基金业务的需要。基金托管人和基金管理人不得假借本基金的名义开立其他任何银行账户；亦不得使用基金的任何银行账户进行本基金业务以外的活动。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基金托管专户的管理应符合《银行账户管理办法》、《现金管理条例》、《中国人民银行利率管理的有关规定》、《关于大额现金支付管理的通知》、《支付结算办法》以及中国人民银行的其他规定。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四、基金证券账户和证券交易资金账户的开设和管理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基金托管人以基金托管人和本基金联名的方式在中国证券登记结算有限责任公司上海分公司/深圳分公司开设证券账户。</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基金证券账户的开立和使用，限于满足开展本基金业务的需要。基金托管人和基金管理人不得出借和未经对方同意擅自转让本基金的任何证券账户；亦不得使用本基金的任何账户进行本基金业务以外的活动。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基金托管人以基金托管人的名义在中国证券登记结算有限责任公司上海分公司/深圳分公司开立基金证券交易资金账户，用于证券清算。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订立日之后，本基金被允许从事其他投资品种的投资业务的，涉及相关账户的开设、使用的，除非法律法规另有规定，基金托管人应当比照并遵守上述关于账户开设、使用的规定；法律法规另有规定的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五、债券托管自营账户的开设和管理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基金的名义申请并取得进入全国银行间同业拆借市场的交易资格，并代表基金进行交易；由基金管理人在中国外汇交易中心开设同业拆借市场交易账户，由基金托管人负责以基金的名义在中央国债登记结算有限责任公司开设银行间债券市场债券托管自营账户，并由基金托管人负责基</w:t>
      </w:r>
      <w:r>
        <w:rPr>
          <w:rFonts w:ascii="宋体" w:hAnsi="宋体"/>
          <w:sz w:val="24"/>
        </w:rPr>
        <w:lastRenderedPageBreak/>
        <w:t>金的债券的后台匹配及资金的清算。在上述手续办理完毕之后，由基金托管人负责向中国人民银行进行报备。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同业拆借市场交易账户和债券托管账户根据中国人民银行、中国外汇交易中心和中央国债登记结算有限责任公司的有关规定，由基金管理人和基金托管人签订补充协议，进行使用和管理。基金管理人和基金托管人应一起负责为基金对外签订全国银行间国债市场回购主协议，正本由基金托管人保管，基金管理人保存副本。</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六、基金财产投资的有关实物证券的保管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物证券由基金托管人存放于托管银行的保管库，也可存入中央国债登记结算有限责任公司或中国证券登记结算有限责任公司上海分公司/深圳分公司或票据营业中心的代保管库。保管凭证由基金托管人持有。实物证券的购买和转让，由基金托管人根据基金管理人的指令办理。托管人对托管人以外机构实际有效控制的证券不承担责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属于基金托管人实际有效控制下的实物证券在基金托管人保管期间的损坏、灭失，由此产生的责任应由基金托管人承担。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七、与基金财产有关的重大合同的保管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由基金管理人代表基金签署的与基金有关的重大合同的原件分别由基金托管人、基金管理人保管。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本协议另有规定外，基金管理人在代表基金签署与基金有关的重大合同时应保证基金一方持有两份以上的正本，以便基金管理人和基金托管人至少各持有一份正本的原件。如上述合同只有一份正本先由基金管理人取得，则基金管理人应及时将正本送达基金托管人处保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（四）资产净值计算和会计核算</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一、基金资产净值的计算和复核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指计算日基金资产净值除以计算日基金份额总份额后的价值。本基金通过每日计算收益并分配的方式，使基金份额净值保持为人民币1.00元。国家另有规定的，从其规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2、基金管理人应每工作日对基金资产估值。估值原则应符合《基金合同》、《暂行规定》、《证券投资基金会计核算办法》及其他法律法规的规定。用于基金信</w:t>
      </w:r>
      <w:r>
        <w:rPr>
          <w:rFonts w:ascii="宋体" w:hAnsi="宋体"/>
          <w:sz w:val="24"/>
        </w:rPr>
        <w:lastRenderedPageBreak/>
        <w:t>息披露的基金日收益和基金七日年化收益率由基金管理人负责计算，基金托管人复核。基金管理人应于每个工作日交易结束后计算当日的基金资产净值、基金日收益和最近一日的七日年化收益率并以加密传真方式发送给基金托管人。基金托管人对净值计算结果复核后，签名、盖章并以加密传真方式传送给基金管理人，由基金管理人公布基金日收益和基金七日年化收益率。</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3、估值对象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基金依法持有的银行存款、各类有价证券和应收款项以及其他投资等资产。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4、估值方法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（1）本基金目前投资工具的估值方法如下：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1）基金持有的银行存款以本金列示，按银行实际协议利率逐日计提利息；</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2）基金持有的回购协议（封闭式回购）以成本列示，按实际利率在实际持有期间内逐日计提利息，合同利率与实际利率差异较小的，也可采用合同利率计算确定利息收入；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3）基金持有的附息债券、贴现券购买时采用实际支付价款（包含交易费用）确定初始成本，每日按摊余成本和实际利率计算确定利息收入；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持有的买断式回购以协议成本列示，所产生的利息在实际持有期间内逐日计提。回购期间对涉及的金融资产根据其资产的性质进行相应的估值。回购期满时，若双方都能履约，则按协议进行交割。若融资业务到期无法履约，则继续持有现金资产，实际持有的相关资产按其性质进行估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5）基金持有的资产支持证券视同债券，购买时采用实际支付价款（包含交易费用）确定初始成本，每日按摊余成本和实际利率计算确定利息收入。</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有确凿证据表明按上述方法进行估值不能客观反映其公允价值的，基金管理人可根据具体情况与基金托管人商定后，按最能反映公允价值的价格估值。即使存在上述情况，管理人若采用上述1)-5)规定的方法为基金财产进行了估值，仍应被认为采用了适当的估值方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货币市场基金存续期间，基金管理人应定期计算货币市场基金投资组合摊余成本与其他可参考公允价值指标之间的偏离程度，并定期测试其他可参考公允价值指标确定方法的有效性。投资组合的摊余成本与其他可参考公允价值指标产生重大偏离的（偏离度超过0.5%），应按其他公允价值指标对组合的账面价值进行调整，调整差额确认为"公允价值变动损益"，并按其他公允价值指标进行后续计量。</w:t>
      </w:r>
      <w:r>
        <w:rPr>
          <w:rFonts w:ascii="宋体" w:hAnsi="宋体"/>
          <w:sz w:val="24"/>
        </w:rPr>
        <w:lastRenderedPageBreak/>
        <w:t>如基金份额净值恢复至1元，可恢复使用摊余成本法估算公允价值。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（4）如有新增事项，按国家有关法律法规的最新规定估值。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（5）采用本估值方法可能对基金资产净值波动带来的影响：适用影子定价法对估值对象进行调整时，调整差额于当日计入基金资产净值，基金资产净值可能产生相应的波动。</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（6）如基金管理人或基金托管人发现基金估值违反基金合同订明的估值方法、程序及相关法律法规的规定或者未能充分维护基金份额持有人利益时，应立即通知对方，共同查明原因，双方协商解决。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开放式基金的基金会计责任方由基金管理人担任。因此，就与本基金有关的会计问题，如经相关各方在平等基础上充分讨论后，仍无法达成一致的意见，基金管理人有权按照其对基金资产净值的计算结果对外予以公布。</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5、暂停估值的情形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（1）基金投资所涉及的证券交易所遇法定节假日或因其他原因暂停营业时；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（2）因不可抗力或其他情形致使基金管理人、基金托管人无法准确评估基金财产价值时；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（3）当前一估值日基金资产净值50%以上的资产出现无可参考的活跃市场价格且采用估值技术仍导致公允价值存在重大不确定性时，经与基金托管人协商确认后，基金管理人应当暂停基金估值；</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（4）中国证监会和《基金合同》认定的其他情形。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二、净值差错处理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四舍五入的方法，基金日收益保留至小数点后四位，基金七日收益率保留至小数点后三位，法律法规另有规定的从其规定。当基金的估值导致基金日收益小数点后四位以内或基金七日收益率小数点后三位以内发生差错时，视为估值错误。基金管理人和基金托管人应采取必要、适当、合理的措施确保基金资产估值的准确性和及时性。当基金管理人确认已经发生估值错误情形时，基金管理人应立即公告、予以纠正，并采取合理的措施防止损失进一步扩大。当错误偏差达到或超过基金资产净值的0.25%时，基金管理人应当及时通知基金托管人并报中国证监会；错误偏差达到基金资产净值的0.5%时，基金管理人应当公告、通报基金托管人并报中国证监会备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因基金估值错误给投资者造成损失的应先由基金管理人承担，基金管理人对不</w:t>
      </w:r>
      <w:r>
        <w:rPr>
          <w:rFonts w:ascii="宋体" w:hAnsi="宋体"/>
          <w:sz w:val="24"/>
        </w:rPr>
        <w:lastRenderedPageBreak/>
        <w:t>应由其承担的责任，有权向过错人追偿。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计算的基金日收益和七日年化收益率已由基金托管人复核确认后公告的，由此造成的投资者或基金的损失，应根据法律法规的规定对投资者或基金支付赔偿金，就实际向投资者或基金支付的赔偿金额，按照差错发生的具体情况，由基金管理人与基金托管人各自承担相应的责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日收益和七日年化收益率计算错误造成投资者或基金的损失，以及由此造成以后交易日基金日收益和七日年化收益率计算顺延错误而引起的投资者或基金的损失，由提供错误信息的当事人一方负责赔偿。由于证券交易所及其登记结算公司发送的数据错误，或由于其他不可抗力原因，基金管理人和基金托管人虽然已经采取必要、适当、合理的措施进行检查，但是未能发现该错误的，由此造成的基金财产估值错误，基金管理人和基金托管人可以免除赔偿责任。但基金管理人和基金托管人应当积极采取必要的措施消除由此造成的影响。</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针对净值差错处理，如果法律法规或证监会有新的规定，则按新的规定执行；如果行业有通行做法，在不违背法律法规且不损害投资者利益的前提下，相关各方当事人应本着平等互利的原则重新协商确定处理原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管理人计算的基金日收益和七日年化收益率与基金托管人的计算结果不一致时，相关各方应本着勤勉尽责的态度重新计算核对，如果最后仍无法达成一致，应以基金管理人的计算结果为准对外公布，如基金管理人净值计算错误造成的损失以及因该交易日基金日收益和七日年化收益率计算顺延错误而引起的损失由基金管理人承担赔偿责任，但有权向相关责任方追偿。</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三、基金账册的建账和对账</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在基金合同生效后，应按照相关各方约定的同一记账方法和会计处理原则，分别独立地设置、登录和保管本基金的全套账册，对相关各方各自的账册定期进行核对，互相监督，以保证基金财产的安全。若双方对会计处理方法存在分歧，应以基金管理人的处理方法为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四、基金财务报表与报告的编制和复核</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基金财务报表由基金管理人和基金托管人每月分别独立编制。月度报表的编制，应于每月终了后5日内完成。</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会计年度半年终了后两个月内完成中期报告编制并公告；在会计年度结束后三个月内完成年度报告编制并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月度报表完成当日，对报表盖章后，以加密传真方式或双方商定的其他方式将有关报表提供基金托管人复核；基金托管人在5日内立即进行复核，并将复核结果及时书面通知基金管理人。基金管理人在季度报告完成当日，将有关报告提供基金托管人复核，基金托管人在收到后10日内进行复核，并将复核结果书面通知基金管理人。基金管理人在中期报完成当日，将有关报告提供基金托管人复核，基金托管人在收到后30日内进行复核，并将复核结果书面通知基金管理人。基金管理人在年度报告完成当日，将有关报告提供基金托管人复核，基金托管人在收到后45日内复核，并将复核结果书面通知基金管理人。基金托管人在复核过程中，发现相关各方的报表存在不符时，基金管理人和基金托管人应共同查明原因，进行调整，调整以相关各方认可的账务处理方式为准。若双方无法达成一致以基金管理人的账务处理为准。核对无误后，基金托管人在基金管理人提供的报告上加盖公章或者出具加盖托管业务部门公章的复核意见书，相关各方各自留存一份。</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基金托管人在对财务会计报告、中期报告或年度报告复核完毕后，需盖章确认或出具相应的复核确认书，以备有权机构对相关文件审核时提示。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五、基金份额持有人名册的登记与保管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包括基金设立募集期结束时的基金份额持有人名册、基金权益登记日的基金份额持有人名册、基金份额持有人大会登记日的基金份额持有人名册、每月最后一个交易日的基金份额持有人名册，由基金注册登记机构负责编制和保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六、争议的处理和适用法律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相关各方当事人同意，因本协议而产生的或与本协议有关的一切争议，除经友</w:t>
      </w:r>
      <w:r>
        <w:rPr>
          <w:rFonts w:ascii="宋体" w:hAnsi="宋体"/>
          <w:sz w:val="24"/>
        </w:rPr>
        <w:lastRenderedPageBreak/>
        <w:t>好协商可以解决的，应提交中国国际经济贸易仲裁委员会根据提交争议时该会当时有效的仲裁规则进行仲裁，仲裁的地点在上海，仲裁裁决是终局性的并对相关各方均具有约束力，仲裁费用按仲裁裁决决定。</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争议处理期间，相关各方当事人应恪守基金管理人和基金托管人职责，继续忠实、勤勉、尽责地履行《基金合同》和托管协议规定的义务，维护基金份额持有人的合法权益。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（五）托管协议的修改和终止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1、本协议相关各方当事人经协商一致，可以对协议进行修改。修改后的新协议，其内容不得与《基金合同》的规定有任何冲突。修改后的新协议向中国证监会办理完必要的核准或备案手续后生效。</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2、发生以下情况，本托管协议终止：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（2）因基金托管人解散、依法被撤销、破产或其他事由造成本基金更换基金托管人；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（3）因基金管理人解散、依法被撤销、破产或其他事由造成本基金更换基金管理人；</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（4）发生《基金法》或其他法律法规规定的终止事项。</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根据《基金法》、《关于货币市场基金提前支取定期存款有关问题的通知》等法律法规的规定，本基金管理人和基金托管人于2006年7月签订了《关于货币市场基金提前支取定期存款有关问题的协议》，作为托管协议的补充。</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6" w:name="_Toc231197070"/>
      <w:r>
        <w:rPr>
          <w:rFonts w:ascii="Times New Roman" w:hAnsi="Times New Roman"/>
          <w:sz w:val="30"/>
        </w:rPr>
        <w:lastRenderedPageBreak/>
        <w:t>二十三、对基金份额持有人的服务</w:t>
      </w:r>
      <w:bookmarkEnd w:id="26"/>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1、每次交易结束后，投资者可在T+2个工作日后通过销售机构的网点查询和打印确认单。</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人可以直接通过本基金管理人网站的网上直销交易平台办理开户和本基金的赎回、定期定额投资和转换等业务。通过网上直销交易平台办理本基金转换出业务的个人投资者将享受转换费中相应申购补差费率的优惠，其他费率标准不变。具体优惠费率请参见公司网站列示的网上直销定期定额投资及转换费率表或相关公告。本公司基金网上直销业务已开通的银行卡及各银行卡交易金额限额请参阅本公司网站。</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在条件成熟的时候，本基金管理人将根据基金网上直销交易业务的发展状况，适时调整可用于基金网上直销交易平台的银行卡种类，敬请个人投资者留意相关公告。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如果想查询认购、申购和赎回等交易情况、分红方式状态、基金账户余额、基金产品与服务等信息，请拨打本基金管理人客户服务电话（400-700-5000，021-61055000）或登录本基金管理人网站（www.fund001.com）进行咨询、查询。</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者预设基金查询密码，预设的基金查询密码为投资者开户证件号码的后6位数字，不足6位数字的，前面加“0”补足。基金查询密码用于投资者通过客户服务电话查询基金账户下的账户和交易信息。投资者请在其知晓基金账号或收到账户通知书后，及时拨打本基金管理人客户服务电话修改基金查询密码。</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投资者可以拨打本基金管理人客户服务电话投诉直销机构的人员和服务。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（四）定期定额投资计划和转换业务</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本基金已开通定期定额投资计划和转换业务，具体实施方法请参见相关公告。</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（五）如本招募说明书存在任何您/贵机构无法理解的内容，请通过上述方式联系基金管理人。请确保投资前，您/贵机构已经全面理解了本招募说明书。</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7" w:name="_Toc231197071"/>
      <w:r>
        <w:rPr>
          <w:rFonts w:ascii="Times New Roman" w:hAnsi="Times New Roman"/>
          <w:sz w:val="30"/>
        </w:rPr>
        <w:lastRenderedPageBreak/>
        <w:t>二十四、其他应披露事项</w:t>
      </w:r>
      <w:bookmarkEnd w:id="27"/>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交银施罗德基金管理有限公司关于增加交通银行股份有限公司为旗下基金的销售机构的公告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2025-06-13</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B</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D</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2025-06-20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交银施罗德基金管理有限公司关于恢复旗下部分基金在中国农业银行股份有限公司申购（转换转入、定期定额投资）业务的公告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2025-09-08</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交银施罗德基金管理有限公司关于交银施罗德货币市场证券投资基金调整非直销销售机构大额申购（转换转入、定期定额投资）业务限额的公告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2025-09-10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934076">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交银施罗德货币市场证券投资基金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934076" w:rsidRDefault="00C23400">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8" w:name="_Toc231197072"/>
      <w:r>
        <w:rPr>
          <w:rFonts w:ascii="Times New Roman" w:hAnsi="Times New Roman"/>
          <w:sz w:val="30"/>
        </w:rPr>
        <w:lastRenderedPageBreak/>
        <w:t>二十五、招募说明书的存放及查阅方式</w:t>
      </w:r>
      <w:bookmarkEnd w:id="28"/>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的办公场所，投资者可在办公时间查阅；投资者在支付工本费后，可在合理时间内取得上述文件复制件或复印件。对投资者按此种方式所获得的文件及其复印件，基金管理人和基金托管人保证文本的内容与所公告的内容完全一致。</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投资者还可以直接登录基金管理人的网站(www.fund001.com)查阅和下载招募说明书。</w:t>
      </w:r>
    </w:p>
    <w:p w:rsidR="00B439CC" w:rsidRDefault="00C23400"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934076" w:rsidRDefault="00C23400">
      <w:pPr>
        <w:pStyle w:val="1"/>
        <w:snapToGrid w:val="0"/>
        <w:spacing w:beforeLines="0" w:before="240" w:after="240"/>
        <w:rPr>
          <w:rFonts w:ascii="宋体" w:hAnsi="宋体"/>
          <w:szCs w:val="30"/>
        </w:rPr>
      </w:pPr>
      <w:bookmarkStart w:id="29" w:name="_Toc231197073"/>
      <w:r>
        <w:rPr>
          <w:rFonts w:ascii="Times New Roman" w:hAnsi="Times New Roman"/>
          <w:sz w:val="30"/>
        </w:rPr>
        <w:lastRenderedPageBreak/>
        <w:t>二十六、备查文件</w:t>
      </w:r>
      <w:bookmarkEnd w:id="29"/>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（一）中国证监会批准交银施罗德货币市场证券投资基金募集的文件；</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（二）《交银施罗德货币市场证券投资基金基金合同》；</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（三）《交银施罗德货币市场证券投资基金托管协议》；</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934076" w:rsidRDefault="00C23400">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（六）关于募集交银施罗德货币市场证券投资基金之法律意见书。</w:t>
      </w:r>
    </w:p>
    <w:sectPr w:rsidR="00934076">
      <w:footerReference w:type="default" r:id="rId22"/>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5FF8" w:rsidRDefault="00C23400">
      <w:r>
        <w:separator/>
      </w:r>
    </w:p>
  </w:endnote>
  <w:endnote w:type="continuationSeparator" w:id="0">
    <w:p w:rsidR="003E5FF8" w:rsidRDefault="00C234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76" w:rsidRDefault="00934076">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76" w:rsidRDefault="0097071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934076" w:rsidRDefault="00C2340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7071F">
                  <w:rPr>
                    <w:rFonts w:ascii="Times New Roman" w:hAnsi="Times New Roman"/>
                    <w:noProof/>
                    <w:kern w:val="0"/>
                    <w:sz w:val="18"/>
                    <w:szCs w:val="18"/>
                  </w:rPr>
                  <w:t>2</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76" w:rsidRDefault="00934076">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76" w:rsidRDefault="0097071F">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934076" w:rsidRDefault="00C23400">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7071F">
                  <w:rPr>
                    <w:rFonts w:ascii="Times New Roman" w:hAnsi="Times New Roman"/>
                    <w:noProof/>
                    <w:kern w:val="0"/>
                    <w:sz w:val="18"/>
                    <w:szCs w:val="18"/>
                  </w:rPr>
                  <w:t>151</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5FF8" w:rsidRDefault="00C23400">
      <w:r>
        <w:separator/>
      </w:r>
    </w:p>
  </w:footnote>
  <w:footnote w:type="continuationSeparator" w:id="0">
    <w:p w:rsidR="003E5FF8" w:rsidRDefault="00C234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76" w:rsidRDefault="0093407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76" w:rsidRDefault="00C23400">
    <w:pPr>
      <w:pStyle w:val="a3"/>
      <w:jc w:val="right"/>
      <w:rPr>
        <w:rFonts w:ascii="宋体" w:hAnsi="宋体"/>
      </w:rPr>
    </w:pPr>
    <w:r>
      <w:rPr>
        <w:rFonts w:ascii="宋体" w:hAnsi="宋体" w:hint="eastAsia"/>
      </w:rPr>
      <w:t>交银施罗德货币市场证券投资基金招募说明书更新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76" w:rsidRDefault="00934076">
    <w:pPr>
      <w:pStyle w:val="10"/>
      <w:jc w:val="right"/>
    </w:pPr>
  </w:p>
  <w:p w:rsidR="00934076" w:rsidRDefault="00934076">
    <w:pPr>
      <w:pStyle w:val="10"/>
      <w:jc w:val="right"/>
    </w:pPr>
  </w:p>
  <w:p w:rsidR="00934076" w:rsidRDefault="00934076">
    <w:pPr>
      <w:pStyle w:val="a3"/>
      <w:jc w:val="right"/>
    </w:pPr>
  </w:p>
  <w:p w:rsidR="00934076" w:rsidRDefault="00C23400">
    <w:pPr>
      <w:pStyle w:val="a3"/>
      <w:jc w:val="right"/>
      <w:rPr>
        <w:rFonts w:ascii="宋体" w:hAnsi="宋体"/>
      </w:rPr>
    </w:pPr>
    <w:r>
      <w:rPr>
        <w:rFonts w:ascii="宋体" w:hAnsi="宋体" w:hint="eastAsia"/>
      </w:rPr>
      <w:t>交银施罗德货币市场证券投资基金招募说明书更新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34076" w:rsidRDefault="00934076">
    <w:pPr>
      <w:pStyle w:val="a3"/>
      <w:jc w:val="right"/>
    </w:pPr>
  </w:p>
  <w:p w:rsidR="00934076" w:rsidRDefault="00934076">
    <w:pPr>
      <w:pStyle w:val="a3"/>
      <w:jc w:val="right"/>
    </w:pPr>
  </w:p>
  <w:p w:rsidR="00934076" w:rsidRDefault="00934076">
    <w:pPr>
      <w:pStyle w:val="a3"/>
      <w:jc w:val="right"/>
    </w:pPr>
  </w:p>
  <w:p w:rsidR="00934076" w:rsidRDefault="00C23400">
    <w:pPr>
      <w:pStyle w:val="a3"/>
      <w:jc w:val="right"/>
      <w:rPr>
        <w:rFonts w:ascii="宋体" w:hAnsi="宋体"/>
      </w:rPr>
    </w:pPr>
    <w:r>
      <w:rPr>
        <w:rFonts w:ascii="宋体" w:hAnsi="宋体" w:hint="eastAsia"/>
      </w:rPr>
      <w:t>交银施罗德货币市场证券投资基金招募说明书更新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81"/>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5FF8"/>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4076"/>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71F"/>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400"/>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81"/>
    <o:shapelayout v:ext="edit">
      <o:idmap v:ext="edit" data="3"/>
    </o:shapelayout>
  </w:shapeDefaults>
  <w:decimalSymbol w:val="."/>
  <w:listSeparator w:val=","/>
  <w15:docId w15:val="{C3F1A852-D6B1-4EF7-BE8E-6F322AE23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image" Target="media/image4.png"/><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152</Pages>
  <Words>15000</Words>
  <Characters>85506</Characters>
  <Application>Microsoft Office Word</Application>
  <DocSecurity>0</DocSecurity>
  <Lines>712</Lines>
  <Paragraphs>200</Paragraphs>
  <ScaleCrop>false</ScaleCrop>
  <Company>Microsoft</Company>
  <LinksUpToDate>false</LinksUpToDate>
  <CharactersWithSpaces>100306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2026-06-01T01:03:00Z</dcterms:created>
  <dcterms:modified xsi:type="dcterms:W3CDTF">2026-06-01T01:03:00Z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