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01037">
      <w:pPr>
        <w:rPr>
          <w:sz w:val="32"/>
        </w:rPr>
      </w:pPr>
    </w:p>
    <w:p w:rsidR="00C92FC0" w:rsidRPr="00EB07BC" w:rsidRDefault="00F01037">
      <w:pPr>
        <w:rPr>
          <w:sz w:val="32"/>
        </w:rPr>
      </w:pPr>
    </w:p>
    <w:p w:rsidR="00C92FC0" w:rsidRPr="00EB07BC" w:rsidRDefault="00F01037">
      <w:pPr>
        <w:rPr>
          <w:sz w:val="32"/>
        </w:rPr>
      </w:pPr>
    </w:p>
    <w:p w:rsidR="00C074BC" w:rsidRDefault="00C074B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074BC" w:rsidRDefault="00C074B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074BC" w:rsidRDefault="00C074B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074BC" w:rsidRDefault="009C252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交银施罗德可转债债券型证券投资基金</w:t>
      </w:r>
    </w:p>
    <w:p w:rsidR="00C074BC" w:rsidRDefault="009C252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074BC" w:rsidRDefault="00C074BC">
      <w:pPr>
        <w:snapToGrid w:val="0"/>
        <w:spacing w:line="360" w:lineRule="auto"/>
        <w:jc w:val="center"/>
        <w:rPr>
          <w:rFonts w:ascii="宋体" w:hAnsi="宋体"/>
          <w:b/>
          <w:sz w:val="30"/>
          <w:szCs w:val="30"/>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9C252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074BC" w:rsidRDefault="009C252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C074B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074BC" w:rsidRDefault="009C252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C074BC" w:rsidRDefault="00C074BC">
      <w:pPr>
        <w:autoSpaceDE w:val="0"/>
        <w:autoSpaceDN w:val="0"/>
        <w:adjustRightInd w:val="0"/>
        <w:snapToGrid w:val="0"/>
        <w:spacing w:line="360" w:lineRule="auto"/>
        <w:ind w:left="1347" w:rightChars="6" w:right="13"/>
        <w:rPr>
          <w:rFonts w:ascii="宋体" w:hAnsi="宋体"/>
          <w:kern w:val="0"/>
          <w:sz w:val="32"/>
          <w:szCs w:val="32"/>
        </w:rPr>
        <w:sectPr w:rsidR="00C074B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074BC" w:rsidRDefault="009C252D">
      <w:pPr>
        <w:pStyle w:val="1"/>
        <w:snapToGrid w:val="0"/>
        <w:spacing w:beforeLines="0" w:before="240" w:after="240"/>
        <w:rPr>
          <w:rFonts w:ascii="宋体" w:hAnsi="宋体"/>
          <w:kern w:val="0"/>
        </w:rPr>
      </w:pPr>
      <w:bookmarkStart w:id="0" w:name="_Toc324920538"/>
      <w:bookmarkStart w:id="1" w:name="_Toc496884613"/>
      <w:bookmarkStart w:id="2" w:name="_Toc231197043"/>
      <w:r>
        <w:rPr>
          <w:rFonts w:ascii="Times New Roman" w:hAnsi="Times New Roman"/>
          <w:kern w:val="0"/>
        </w:rPr>
        <w:lastRenderedPageBreak/>
        <w:t>重要提示</w:t>
      </w:r>
      <w:bookmarkEnd w:id="0"/>
      <w:bookmarkEnd w:id="1"/>
      <w:bookmarkEnd w:id="2"/>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交银施罗德可转债债券型证券投资基金（以下简称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546</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万元情形时基金管理人提前终止基金合同的风险；投资科创板股票的特定风险；投资本基金特有的其他风险等等。</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本基金投资于可转换债券（含可交换债券、可分离交易可转债）的比例不低于非现金基金资产的</w:t>
      </w:r>
      <w:r>
        <w:rPr>
          <w:rFonts w:ascii="Times New Roman" w:hAnsi="Times New Roman"/>
          <w:kern w:val="0"/>
          <w:sz w:val="24"/>
        </w:rPr>
        <w:t>80%</w:t>
      </w:r>
      <w:r>
        <w:rPr>
          <w:rFonts w:ascii="Times New Roman" w:hAnsi="Times New Roman"/>
          <w:kern w:val="0"/>
          <w:sz w:val="24"/>
        </w:rPr>
        <w:t>，需要承担可转换债券和可交换债券市场的流动性风险、债券价格受所对应股票价格波动影响而波动的风险以及在转股期或换股期不能转股或换股的风险等。</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074BC" w:rsidRDefault="009C252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C074BC" w:rsidRDefault="00C074BC">
      <w:pPr>
        <w:autoSpaceDE w:val="0"/>
        <w:autoSpaceDN w:val="0"/>
        <w:adjustRightInd w:val="0"/>
        <w:snapToGrid w:val="0"/>
        <w:spacing w:before="51" w:line="360" w:lineRule="auto"/>
        <w:ind w:left="120" w:rightChars="6" w:right="13" w:firstLine="480"/>
        <w:rPr>
          <w:rFonts w:ascii="宋体" w:hAnsi="宋体"/>
          <w:kern w:val="0"/>
          <w:szCs w:val="24"/>
        </w:rPr>
        <w:sectPr w:rsidR="00C074BC">
          <w:headerReference w:type="default" r:id="rId14"/>
          <w:pgSz w:w="11920" w:h="16840"/>
          <w:pgMar w:top="1440" w:right="1680" w:bottom="280" w:left="1680" w:header="0" w:footer="1073" w:gutter="0"/>
          <w:pgNumType w:start="1"/>
          <w:cols w:space="720"/>
        </w:sectPr>
      </w:pPr>
    </w:p>
    <w:p w:rsidR="00F01037" w:rsidRPr="00F01037" w:rsidRDefault="009C252D" w:rsidP="00F01037">
      <w:pPr>
        <w:pStyle w:val="ad"/>
        <w:snapToGrid w:val="0"/>
        <w:spacing w:after="240" w:line="360" w:lineRule="auto"/>
        <w:jc w:val="center"/>
        <w:rPr>
          <w:rFonts w:ascii="宋体" w:hAnsi="宋体"/>
          <w:noProof/>
          <w:sz w:val="24"/>
        </w:rPr>
      </w:pPr>
      <w:r w:rsidRPr="00F01037">
        <w:rPr>
          <w:rFonts w:ascii="宋体" w:hAnsi="宋体"/>
          <w:color w:val="000000"/>
          <w:position w:val="-4"/>
          <w:sz w:val="24"/>
          <w:szCs w:val="30"/>
        </w:rPr>
        <w:lastRenderedPageBreak/>
        <w:t>目</w:t>
      </w:r>
      <w:r w:rsidRPr="00F01037">
        <w:rPr>
          <w:rFonts w:ascii="宋体" w:hAnsi="宋体"/>
          <w:color w:val="000000"/>
          <w:position w:val="-4"/>
          <w:sz w:val="24"/>
          <w:szCs w:val="30"/>
        </w:rPr>
        <w:tab/>
        <w:t>录</w:t>
      </w:r>
      <w:r w:rsidR="00F01037" w:rsidRPr="00F01037">
        <w:rPr>
          <w:rFonts w:ascii="宋体" w:hAnsi="宋体"/>
          <w:color w:val="000000"/>
          <w:position w:val="-4"/>
          <w:sz w:val="24"/>
          <w:szCs w:val="30"/>
        </w:rPr>
        <w:fldChar w:fldCharType="begin"/>
      </w:r>
      <w:r w:rsidR="00F01037" w:rsidRPr="00F01037">
        <w:rPr>
          <w:rFonts w:ascii="宋体" w:hAnsi="宋体"/>
          <w:color w:val="000000"/>
          <w:position w:val="-4"/>
          <w:sz w:val="24"/>
          <w:szCs w:val="30"/>
        </w:rPr>
        <w:instrText xml:space="preserve"> TOC \o "1-3" \f - \h \t "-1" </w:instrText>
      </w:r>
      <w:r w:rsidR="00F01037" w:rsidRPr="00F01037">
        <w:rPr>
          <w:rFonts w:ascii="宋体" w:hAnsi="宋体"/>
          <w:color w:val="000000"/>
          <w:position w:val="-4"/>
          <w:sz w:val="24"/>
          <w:szCs w:val="30"/>
        </w:rPr>
        <w:fldChar w:fldCharType="separate"/>
      </w:r>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3" w:history="1">
        <w:r w:rsidRPr="00F01037">
          <w:rPr>
            <w:rStyle w:val="aa"/>
            <w:rFonts w:ascii="宋体" w:hAnsi="宋体" w:hint="eastAsia"/>
            <w:noProof/>
            <w:kern w:val="0"/>
            <w:sz w:val="24"/>
          </w:rPr>
          <w:t>重要提示</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_Toc231197043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4" w:history="1">
        <w:r w:rsidRPr="00F01037">
          <w:rPr>
            <w:rStyle w:val="aa"/>
            <w:rFonts w:ascii="宋体" w:hAnsi="宋体" w:hint="eastAsia"/>
            <w:noProof/>
            <w:sz w:val="24"/>
          </w:rPr>
          <w:t>一、绪言</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_Toc231197044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4</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5" w:history="1">
        <w:r w:rsidRPr="00F01037">
          <w:rPr>
            <w:rStyle w:val="aa"/>
            <w:rFonts w:ascii="宋体" w:hAnsi="宋体" w:hint="eastAsia"/>
            <w:noProof/>
            <w:sz w:val="24"/>
          </w:rPr>
          <w:t>二、释义</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_Toc231197045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5</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6" w:history="1">
        <w:r w:rsidRPr="00F01037">
          <w:rPr>
            <w:rStyle w:val="aa"/>
            <w:rFonts w:ascii="宋体" w:hAnsi="宋体" w:hint="eastAsia"/>
            <w:noProof/>
            <w:sz w:val="24"/>
          </w:rPr>
          <w:t>三、基金管理人</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_Toc231197046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10</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7" w:history="1">
        <w:r w:rsidRPr="00F01037">
          <w:rPr>
            <w:rStyle w:val="aa"/>
            <w:rFonts w:ascii="宋体" w:hAnsi="宋体" w:hint="eastAsia"/>
            <w:noProof/>
            <w:sz w:val="24"/>
          </w:rPr>
          <w:t>四、基金托管人</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_Toc231197047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18</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8" w:history="1">
        <w:r w:rsidRPr="00F01037">
          <w:rPr>
            <w:rStyle w:val="aa"/>
            <w:rFonts w:ascii="宋体" w:hAnsi="宋体" w:hint="eastAsia"/>
            <w:noProof/>
            <w:sz w:val="24"/>
          </w:rPr>
          <w:t>五、相关服务机构</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_Toc231197048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21</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49" w:history="1">
        <w:r w:rsidRPr="00F01037">
          <w:rPr>
            <w:rStyle w:val="aa"/>
            <w:rFonts w:ascii="宋体" w:hAnsi="宋体" w:hint="eastAsia"/>
            <w:noProof/>
            <w:sz w:val="24"/>
          </w:rPr>
          <w:t>六、基金的募集</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_Toc231197049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45</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0" w:history="1">
        <w:r w:rsidRPr="00F01037">
          <w:rPr>
            <w:rStyle w:val="aa"/>
            <w:rFonts w:ascii="宋体" w:hAnsi="宋体" w:hint="eastAsia"/>
            <w:noProof/>
            <w:sz w:val="24"/>
          </w:rPr>
          <w:t>七、基金合同的生效</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_Toc231197050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46</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1" w:history="1">
        <w:r w:rsidRPr="00F01037">
          <w:rPr>
            <w:rStyle w:val="aa"/>
            <w:rFonts w:ascii="宋体" w:hAnsi="宋体" w:hint="eastAsia"/>
            <w:noProof/>
            <w:sz w:val="24"/>
          </w:rPr>
          <w:t>八、基金份额的申购与赎回</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_Toc231197051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47</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2" w:history="1">
        <w:r w:rsidRPr="00F01037">
          <w:rPr>
            <w:rStyle w:val="aa"/>
            <w:rFonts w:ascii="宋体" w:hAnsi="宋体" w:hint="eastAsia"/>
            <w:noProof/>
            <w:sz w:val="24"/>
          </w:rPr>
          <w:t>九、基金的转换</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_Toc231197052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61</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3" w:history="1">
        <w:r w:rsidRPr="00F01037">
          <w:rPr>
            <w:rStyle w:val="aa"/>
            <w:rFonts w:ascii="宋体" w:hAnsi="宋体" w:hint="eastAsia"/>
            <w:noProof/>
            <w:sz w:val="24"/>
          </w:rPr>
          <w:t>十、基金的投资</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_Toc231197053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68</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4" w:history="1">
        <w:r w:rsidRPr="00F01037">
          <w:rPr>
            <w:rStyle w:val="aa"/>
            <w:rFonts w:ascii="宋体" w:hAnsi="宋体" w:hint="eastAsia"/>
            <w:noProof/>
            <w:sz w:val="24"/>
          </w:rPr>
          <w:t>十一、基金的业绩</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_Toc231197054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82</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5" w:history="1">
        <w:r w:rsidRPr="00F01037">
          <w:rPr>
            <w:rStyle w:val="aa"/>
            <w:rFonts w:ascii="宋体" w:hAnsi="宋体" w:hint="eastAsia"/>
            <w:noProof/>
            <w:sz w:val="24"/>
          </w:rPr>
          <w:t>十二、基金的财产</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_Toc231197055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85</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6" w:history="1">
        <w:r w:rsidRPr="00F01037">
          <w:rPr>
            <w:rStyle w:val="aa"/>
            <w:rFonts w:ascii="宋体" w:hAnsi="宋体" w:hint="eastAsia"/>
            <w:noProof/>
            <w:sz w:val="24"/>
          </w:rPr>
          <w:t>十三、基金资产的估值</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_Toc231197056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86</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7" w:history="1">
        <w:r w:rsidRPr="00F01037">
          <w:rPr>
            <w:rStyle w:val="aa"/>
            <w:rFonts w:ascii="宋体" w:hAnsi="宋体" w:hint="eastAsia"/>
            <w:noProof/>
            <w:sz w:val="24"/>
          </w:rPr>
          <w:t>十四、基金收益与分配</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_Toc231197057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92</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8" w:history="1">
        <w:r w:rsidRPr="00F01037">
          <w:rPr>
            <w:rStyle w:val="aa"/>
            <w:rFonts w:ascii="宋体" w:hAnsi="宋体" w:hint="eastAsia"/>
            <w:noProof/>
            <w:sz w:val="24"/>
          </w:rPr>
          <w:t>十五、基金的费用与税收</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_Toc231197058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94</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59" w:history="1">
        <w:r w:rsidRPr="00F01037">
          <w:rPr>
            <w:rStyle w:val="aa"/>
            <w:rFonts w:ascii="宋体" w:hAnsi="宋体" w:hint="eastAsia"/>
            <w:noProof/>
            <w:sz w:val="24"/>
          </w:rPr>
          <w:t>十六、基金的会计与审计</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_Toc231197059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97</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0" w:history="1">
        <w:r w:rsidRPr="00F01037">
          <w:rPr>
            <w:rStyle w:val="aa"/>
            <w:rFonts w:ascii="宋体" w:hAnsi="宋体" w:hint="eastAsia"/>
            <w:noProof/>
            <w:sz w:val="24"/>
          </w:rPr>
          <w:t>十七、基金的信息披露</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_Toc231197060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98</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1" w:history="1">
        <w:r w:rsidRPr="00F01037">
          <w:rPr>
            <w:rStyle w:val="aa"/>
            <w:rFonts w:ascii="宋体" w:hAnsi="宋体" w:hint="eastAsia"/>
            <w:noProof/>
            <w:sz w:val="24"/>
          </w:rPr>
          <w:t>十八、侧袋机制</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_Toc231197061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105</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2" w:history="1">
        <w:r w:rsidRPr="00F01037">
          <w:rPr>
            <w:rStyle w:val="aa"/>
            <w:rFonts w:ascii="宋体" w:hAnsi="宋体" w:hint="eastAsia"/>
            <w:noProof/>
            <w:sz w:val="24"/>
          </w:rPr>
          <w:t>十九、风险揭示</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_Toc231197062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108</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3" w:history="1">
        <w:r w:rsidRPr="00F01037">
          <w:rPr>
            <w:rStyle w:val="aa"/>
            <w:rFonts w:ascii="宋体" w:hAnsi="宋体" w:hint="eastAsia"/>
            <w:noProof/>
            <w:sz w:val="24"/>
          </w:rPr>
          <w:t>二十、基金合同的变更、终止与基金财产的清算</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_Toc231197063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117</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4" w:history="1">
        <w:r w:rsidRPr="00F01037">
          <w:rPr>
            <w:rStyle w:val="aa"/>
            <w:rFonts w:ascii="宋体" w:hAnsi="宋体" w:hint="eastAsia"/>
            <w:noProof/>
            <w:sz w:val="24"/>
          </w:rPr>
          <w:t>二十一、基金合同内容摘要</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_Toc231197064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119</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5" w:history="1">
        <w:r w:rsidRPr="00F01037">
          <w:rPr>
            <w:rStyle w:val="aa"/>
            <w:rFonts w:ascii="宋体" w:hAnsi="宋体" w:hint="eastAsia"/>
            <w:noProof/>
            <w:sz w:val="24"/>
          </w:rPr>
          <w:t>二十二、托管协议的内容摘要</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_Toc231197065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136</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6" w:history="1">
        <w:r w:rsidRPr="00F01037">
          <w:rPr>
            <w:rStyle w:val="aa"/>
            <w:rFonts w:ascii="宋体" w:hAnsi="宋体" w:hint="eastAsia"/>
            <w:noProof/>
            <w:sz w:val="24"/>
          </w:rPr>
          <w:t>二十三、对基金份额持有人的服务</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_Toc231197066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155</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7" w:history="1">
        <w:r w:rsidRPr="00F01037">
          <w:rPr>
            <w:rStyle w:val="aa"/>
            <w:rFonts w:ascii="宋体" w:hAnsi="宋体" w:hint="eastAsia"/>
            <w:noProof/>
            <w:sz w:val="24"/>
          </w:rPr>
          <w:t>二十四、其他应披露事项</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_Toc231197067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157</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8" w:history="1">
        <w:r w:rsidRPr="00F01037">
          <w:rPr>
            <w:rStyle w:val="aa"/>
            <w:rFonts w:ascii="宋体" w:hAnsi="宋体" w:hint="eastAsia"/>
            <w:noProof/>
            <w:sz w:val="24"/>
          </w:rPr>
          <w:t>二十五、招募说明书的存放及查阅方式</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_Toc231197068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159</w:t>
        </w:r>
        <w:r w:rsidRPr="00F01037">
          <w:rPr>
            <w:rFonts w:ascii="宋体" w:hAnsi="宋体"/>
            <w:noProof/>
            <w:sz w:val="24"/>
          </w:rPr>
          <w:fldChar w:fldCharType="end"/>
        </w:r>
      </w:hyperlink>
    </w:p>
    <w:p w:rsidR="00F01037" w:rsidRPr="00F01037" w:rsidRDefault="00F01037" w:rsidP="00F01037">
      <w:pPr>
        <w:pStyle w:val="10"/>
        <w:tabs>
          <w:tab w:val="right" w:leader="dot" w:pos="8550"/>
        </w:tabs>
        <w:spacing w:line="360" w:lineRule="auto"/>
        <w:rPr>
          <w:rFonts w:ascii="宋体" w:hAnsi="宋体" w:cstheme="minorBidi"/>
          <w:noProof/>
          <w:sz w:val="24"/>
        </w:rPr>
      </w:pPr>
      <w:hyperlink w:anchor="_Toc231197069" w:history="1">
        <w:r w:rsidRPr="00F01037">
          <w:rPr>
            <w:rStyle w:val="aa"/>
            <w:rFonts w:ascii="宋体" w:hAnsi="宋体" w:hint="eastAsia"/>
            <w:noProof/>
            <w:sz w:val="24"/>
          </w:rPr>
          <w:t>二十六、备查文件</w:t>
        </w:r>
        <w:r w:rsidRPr="00F01037">
          <w:rPr>
            <w:rFonts w:ascii="宋体" w:hAnsi="宋体"/>
            <w:noProof/>
            <w:sz w:val="24"/>
          </w:rPr>
          <w:tab/>
        </w:r>
        <w:r w:rsidRPr="00F01037">
          <w:rPr>
            <w:rFonts w:ascii="宋体" w:hAnsi="宋体"/>
            <w:noProof/>
            <w:sz w:val="24"/>
          </w:rPr>
          <w:fldChar w:fldCharType="begin"/>
        </w:r>
        <w:r w:rsidRPr="00F01037">
          <w:rPr>
            <w:rFonts w:ascii="宋体" w:hAnsi="宋体"/>
            <w:noProof/>
            <w:sz w:val="24"/>
          </w:rPr>
          <w:instrText xml:space="preserve"> PAGEREF _Toc231197069 \h </w:instrText>
        </w:r>
        <w:r w:rsidRPr="00F01037">
          <w:rPr>
            <w:rFonts w:ascii="宋体" w:hAnsi="宋体"/>
            <w:noProof/>
            <w:sz w:val="24"/>
          </w:rPr>
        </w:r>
        <w:r w:rsidRPr="00F01037">
          <w:rPr>
            <w:rFonts w:ascii="宋体" w:hAnsi="宋体"/>
            <w:noProof/>
            <w:sz w:val="24"/>
          </w:rPr>
          <w:fldChar w:fldCharType="separate"/>
        </w:r>
        <w:r w:rsidRPr="00F01037">
          <w:rPr>
            <w:rFonts w:ascii="宋体" w:hAnsi="宋体"/>
            <w:noProof/>
            <w:sz w:val="24"/>
          </w:rPr>
          <w:t>160</w:t>
        </w:r>
        <w:r w:rsidRPr="00F01037">
          <w:rPr>
            <w:rFonts w:ascii="宋体" w:hAnsi="宋体"/>
            <w:noProof/>
            <w:sz w:val="24"/>
          </w:rPr>
          <w:fldChar w:fldCharType="end"/>
        </w:r>
      </w:hyperlink>
    </w:p>
    <w:p w:rsidR="00C074BC" w:rsidRPr="00F01037" w:rsidRDefault="00F01037" w:rsidP="00F01037">
      <w:pPr>
        <w:pStyle w:val="ad"/>
        <w:snapToGrid w:val="0"/>
        <w:spacing w:after="240" w:line="360" w:lineRule="auto"/>
        <w:jc w:val="center"/>
        <w:rPr>
          <w:rFonts w:ascii="宋体" w:hAnsi="宋体"/>
          <w:color w:val="000000"/>
          <w:sz w:val="24"/>
        </w:rPr>
      </w:pPr>
      <w:r w:rsidRPr="00F01037">
        <w:rPr>
          <w:rFonts w:ascii="宋体" w:hAnsi="宋体"/>
          <w:color w:val="000000"/>
          <w:position w:val="-4"/>
          <w:sz w:val="24"/>
          <w:szCs w:val="30"/>
        </w:rPr>
        <w:fldChar w:fldCharType="end"/>
      </w:r>
      <w:bookmarkStart w:id="3" w:name="_GoBack"/>
      <w:bookmarkEnd w:id="3"/>
    </w:p>
    <w:p w:rsidR="00C074BC" w:rsidRDefault="00C074BC">
      <w:pPr>
        <w:autoSpaceDE w:val="0"/>
        <w:autoSpaceDN w:val="0"/>
        <w:adjustRightInd w:val="0"/>
        <w:snapToGrid w:val="0"/>
        <w:spacing w:line="360" w:lineRule="auto"/>
        <w:ind w:left="120" w:rightChars="6" w:right="13"/>
        <w:rPr>
          <w:rFonts w:ascii="宋体" w:hAnsi="宋体"/>
          <w:kern w:val="0"/>
          <w:szCs w:val="24"/>
        </w:rPr>
        <w:sectPr w:rsidR="00C074BC">
          <w:pgSz w:w="11920" w:h="16840"/>
          <w:pgMar w:top="1480" w:right="1680" w:bottom="280" w:left="1680" w:header="0" w:footer="1073" w:gutter="0"/>
          <w:cols w:space="720"/>
        </w:sectPr>
      </w:pPr>
    </w:p>
    <w:p w:rsidR="00C074BC" w:rsidRDefault="009C252D">
      <w:pPr>
        <w:pStyle w:val="1"/>
        <w:snapToGrid w:val="0"/>
        <w:spacing w:beforeLines="0" w:before="240" w:after="240"/>
        <w:rPr>
          <w:rFonts w:ascii="宋体" w:hAnsi="宋体"/>
          <w:szCs w:val="30"/>
        </w:rPr>
      </w:pPr>
      <w:bookmarkStart w:id="4" w:name="_Toc231197044"/>
      <w:r>
        <w:rPr>
          <w:rFonts w:ascii="Times New Roman" w:hAnsi="Times New Roman"/>
          <w:sz w:val="30"/>
        </w:rPr>
        <w:lastRenderedPageBreak/>
        <w:t>一、绪言</w:t>
      </w:r>
      <w:bookmarkEnd w:id="4"/>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可转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可转债债券型证券投资基金基金合同》（以下简称“基金合同”）编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5" w:name="_Toc231197045"/>
      <w:r>
        <w:rPr>
          <w:rFonts w:ascii="Times New Roman" w:hAnsi="Times New Roman"/>
          <w:sz w:val="30"/>
        </w:rPr>
        <w:lastRenderedPageBreak/>
        <w:t>二、释义</w:t>
      </w:r>
      <w:bookmarkEnd w:id="5"/>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1、基金或本基金：指交银施罗德可转债债券型证券投资基金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4、基金合同：指《交银施罗德可转债债券型证券投资基金基金合同》及对基金合同的任何有效修订和补充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5、托管协议：指基金管理人与基金托管人就本基金签订之《交银施罗德可转债债券型证券投资基金托管协议》及对该托管协议的任何有效修订和补充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6、招募说明书或本招募说明书：指《交银施罗德可转债债券型证券投资基金招募说明书》及其更新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7、基金份额发售公告：指《交银施罗德可转债债券型证券投资基金基金份额发售公告》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8、基金产品资料概要：指《交银施罗德可转债债券型证券投资基金基金产品资料概要》及其更新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w:t>
      </w:r>
      <w:r>
        <w:rPr>
          <w:rFonts w:ascii="宋体" w:hAnsi="宋体"/>
          <w:sz w:val="24"/>
        </w:rPr>
        <w:lastRenderedPageBreak/>
        <w:t>基金份额销售机构的操作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49、基金资产总值：指基金拥有的各类有价证券、银行存款本息、基金应收申购款及其他资产的价值总和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53、指定媒介：指中国证监会指定的用以进行信息披露的全国性报刊及指定互联网网站（包括基金管理人网站、基金托管人网站、中国证监会基金电子披露网站）等媒介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55、A类基金份额：指在投资人认购/申购时收取认购/申购费用、赎回时收取赎回费用且不从本类别基金资产中计提销售服务费的基金份额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56、C类基金份额：指在投资人认购/申购时不收取认购/申购费用、赎回时收取赎回费用，并从本类别基金资产中计提销售服务费的基金份额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6" w:name="_Toc231197046"/>
      <w:r>
        <w:rPr>
          <w:rFonts w:ascii="Times New Roman" w:hAnsi="Times New Roman"/>
          <w:sz w:val="30"/>
        </w:rPr>
        <w:lastRenderedPageBreak/>
        <w:t>三、基金管理人</w:t>
      </w:r>
      <w:bookmarkEnd w:id="6"/>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王丽婧女士(2025年01月08日至2026年05月08日)。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迟鑫（权益部总经理兼任跨境投资部总经理）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（2）不公平地对待管理的不同基金财产；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采取数量化、技术化的风险控制手段，建立数量化的风险管理模型，用以提示指数趋势、行业及个券的风险，以便公司及时采取有效的措施，对风险进行分散、控制和规避，尽可能地减少损失。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7" w:name="_Toc231197047"/>
      <w:r>
        <w:rPr>
          <w:rFonts w:ascii="Times New Roman" w:hAnsi="Times New Roman"/>
          <w:sz w:val="30"/>
        </w:rPr>
        <w:lastRenderedPageBreak/>
        <w:t>四、基金托管人</w:t>
      </w:r>
      <w:bookmarkEnd w:id="7"/>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8" w:name="_Toc231197048"/>
      <w:r>
        <w:rPr>
          <w:rFonts w:ascii="Times New Roman" w:hAnsi="Times New Roman"/>
          <w:sz w:val="30"/>
        </w:rPr>
        <w:lastRenderedPageBreak/>
        <w:t>五、相关服务机构</w:t>
      </w:r>
      <w:bookmarkEnd w:id="8"/>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（5）名称：中国邮政储蓄银行股份有限公司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（6）名称：中国民生银行股份有限公司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（7）名称：西部证券股份有限公司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（8）名称：广发证券股份有限公司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（9）名称：中航证券有限公司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办公地址：南昌市红谷滩新区红谷中大道1619号国际金融大厦41楼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（10）名称：中邮证券有限责任公司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（11）名称：中信建投证券股份有限公司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（12）名称：开源证券股份有限公司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网址：www.kysec.cn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（13）名称：华泰证券股份有限公司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（14）名称：华西证券股份有限公司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（15）名称：国金证券股份有限公司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（16）名称：申万宏源证券有限公司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住所：上海市徐汇区长乐路989号世纪商贸广场45层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（18）名称：中信证券（山东）有限责任公司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客服电话：95548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（20）名称：中信证券华南股份有限公司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（21）名称：申港证券股份有限公司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住所：中国（上海）自由贸易实验区世纪大道1589号长泰国际金融大厦16/22/23楼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办公地址：中国（上海）自由贸易试验区世纪大道1589号长泰国际金融大厦16/19/22/23/26楼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法定代表人：邵亚良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电话：021-20639666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传真：021-20639696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联系人：金燕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客户服务电话：956029/021-80229999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网址：www.shgsec.com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（22）名称：招商证券股份有限公司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网址：www.newone.com.cn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（23）名称：山西证券股份有限公司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（24）名称：国新证券股份有限公司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（25）名称：国联民生证券股份有限公司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（26）名称：东方证券股份有限公司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传真：（021）63326173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（27）名称：民生证券股份有限公司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（28）名称：深圳市新兰德证券投资咨询有限公司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（29）名称：大连网金基金销售有限公司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网址：http://www.yibaijin.com/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（30）名称：阳光人寿保险股份有限公司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（31）名称：玄元保险代理有限公司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（32）名称：京东肯特瑞基金销售有限公司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（33）名称：上海大智慧基金销售有限公司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办公地址：上海市浦东新区杨高南路428号1号楼10-11层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（34）名称：珠海盈米基金销售有限公司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（35）名称：上海华夏财富投资管理有限公司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（39）名称：北京虹点基金销售有限公司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网址：www.hongdianfund.com/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（40）名称：上海陆金所基金销售有限公司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（41）名称：上海挖财基金销售有限公司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（42）名称：万家财富基金销售（天津）有限公司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（43）名称：上海万得基金销售有限公司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住所：中国（上海）自由贸易试验区福山路33号11楼B座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（44）名称：格上富信投资顾问有限公司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（45）名称：深圳市金斧子基金销售有限公司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（46）名称：北京雪球基金销售有限公司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电话：（010）61840688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（47）名称：北京新浪仓石基金销售有限公司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（48）名称：中证金牛（北京）基金销售有限公司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（49）名称：上海证达通基金销售有限公司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（50）名称：北京创金启富基金销售有限公司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（51）名称：奕丰基金销售有限公司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（52）名称：上海天天基金销售有限公司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网址：www.1234567.com.cn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（53）名称：和讯信息科技有限公司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（54）名称：诺亚正行基金销售有限公司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（55）名称：上海好买基金销售有限公司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（56）名称：上海长量基金销售有限公司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（57）名称：深圳众禄基金销售股份有限公司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（58）名称：蚂蚁（杭州）基金销售有限公司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（59）名称：上海基煜基金销售有限公司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（60）名称：浙江同花顺基金销售有限公司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（61）名称：宜信普泽（北京）基金销售有限公司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（62）名称：上海联泰基金销售有限公司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网址：www.66liantai.com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（63）名称：泛华普益基金销售有限公司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（64）名称：北京展恒基金销售股份有限公司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（65）名称：北京度小满基金销售有限公司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（66）名称：和耕传承基金销售有限公司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（67）名称：南京苏宁基金销售有限公司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（68）名称：腾安基金销售（深圳）有限公司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（69）名称：济安财富（北京）基金销售有限公司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电话：010-65309516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（70）名称：博时财富基金销售有限公司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（71）名称：上海中欧财富基金销售有限公司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（72）名称：深圳前海微众银行股份有限公司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联系人：白冰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（73）名称：中信期货有限公司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9" w:name="_Toc231197049"/>
      <w:r>
        <w:rPr>
          <w:rFonts w:ascii="Times New Roman" w:hAnsi="Times New Roman"/>
          <w:sz w:val="30"/>
        </w:rPr>
        <w:lastRenderedPageBreak/>
        <w:t>六、基金的募集</w:t>
      </w:r>
      <w:bookmarkEnd w:id="9"/>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本基金由基金管理人依照《基金法》、《运作办法》、《销售办法》、基金合同及其他有关规定，并经中国证监会2019年4月2日证监许可【2019】546号文准予募集注册。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本基金为契约型开放式债券型证券投资基金。基金的存续期间为不定期。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本基金自2019年6月5日至2019年7月5日进行发售，本基金设立募集期共募集611,837,975.69份基金份额，有效认购户数为8,083户。</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0" w:name="_Toc231197050"/>
      <w:r>
        <w:rPr>
          <w:rFonts w:ascii="Times New Roman" w:hAnsi="Times New Roman"/>
          <w:sz w:val="30"/>
        </w:rPr>
        <w:lastRenderedPageBreak/>
        <w:t>七、基金合同的生效</w:t>
      </w:r>
      <w:bookmarkEnd w:id="10"/>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根据有关规定，本基金满足基金合同生效条件，基金合同已于2019年7月11日正式生效。自基金合同生效之日起，本基金管理人正式开始管理本基金。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1" w:name="_Toc231197051"/>
      <w:r>
        <w:rPr>
          <w:rFonts w:ascii="Times New Roman" w:hAnsi="Times New Roman"/>
          <w:sz w:val="30"/>
        </w:rPr>
        <w:lastRenderedPageBreak/>
        <w:t>八、基金份额的申购与赎回</w:t>
      </w:r>
      <w:bookmarkEnd w:id="11"/>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本基金已于2019年8月12日起开放申购、赎回业务。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w:t>
      </w:r>
      <w:r>
        <w:rPr>
          <w:rFonts w:ascii="宋体" w:hAnsi="宋体"/>
          <w:sz w:val="24"/>
        </w:rPr>
        <w:lastRenderedPageBreak/>
        <w:t>时，款项的支付办法参照基金合同有关条款处理。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该类基金份额的基金份额持有人承担，对于持续持有期间少于7日的投资人收取的赎回费全额计入基金财产，对于持续持有期间大于等于7日的投资人收取的赎回费总额的25%应归基金财产，其余用于支付登记费和其他必要的手续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074B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074B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C074B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074BC" w:rsidRDefault="00C074B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且对现有基金份额持有人利益无实质性不利影响的情况下，根据市场情况制定基金促销计划，针对投资人定期和不定期地开展基金促销活动。在基金促销活动期间，基金管理人可以</w:t>
      </w:r>
      <w:r>
        <w:rPr>
          <w:rFonts w:ascii="宋体" w:hAnsi="宋体"/>
          <w:sz w:val="24"/>
        </w:rPr>
        <w:lastRenderedPageBreak/>
        <w:t>按中国证监会要求履行必要手续后，对投资人适当调低基金销售费用。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w:t>
      </w:r>
      <w:r>
        <w:rPr>
          <w:rFonts w:ascii="宋体" w:hAnsi="宋体"/>
          <w:sz w:val="24"/>
        </w:rPr>
        <w:lastRenderedPageBreak/>
        <w:t>类基金份额，假设申购当日A类基金份额净值为1.0400元，申购费率为0.32%，则其可得到的申购份额为：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例七：某投资者赎回100,000份A类基金份额，持有20日，对应的赎回费率为0.1%，假设赎回当日A类基金份额净值是1.0160元，则其可得到的赎回金额为：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赎回金额=100,000×1.0160-101.60＝101,498.40元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即：投资者赎回100,000份A类基金份额，持有20日，对应的赎回费率为0.1%，假设赎回当日A类基金份额净值是1.0160元，则其可得到的赎回金额为101,498.40元。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例八：某投资者赎回100,000份C类基金份额，持有50日，对应的赎回费率为0，假设赎回当日C类基金份额净值是1.0160元，则其可得到的赎回金额为：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即：投资者赎回100,000份C类基金份额，持有50日，对应的赎回费率为0，假设赎回当日C类基金份额净值是1.0160元，则其可得到的赎回金额为101,600.00元。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w:t>
      </w:r>
      <w:r>
        <w:rPr>
          <w:rFonts w:ascii="宋体" w:hAnsi="宋体"/>
          <w:sz w:val="24"/>
        </w:rPr>
        <w:lastRenderedPageBreak/>
        <w:t>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w:t>
      </w:r>
      <w:r>
        <w:rPr>
          <w:rFonts w:ascii="宋体" w:hAnsi="宋体"/>
          <w:sz w:val="24"/>
        </w:rPr>
        <w:lastRenderedPageBreak/>
        <w:t>法》的有关规定，不迟于重新开放日，在指定媒介上刊登基金重新开放申购或赎回公告，并公布最近一个开放日的基金份额净值。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本基金2019年8月8日刊登公告自2019年8月12日起开通定期定额投资计划业务，具体开通销售机构名单和业务规则参见相关公告。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（十七）实施侧袋机制期间本基金的申购与赎回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2" w:name="_Toc231197052"/>
      <w:r>
        <w:rPr>
          <w:rFonts w:ascii="Times New Roman" w:hAnsi="Times New Roman"/>
          <w:sz w:val="30"/>
        </w:rPr>
        <w:lastRenderedPageBreak/>
        <w:t>九、基金的转换</w:t>
      </w:r>
      <w:bookmarkEnd w:id="12"/>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8月16日刊登公告自2019年8月20日起开放日常转换业务。办理基金间转换的时间为上海证券交易所、深圳证券交易所交易日。若出现新的证券交易市场或交易所交易时间更改或其它原因，基金管理人将视情况进行相应的调整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3" w:name="_Toc231197053"/>
      <w:r>
        <w:rPr>
          <w:rFonts w:ascii="Times New Roman" w:hAnsi="Times New Roman"/>
          <w:sz w:val="30"/>
        </w:rPr>
        <w:lastRenderedPageBreak/>
        <w:t>十、基金的投资</w:t>
      </w:r>
      <w:bookmarkEnd w:id="13"/>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本基金主要利用可转债品种兼具债券和股票的特性，在合理控制风险、保持适当流动性的基础上，力争取得超越基金业绩比较基准的收益。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利用经交银施罗德研究团队修正后的投资时钟分析框架，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2、债券投资策略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（1）可转换债券投资策略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含可交换债券、可分离交易可转债）通过赋予债券投资者某种期权的形式，兼具债性与股性双重属性，比普通债券更加灵活。债性是指投资者可以选择持有可转换债券至到期以获取票面价值和票面利息；股性是指投资者可以在转股期间以约定的转股价格将可转换债券转换成对应的股票。本基金将综合研究该类投资品种的特性，充分挖掘其投资价值，债券价值方面综合考虑票面利率、久期、信用资质、发行主体财务状况、行业特征及公司治理等因素；权益价值方面通过对可转换债券所对应个股的价值分析，包括估值水平、盈利能力、业绩预期及个体竞争优势等分析。此外，还需结合对含权条款的研究，综合判断内含期权的价值。投资可转换债券的具体策略包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实现最优行业配置。同时，结合经济和市场阶段性特征，动态调整不同行业的可转换债券进行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的投资价值包含纯债价值和可转换为正股的转股价值两部分。对于纯债价值，本基金将借鉴信用债的基本面研究，从行业基本面、公司的信用资质、行业地位、财务状况等方面，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分析，选择基本面优质且估值合理的正股。综上所述，本基金将结合可转债自身的信用评估和其正股的价值分析来进行个券的筛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3）条款价值发现策略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通常设置一些特殊条款，包括修正转股价条款、回售条款、赎回条款等，如果市场环境发生变化或可转换债券的正股价格出现较大波动，可能触发这些特殊条款，对可转换债券的价值产生较大影响。本基金将深入分析发行人的经营状况、及时地了解发行人实施特殊条款的意愿以及市场的变化趋势，发掘特殊条款</w:t>
      </w:r>
      <w:r>
        <w:rPr>
          <w:rFonts w:ascii="宋体" w:hAnsi="宋体"/>
          <w:sz w:val="24"/>
        </w:rPr>
        <w:lastRenderedPageBreak/>
        <w:t>给可转换债券带来的投资机会或规避不利条款可能带来的投资风险。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4）套利策略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可转换债券的条款设计，投资者在转股期内可按事先约定的转股价格将所持可转换债券换为一定数量的股票，因此存在可转换债券和正股之间的套利空间。因此，在市场运行过程中，当可转换债券的转股溢价率为负时，买入可转换债券并卖出股票获得价差收益；反之，买入股票的同时卖出可转换债券也可以获取反向套利价差。本基金将密切关注可转换债券与正股之间的关系，把握套利机会，增强投资组合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（2）普通债券投资策略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普通债券指本基金投资范围中除可转换债券（含可交换债券、可分离交易可转债）以外的债券资产。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经济运行关键指标，运用数量化工具对宏观经济运行及货币财政政策变化跟踪与分析，对未来市场利率趋势进行分析预测，据此确定合理的债券组合目标久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w:t>
      </w:r>
      <w:r>
        <w:rPr>
          <w:rFonts w:ascii="宋体" w:hAnsi="宋体"/>
          <w:sz w:val="24"/>
        </w:rPr>
        <w:lastRenderedPageBreak/>
        <w:t>后，伴随债券剩余期限的缩短与收益率水平的下降，获得一定的资本利得收益。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通过交银施罗德的信用债券信用评级指标体系，对信用债券进行信用评级，并在信用评级的基础上，建立本基金的信用债券池。基金经理从信用债券池中精选债券构建信用债券投资组合。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①信用债券信用评级的变化；②不同信用等级的信用债券，以及同一信用等级不同标的债券之间的信用利差变化。原则上，购买信用（拟）增级的信用债券，减持信用（拟）降级的信用债券；购买信用利差扩大后存在收窄趋势的信用债券，减持信用利差缩小后存在放宽趋势的信用债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在把握宏观经济运行趋势和股票市场行业轮动的基础上，充分发挥公司股票研究团队“自下而上”的主动选股能力，基于对个股深入的基本面研究和细致的实地调研，精选股票构建股票投资组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（1）本基金投资于债券资产的比例不低于基金资产的80%，其中，投资于可转换债券（含可交换债券、可分离交易可转债）的比例不低于非现金基金资产的80%；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（2）本基金持有的现金或者到期日在一年以内的政府债券的投资比例合计不低于基金资产净值的5%，其中现金不包括结算备付金、存出保证金和应收申购款等；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w:t>
      </w:r>
      <w:r>
        <w:rPr>
          <w:rFonts w:ascii="宋体" w:hAnsi="宋体"/>
          <w:sz w:val="24"/>
        </w:rPr>
        <w:lastRenderedPageBreak/>
        <w:t>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（18）本基金资产总值不超过基金资产净值的140%；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中证可转换债券指数收益率*70%+中债综合全价指数收益率*20%+沪深300指数收益率*10%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中证可转换债券指数由中证指数有限公司编制并发布，其指数样本由在沪深证券交易所上市的可转换债券组成，以反映国内市场可转换债券的总体表现。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上述基准指数停止计算编制或更改名称，或者今后法律法规发生变化，又或者市场推出更具权威、且更能够表征本基金风险收益特征的指数，则本基金管理人可与本基金托管人协商一致、在按照监管部门要求履行适当程序后，调整或变更本基金的业绩比较基准并及时公告，而无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68,911,065.82</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32.77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68,911,065.82</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32.77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137,538,917.64</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65.41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137,538,917.64</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65.41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3,146,361.10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663,101.29</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210,259,445.85</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1,217,932.00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2,476,191.10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49,335,013.14</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30.92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1,952,072.00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1,445,394.00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1,423,953.00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2,224,560.00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808,787.00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4,092,758.58</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2.56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1,014,900.00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977,725.00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954,000.00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987,780.00</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68,911,065.82</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43.18</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2,277,640.00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600233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圆通速递</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110,400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2,224,560.00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000792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盐湖股份</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53,700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1,986,900.00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蓝帆医疗</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1,591,204.00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002078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太阳纸业</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1,582,361.00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台华新材</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161,500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1,516,485.00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603187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海容冷链</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106,100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1,491,766.00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600398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海澜之家</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227,300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1,484,269.00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688150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莱特光电</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38,102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1,474,928.42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600887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伊利股份</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55,000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1,449,250.00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8,760,064.68</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5.49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128,778,852.96</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80.70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137,538,917.64</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86.19</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冀东转债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260,506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27,505,365.42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147,290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17,630,451.59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133,680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16,529,348.88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r>
              <w:rPr>
                <w:rFonts w:ascii="Times New Roman" w:hAnsi="Times New Roman"/>
                <w:color w:val="000000"/>
                <w:kern w:val="0"/>
                <w:sz w:val="25"/>
                <w:szCs w:val="24"/>
              </w:rPr>
              <w:t>三峡</w:t>
            </w:r>
            <w:r>
              <w:rPr>
                <w:rFonts w:ascii="Times New Roman" w:hAnsi="Times New Roman"/>
                <w:color w:val="000000"/>
                <w:kern w:val="0"/>
                <w:sz w:val="25"/>
                <w:szCs w:val="24"/>
              </w:rPr>
              <w:t>EB2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42,350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5,722,612.79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3.59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54,000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5,451,351.78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3.42</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2026年01月28日,国家金融监督管理总局上海监管局公示沪金罚决字</w:t>
      </w:r>
      <w:r>
        <w:rPr>
          <w:rFonts w:ascii="宋体" w:hAnsi="宋体"/>
          <w:sz w:val="24"/>
        </w:rPr>
        <w:lastRenderedPageBreak/>
        <w:t>[2026]17-20,22、23号行政处罚决定书,给予上海银行股份有限公司450万元人民币的行政处罚。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2025年12月05日,国家金融监督管理总局公示行政处罚决定书,给予兴业银行股份有限公司720万元人民币的行政处罚。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2025年08月01日,央行公示银罚决字[2025]10号行政处罚决定书,给予上海银行股份有限公司罚没共计2921.752万元人民币的行政处罚。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75,701.82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587,399.47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663,101.29</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冀东转债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27,505,365.42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17,630,451.59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16,529,348.88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r>
              <w:rPr>
                <w:rFonts w:ascii="Times New Roman" w:hAnsi="Times New Roman"/>
                <w:color w:val="000000"/>
                <w:kern w:val="0"/>
                <w:sz w:val="25"/>
                <w:szCs w:val="24"/>
              </w:rPr>
              <w:t>三峡</w:t>
            </w:r>
            <w:r>
              <w:rPr>
                <w:rFonts w:ascii="Times New Roman" w:hAnsi="Times New Roman"/>
                <w:color w:val="000000"/>
                <w:kern w:val="0"/>
                <w:sz w:val="25"/>
                <w:szCs w:val="24"/>
              </w:rPr>
              <w:t>EB2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5,722,612.79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3.59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4,957,831.91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3.11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山路转债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3,538,246.17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2.22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绿动转债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3,137,714.38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1.97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2,719,945.21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2,711,341.24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1.70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2,515,450.35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2,409,321.08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1.51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2,025,389.48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1,982,530.71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1,479,072.14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1,387,901.72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洁美转债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1,366,241.05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1,340,409.72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1,317,455.61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1,317,192.98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1,289,024.48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1,215,153.78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友发转债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1,207,303.30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1,169,132.36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密卫转债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1,112,481.52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冠宇转债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1,085,142.44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1,066,008.95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1,055,028.13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1,030,115.73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凯众转债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836,030.87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华医转债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803,534.32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773,829.75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759,194.65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749,875.31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745,412.60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花园转债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724,657.22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712,580.45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707,247.02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699,509.47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688,688.95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671,413.53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盛航转债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607,421.82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606,078.04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广核转债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596,347.04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586,232.47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566,931.03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510,636.56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泰坦转债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479,577.91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479,028.60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462,912.14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459,479.31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330,296.40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盛虹转债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307,055.70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铭利转债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294,248.14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287,494.08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芯海转债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284,140.63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绿茵转债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263,982.16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星球转债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249,913.57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248,418.45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244,801.02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218,670.63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4" w:name="_Toc231197054"/>
      <w:r>
        <w:rPr>
          <w:rFonts w:ascii="Times New Roman" w:hAnsi="Times New Roman"/>
          <w:sz w:val="30"/>
        </w:rPr>
        <w:lastRenderedPageBreak/>
        <w:t>十一、基金的业绩</w:t>
      </w:r>
      <w:bookmarkEnd w:id="14"/>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30.67%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14.35%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16.32%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-3.02%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-17.82%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25.54%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12.88%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20.83%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14.44%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30.15%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14.35%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15.80%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6.63%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-3.40%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-18.15%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-9.04%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25.05%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12.39%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20.35%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6.39%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13.96%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C074B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5.93%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074BC" w:rsidRDefault="009C252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交银施罗德可转债债券型证券投资基金</w:t>
      </w:r>
    </w:p>
    <w:p w:rsidR="00C074BC" w:rsidRDefault="009C252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C074BC" w:rsidRDefault="009C252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（2019年7月11日至2026年03月31日）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（1）交银可转债债券A：</w:t>
      </w:r>
    </w:p>
    <w:p w:rsidR="00C074BC" w:rsidRDefault="00F0103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（2）交银可转债债券C：</w:t>
      </w:r>
    </w:p>
    <w:p w:rsidR="00C074BC" w:rsidRDefault="00F0103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5" w:name="_Toc231197055"/>
      <w:r>
        <w:rPr>
          <w:rFonts w:ascii="Times New Roman" w:hAnsi="Times New Roman"/>
          <w:sz w:val="30"/>
        </w:rPr>
        <w:lastRenderedPageBreak/>
        <w:t>十二、基金的财产</w:t>
      </w:r>
      <w:bookmarkEnd w:id="15"/>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6" w:name="_Toc231197056"/>
      <w:r>
        <w:rPr>
          <w:rFonts w:ascii="Times New Roman" w:hAnsi="Times New Roman"/>
          <w:sz w:val="30"/>
        </w:rPr>
        <w:lastRenderedPageBreak/>
        <w:t>十三、基金资产的估值</w:t>
      </w:r>
      <w:bookmarkEnd w:id="16"/>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（2）交易所上市交易或挂牌转让的不含权固定收益品种（另有规定的除外），选取估值日第三方估值机构提供的相应品种当日的估值净价进行估值；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（3）交易所上市交易或挂牌转让的含权固定收益品种（另有规定的除外），选取估值日第三方估值机构提供的相应品种当日的唯一估值净价或推荐估值净价进行估值；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（4）交易所上市交易的可转换债券以每日收盘价作为估值全价；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w:t>
      </w:r>
      <w:r>
        <w:rPr>
          <w:rFonts w:ascii="宋体" w:hAnsi="宋体"/>
          <w:sz w:val="24"/>
        </w:rPr>
        <w:lastRenderedPageBreak/>
        <w:t>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4、本基金投资存托凭证的估值核算依照境内上市交易的股票执行。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基金份额的余额数量计算，精确到0.0001元，小数点后第5位四舍五入。基金管理人可以设立大额赎回情形下的净值精度应急调整机制，具体可参见相关公告。国家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（六）估值错误的处理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w:t>
      </w:r>
      <w:r>
        <w:rPr>
          <w:rFonts w:ascii="宋体" w:hAnsi="宋体"/>
          <w:sz w:val="24"/>
        </w:rPr>
        <w:lastRenderedPageBreak/>
        <w:t>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7" w:name="_Toc231197057"/>
      <w:r>
        <w:rPr>
          <w:rFonts w:ascii="Times New Roman" w:hAnsi="Times New Roman"/>
          <w:sz w:val="30"/>
        </w:rPr>
        <w:lastRenderedPageBreak/>
        <w:t>十四、基金收益与分配</w:t>
      </w:r>
      <w:bookmarkEnd w:id="17"/>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8" w:name="_Toc231197058"/>
      <w:r>
        <w:rPr>
          <w:rFonts w:ascii="Times New Roman" w:hAnsi="Times New Roman"/>
          <w:sz w:val="30"/>
        </w:rPr>
        <w:lastRenderedPageBreak/>
        <w:t>十五、基金的费用与税收</w:t>
      </w:r>
      <w:bookmarkEnd w:id="18"/>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本基金的管理费按前一日基金资产净值的0.7%年费率计提。管理费的计算方法如下：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H＝E×0.7%÷当年天数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19" w:name="_Toc231197059"/>
      <w:r>
        <w:rPr>
          <w:rFonts w:ascii="Times New Roman" w:hAnsi="Times New Roman"/>
          <w:sz w:val="30"/>
        </w:rPr>
        <w:lastRenderedPageBreak/>
        <w:t>十六、基金的会计与审计</w:t>
      </w:r>
      <w:bookmarkEnd w:id="19"/>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0" w:name="_Toc231197060"/>
      <w:r>
        <w:rPr>
          <w:rFonts w:ascii="Times New Roman" w:hAnsi="Times New Roman"/>
          <w:sz w:val="30"/>
        </w:rPr>
        <w:lastRenderedPageBreak/>
        <w:t>十七、基金的信息披露</w:t>
      </w:r>
      <w:bookmarkEnd w:id="20"/>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次日，通过指定网站、基金销售机构网站或者营业网点披露开放日的A类基金份额和C类基金份额所对应的基金份额净值和基金份额累计净值。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（25）《基金合同》生效后，连续40个工作日、50个工作日、55个工作日出现基金份额持有人数量不满200人或者基金资产净值低于5000万元情形的，基金管理人应当发布提示性公告；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w:t>
      </w:r>
      <w:r>
        <w:rPr>
          <w:rFonts w:ascii="宋体" w:hAnsi="宋体"/>
          <w:sz w:val="24"/>
        </w:rPr>
        <w:lastRenderedPageBreak/>
        <w:t>券总额、资产支持证券市值占基金净资产的比例和报告期末按市值占基金净资产比例大小排序的前10名资产支持证券明细。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w:t>
      </w:r>
      <w:r>
        <w:rPr>
          <w:rFonts w:ascii="宋体" w:hAnsi="宋体"/>
          <w:sz w:val="24"/>
        </w:rPr>
        <w:lastRenderedPageBreak/>
        <w:t>规定将信息置备于各自住所，供社会公众查阅、复制。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1" w:name="_Toc231197061"/>
      <w:r>
        <w:rPr>
          <w:rFonts w:ascii="Times New Roman" w:hAnsi="Times New Roman"/>
          <w:sz w:val="30"/>
        </w:rPr>
        <w:lastRenderedPageBreak/>
        <w:t>十八、侧袋机制</w:t>
      </w:r>
      <w:bookmarkEnd w:id="21"/>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C074BC" w:rsidRDefault="009C252D">
      <w:pPr>
        <w:pStyle w:val="1"/>
        <w:snapToGrid w:val="0"/>
        <w:spacing w:beforeLines="0" w:before="240" w:after="240"/>
        <w:rPr>
          <w:rFonts w:ascii="宋体" w:hAnsi="宋体"/>
          <w:szCs w:val="30"/>
        </w:rPr>
      </w:pPr>
      <w:bookmarkStart w:id="22" w:name="_Toc231197062"/>
      <w:r>
        <w:rPr>
          <w:rFonts w:ascii="Times New Roman" w:hAnsi="Times New Roman"/>
          <w:sz w:val="30"/>
        </w:rPr>
        <w:lastRenderedPageBreak/>
        <w:t>十九、风险揭示</w:t>
      </w:r>
      <w:bookmarkEnd w:id="22"/>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w:t>
      </w:r>
      <w:r>
        <w:rPr>
          <w:rFonts w:ascii="宋体" w:hAnsi="宋体"/>
          <w:sz w:val="24"/>
        </w:rPr>
        <w:lastRenderedPageBreak/>
        <w:t>市的股票、债券和货币市场工具等），同时本基金基于分散投资的原则在个券方面未有高集中度的特征，综合评估在正常市场环境下本基金的流动性风险适中。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该类基金份额持有人未超过上述比例的部分，基金管理人认为有能力支付投资人的全部赎回申请时，按正常赎回程序执行；基金管理人认为支付投资人的赎回申请有困难或认为因支付投资人的赎回申请而进行的财产变现可能会对基金资产净值造成较大波动时，基金管理人在当日接受赎回比例不低于上一开放日基金总份额的10%的前提下，对当日的赎回申请按单个账户赎回申请量占赎回申请总量的比例，确定当日受理的赎回份额；对于未能赎回部分，基金管理人可对其赎回申请进行延期办理，延期的赎回申请转入下一个开放日继续赎回，直到全部赎回为止。但是，如该类基金份额持有人在当日选择取消赎回，则其当日未获受理的部分赎回申请将被撤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3、本基金在主要投资于债券类资产的同时也积极关注股票市场的投资机会，会因投资权益类资产而面临的权益类资产市场的系统性风险和个券风险；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5、基金合同提前终止风险。连续六十个工作日出现基金份额持有人数量不满200人或者基金资产净值低于5000万元情形的，基金管理人提前终止基金合同，不需召开基金份额持有人大会。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（六）投资科创板股票的特定风险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（七）本基金法律文件风险收益特征表述与销售机构基金风险评价可能不一致</w:t>
      </w:r>
      <w:r>
        <w:rPr>
          <w:rFonts w:ascii="宋体" w:hAnsi="宋体"/>
          <w:sz w:val="24"/>
        </w:rPr>
        <w:lastRenderedPageBreak/>
        <w:t>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（八）投资存托凭证的特定风险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7、其他意外导致的风险。</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3" w:name="_Toc231197063"/>
      <w:r>
        <w:rPr>
          <w:rFonts w:ascii="Times New Roman" w:hAnsi="Times New Roman"/>
          <w:sz w:val="30"/>
        </w:rPr>
        <w:lastRenderedPageBreak/>
        <w:t>二十、基金合同的变更、终止与基金财产的清算</w:t>
      </w:r>
      <w:bookmarkEnd w:id="23"/>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4" w:name="_Toc231197064"/>
      <w:r>
        <w:rPr>
          <w:rFonts w:ascii="Times New Roman" w:hAnsi="Times New Roman"/>
          <w:sz w:val="30"/>
        </w:rPr>
        <w:lastRenderedPageBreak/>
        <w:t>二十一、基金合同内容摘要</w:t>
      </w:r>
      <w:bookmarkEnd w:id="24"/>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（二）基金份额持有人大会召集、议事及表决的程序和规则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回费率、在对现有基金份额持有人利益无实质性不利影响的前提下变更收费方式；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（2）基金管理人未按规定召集或不能召开时，由基金托管人召集；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w:t>
      </w:r>
      <w:r>
        <w:rPr>
          <w:rFonts w:ascii="宋体" w:hAnsi="宋体"/>
          <w:sz w:val="24"/>
        </w:rPr>
        <w:lastRenderedPageBreak/>
        <w:t>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9、实施侧袋机制期间基金份额持有人大会的特殊约定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（五）基金合同存放及投资者取得基金合同的方式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5" w:name="_Toc231197065"/>
      <w:r>
        <w:rPr>
          <w:rFonts w:ascii="Times New Roman" w:hAnsi="Times New Roman"/>
          <w:sz w:val="30"/>
        </w:rPr>
        <w:lastRenderedPageBreak/>
        <w:t>二十二、托管协议的内容摘要</w:t>
      </w:r>
      <w:bookmarkEnd w:id="25"/>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（1）本基金投资于债券资产的比例不低于基金资产的80%，其中，投资于可转换债券（含可交换债券、可分离交易可转债）的比例不低于非现金基金资产的80%；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（2）本基金持有的现金或者到期日在一年以内的政府债券的投资比例合计不低于基金资产净值的5%，其中现金不包括结算备付金、存出保证金和应收申购款等；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（3）本基金持有一家公司发行的证券，其市值不超过基金资产净值的10％,本基金投资于可转债（含可交换债券、可分离交易可转债）部分不受此条款限制；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w:t>
      </w:r>
      <w:r>
        <w:rPr>
          <w:rFonts w:ascii="宋体" w:hAnsi="宋体"/>
          <w:sz w:val="24"/>
        </w:rPr>
        <w:lastRenderedPageBreak/>
        <w:t>告发布之日起3个月内予以全部卖出；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（14）、本基金进入全国银行间同业市场进行债券回购的资金余额不得超过基金资产净值的40%，进入全国银行间同业市场进行债券回购的最长期限为1年，债券回购到期后不得展期；</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（18）本基金资产总值不超过基金资产净值的140%；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12）、（16）、（17）项以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3、基金托管人根据有关法律法规的规定及基金合同的约定，对本协议第（十五）条第11项基金投资禁止行为进行监督。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w:t>
      </w:r>
      <w:r>
        <w:rPr>
          <w:rFonts w:ascii="宋体" w:hAnsi="宋体"/>
          <w:sz w:val="24"/>
        </w:rPr>
        <w:lastRenderedPageBreak/>
        <w:t>托管人事后发现基金管理人没有按照事先约定的交易对手进行交易时，基金托管人应及时提醒基金管理人，基金托管人不承担由此造成的任何损失和责任。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管人提供有关流通受限证券的相关信息，具体应当包括但不限于如下文件（如有）：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w:t>
      </w:r>
      <w:r>
        <w:rPr>
          <w:rFonts w:ascii="宋体" w:hAnsi="宋体"/>
          <w:sz w:val="24"/>
        </w:rPr>
        <w:lastRenderedPageBreak/>
        <w:t>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（五）基金资产净值计算、估值和会计核算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基金份额的余额数量计算。基金份额净值的计算，精确到0.0001元，小数点后第五位四舍五入，由此产生的误差计入基金财产。基金管理人可以设立大额赎回情形下的净值精度应急调整机制，具体可参见相关公告。国家另有规定的，从其规定。</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基金管理人应每个工作日对基金资产估值。但基金管理人根据法律法规或基金合同的规定暂停估值时除外。基金管理人每个工作日对基金资产进行估值后，将各</w:t>
      </w:r>
      <w:r>
        <w:rPr>
          <w:rFonts w:ascii="宋体" w:hAnsi="宋体"/>
          <w:sz w:val="24"/>
        </w:rPr>
        <w:lastRenderedPageBreak/>
        <w:t>类基金份额净值结果发送基金托管人，经基金托管人复核无误后，由基金管理人依据基金合同和相关法律法规的规定对外公布。月末、年中和年末估值复核与基金会计账目的核对同时进行。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基金所拥有的股票、债券和其他投资等持续以公允价值计量的金融资产及负债。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②交易所上市交易或挂牌转让的不含权固定收益品种（另有规定的除外），选取估值日第三方估值机构提供的相应品种当日的估值净价进行估值；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③交易所上市交易或挂牌转让的含权固定收益品种（另有规定的除外），选取估值日第三方估值机构提供的相应品种当日的唯一估值净价或推荐估值净价进行估值；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④交易所上市交易的可转换债券以每日收盘价作为估值全价；</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w:t>
      </w:r>
      <w:r>
        <w:rPr>
          <w:rFonts w:ascii="宋体" w:hAnsi="宋体"/>
          <w:sz w:val="24"/>
        </w:rPr>
        <w:lastRenderedPageBreak/>
        <w:t>股票的估值方法估值；该日无交易的，以最近一日的市价（收盘价）估值；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②首次公开发行未上市的股票、债券，采用估值技术确定公允价值，在估值技术难以可靠计量公允价值的情况下，按成本估值。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4）本基金投资存托凭证的估值核算依照境内上市交易的股票执行。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w:t>
      </w:r>
      <w:r>
        <w:rPr>
          <w:rFonts w:ascii="宋体" w:hAnsi="宋体"/>
          <w:sz w:val="24"/>
        </w:rPr>
        <w:lastRenderedPageBreak/>
        <w:t>不作为基金资产估值错误处理。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第4位以内（含第4位）发生估值错误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（4）前述内容如法律法规或监管机构另有规定的，从其规定处理。如果行业有通行做法，双方当事人应本着平等和保护基金份额持有人利益的原则进行协商。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w:t>
      </w:r>
      <w:r>
        <w:rPr>
          <w:rFonts w:ascii="宋体" w:hAnsi="宋体"/>
          <w:sz w:val="24"/>
        </w:rPr>
        <w:lastRenderedPageBreak/>
        <w:t>告。基金合同生效不足2个月的，基金管理人可以不编制当期季度报告、中期报告或者年度报告。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w:t>
      </w:r>
      <w:r>
        <w:rPr>
          <w:rFonts w:ascii="宋体" w:hAnsi="宋体"/>
          <w:sz w:val="24"/>
        </w:rPr>
        <w:lastRenderedPageBreak/>
        <w:t>持有人名册，基金管理人应及时提供，不得拖延或拒绝提供。</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4）编制清算报告；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8）公告基金清算报告；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3）清偿基金债务；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并公告。基金财产清算公告于基金财产清算报告报中国证监会备案后5个工作日内由基金财产清算小组进行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6" w:name="_Toc231197066"/>
      <w:r>
        <w:rPr>
          <w:rFonts w:ascii="Times New Roman" w:hAnsi="Times New Roman"/>
          <w:sz w:val="30"/>
        </w:rPr>
        <w:lastRenderedPageBreak/>
        <w:t>二十三、对基金份额持有人的服务</w:t>
      </w:r>
      <w:bookmarkEnd w:id="26"/>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及定期定额投资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（五）基金转换业务</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本基金已开通定期定额投资计划，具体实施方法请参见相关公告。服务联系方式：</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7" w:name="_Toc231197067"/>
      <w:r>
        <w:rPr>
          <w:rFonts w:ascii="Times New Roman" w:hAnsi="Times New Roman"/>
          <w:sz w:val="30"/>
        </w:rPr>
        <w:lastRenderedPageBreak/>
        <w:t>二十四、其他应披露事项</w:t>
      </w:r>
      <w:bookmarkEnd w:id="27"/>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2025-05-16</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交银施罗德基金管理有限公司关于交银施罗德可转债债券型证券投资基金投资范围增加存托凭证、修改转换条款并相应修改法律文件的公告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2025-12-24</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2026-05-08</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2026-05-13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2026-05-13</w:t>
            </w:r>
          </w:p>
        </w:tc>
      </w:tr>
      <w:tr w:rsidR="00C074B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交银施罗德可转债债券型证券投资基金（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074BC" w:rsidRDefault="009C25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2026-05-13</w:t>
            </w:r>
          </w:p>
        </w:tc>
      </w:tr>
    </w:tbl>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8" w:name="_Toc231197068"/>
      <w:r>
        <w:rPr>
          <w:rFonts w:ascii="Times New Roman" w:hAnsi="Times New Roman"/>
          <w:sz w:val="30"/>
        </w:rPr>
        <w:lastRenderedPageBreak/>
        <w:t>二十五、招募说明书的存放及查阅方式</w:t>
      </w:r>
      <w:bookmarkEnd w:id="28"/>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9C252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074BC" w:rsidRDefault="009C252D">
      <w:pPr>
        <w:pStyle w:val="1"/>
        <w:snapToGrid w:val="0"/>
        <w:spacing w:beforeLines="0" w:before="240" w:after="240"/>
        <w:rPr>
          <w:rFonts w:ascii="宋体" w:hAnsi="宋体"/>
          <w:szCs w:val="30"/>
        </w:rPr>
      </w:pPr>
      <w:bookmarkStart w:id="29" w:name="_Toc231197069"/>
      <w:r>
        <w:rPr>
          <w:rFonts w:ascii="Times New Roman" w:hAnsi="Times New Roman"/>
          <w:sz w:val="30"/>
        </w:rPr>
        <w:lastRenderedPageBreak/>
        <w:t>二十六、备查文件</w:t>
      </w:r>
      <w:bookmarkEnd w:id="29"/>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（一）中国证监会准予交银施罗德可转债债券型证券投资基金募集注册的文件</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（二）《交银施罗德可转债债券型证券投资基金基金合同》</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（三）《交银施罗德可转债债券型证券投资基金托管协议》</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074BC" w:rsidRDefault="009C252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（六）关于申请募集注册交银施罗德可转债债券型证券投资基金的法律意见书</w:t>
      </w:r>
    </w:p>
    <w:sectPr w:rsidR="00C074BC">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330" w:rsidRDefault="009C252D">
      <w:r>
        <w:separator/>
      </w:r>
    </w:p>
  </w:endnote>
  <w:endnote w:type="continuationSeparator" w:id="0">
    <w:p w:rsidR="00A07330" w:rsidRDefault="009C2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C074B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F0103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074BC" w:rsidRDefault="009C252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0103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C074B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F0103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074BC" w:rsidRDefault="009C252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01037">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330" w:rsidRDefault="009C252D">
      <w:r>
        <w:separator/>
      </w:r>
    </w:p>
  </w:footnote>
  <w:footnote w:type="continuationSeparator" w:id="0">
    <w:p w:rsidR="00A07330" w:rsidRDefault="009C2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C074B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9C252D">
    <w:pPr>
      <w:pStyle w:val="a3"/>
      <w:jc w:val="right"/>
      <w:rPr>
        <w:rFonts w:ascii="宋体" w:hAnsi="宋体"/>
      </w:rPr>
    </w:pPr>
    <w:r>
      <w:rPr>
        <w:rFonts w:ascii="宋体" w:hAnsi="宋体" w:hint="eastAsia"/>
      </w:rPr>
      <w:t>交银施罗德可转债债券型证券投资基金招募说明书更新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C074BC">
    <w:pPr>
      <w:pStyle w:val="10"/>
      <w:jc w:val="right"/>
    </w:pPr>
  </w:p>
  <w:p w:rsidR="00C074BC" w:rsidRDefault="00C074BC">
    <w:pPr>
      <w:pStyle w:val="10"/>
      <w:jc w:val="right"/>
    </w:pPr>
  </w:p>
  <w:p w:rsidR="00C074BC" w:rsidRDefault="00C074BC">
    <w:pPr>
      <w:pStyle w:val="a3"/>
      <w:jc w:val="right"/>
    </w:pPr>
  </w:p>
  <w:p w:rsidR="00C074BC" w:rsidRDefault="009C252D">
    <w:pPr>
      <w:pStyle w:val="a3"/>
      <w:jc w:val="right"/>
      <w:rPr>
        <w:rFonts w:ascii="宋体" w:hAnsi="宋体"/>
      </w:rPr>
    </w:pPr>
    <w:r>
      <w:rPr>
        <w:rFonts w:ascii="宋体" w:hAnsi="宋体" w:hint="eastAsia"/>
      </w:rPr>
      <w:t>交银施罗德可转债债券型证券投资基金招募说明书更新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4BC" w:rsidRDefault="00C074BC">
    <w:pPr>
      <w:pStyle w:val="a3"/>
      <w:jc w:val="right"/>
    </w:pPr>
  </w:p>
  <w:p w:rsidR="00C074BC" w:rsidRDefault="00C074BC">
    <w:pPr>
      <w:pStyle w:val="a3"/>
      <w:jc w:val="right"/>
    </w:pPr>
  </w:p>
  <w:p w:rsidR="00C074BC" w:rsidRDefault="00C074BC">
    <w:pPr>
      <w:pStyle w:val="a3"/>
      <w:jc w:val="right"/>
    </w:pPr>
  </w:p>
  <w:p w:rsidR="00C074BC" w:rsidRDefault="009C252D">
    <w:pPr>
      <w:pStyle w:val="a3"/>
      <w:jc w:val="right"/>
      <w:rPr>
        <w:rFonts w:ascii="宋体" w:hAnsi="宋体"/>
      </w:rPr>
    </w:pPr>
    <w:r>
      <w:rPr>
        <w:rFonts w:ascii="宋体" w:hAnsi="宋体" w:hint="eastAsia"/>
      </w:rPr>
      <w:t>交银施罗德可转债债券型证券投资基金招募说明书更新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252D"/>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07330"/>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4B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1037"/>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D302B666-EA08-4CA3-92A6-D5A7B018A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16896</Words>
  <Characters>96312</Characters>
  <Application>Microsoft Office Word</Application>
  <DocSecurity>0</DocSecurity>
  <Lines>802</Lines>
  <Paragraphs>225</Paragraphs>
  <ScaleCrop>false</ScaleCrop>
  <Company>Microsoft</Company>
  <LinksUpToDate>false</LinksUpToDate>
  <CharactersWithSpaces>112983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2026-06-01T01:03:00Z</dcterms:created>
  <dcterms:modified xsi:type="dcterms:W3CDTF">2026-06-01T01:03:00Z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