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4BCC2">
      <w:pPr>
        <w:jc w:val="center"/>
        <w:rPr>
          <w:rFonts w:ascii="黑体" w:hAnsi="黑体" w:eastAsia="黑体"/>
          <w:b/>
          <w:sz w:val="36"/>
        </w:rPr>
      </w:pPr>
      <w:bookmarkStart w:id="0" w:name="_GoBack"/>
      <w:bookmarkEnd w:id="0"/>
      <w:r>
        <w:rPr>
          <w:rFonts w:hint="eastAsia" w:ascii="黑体" w:hAnsi="黑体" w:eastAsia="黑体"/>
          <w:b/>
          <w:sz w:val="36"/>
        </w:rPr>
        <w:t>交银施罗德</w:t>
      </w:r>
      <w:r>
        <w:rPr>
          <w:rFonts w:hint="eastAsia" w:ascii="黑体" w:hAnsi="黑体" w:eastAsia="黑体"/>
          <w:b/>
          <w:sz w:val="36"/>
          <w:lang w:eastAsia="zh-CN"/>
        </w:rPr>
        <w:t>盈享多资产六个月</w:t>
      </w:r>
      <w:r>
        <w:rPr>
          <w:rFonts w:hint="eastAsia" w:ascii="黑体" w:hAnsi="黑体" w:eastAsia="黑体"/>
          <w:b/>
          <w:sz w:val="36"/>
        </w:rPr>
        <w:t>持有期混合型基金中基金（FOF）基金产品资料概要</w:t>
      </w:r>
    </w:p>
    <w:p w14:paraId="4CC07D35">
      <w:pPr>
        <w:wordWrap w:val="0"/>
        <w:jc w:val="right"/>
        <w:rPr>
          <w:rFonts w:hint="default" w:ascii="仿宋_GB2312" w:hAnsi="宋体" w:eastAsia="仿宋_GB2312" w:cs="宋体"/>
          <w:kern w:val="0"/>
          <w:szCs w:val="21"/>
          <w:lang w:val="en-US" w:eastAsia="zh-CN"/>
        </w:rPr>
      </w:pPr>
      <w:r>
        <w:rPr>
          <w:rFonts w:hint="eastAsia" w:ascii="仿宋_GB2312" w:eastAsia="仿宋_GB2312"/>
        </w:rPr>
        <w:t>编制日期：</w:t>
      </w:r>
      <w:r>
        <w:rPr>
          <w:rFonts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05</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26</w:t>
      </w:r>
    </w:p>
    <w:p w14:paraId="228C6324">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05</w:t>
      </w:r>
      <w:r>
        <w:rPr>
          <w:rFonts w:ascii="Times New Roman" w:hAnsi="Times New Roman" w:cs="Times New Roman"/>
        </w:rPr>
        <w:t>-</w:t>
      </w:r>
      <w:r>
        <w:rPr>
          <w:rFonts w:hint="eastAsia" w:ascii="Times New Roman" w:hAnsi="Times New Roman" w:cs="Times New Roman"/>
          <w:lang w:val="en-US" w:eastAsia="zh-CN"/>
        </w:rPr>
        <w:t>27</w:t>
      </w:r>
    </w:p>
    <w:p w14:paraId="0A645B71">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664DB010">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292FBECA">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41"/>
        <w:gridCol w:w="1517"/>
        <w:gridCol w:w="3336"/>
        <w:gridCol w:w="1878"/>
      </w:tblGrid>
      <w:tr w14:paraId="48D5EFC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21343A4">
            <w:pPr>
              <w:widowControl/>
              <w:jc w:val="left"/>
              <w:rPr>
                <w:rFonts w:ascii="仿宋_GB2312" w:eastAsia="仿宋_GB2312"/>
                <w:szCs w:val="21"/>
              </w:rPr>
            </w:pPr>
            <w:r>
              <w:rPr>
                <w:rFonts w:hint="eastAsia" w:ascii="仿宋_GB2312" w:eastAsia="仿宋_GB2312"/>
                <w:szCs w:val="21"/>
              </w:rPr>
              <w:t>基金简称</w:t>
            </w:r>
          </w:p>
        </w:tc>
        <w:tc>
          <w:tcPr>
            <w:tcW w:w="1517" w:type="dxa"/>
            <w:vAlign w:val="center"/>
          </w:tcPr>
          <w:p w14:paraId="4B36FF3C">
            <w:pPr>
              <w:rPr>
                <w:rFonts w:ascii="仿宋_GB2312" w:eastAsia="仿宋_GB2312"/>
                <w:szCs w:val="21"/>
              </w:rPr>
            </w:pPr>
            <w:r>
              <w:rPr>
                <w:rFonts w:hint="eastAsia" w:ascii="仿宋_GB2312" w:eastAsia="仿宋_GB2312"/>
                <w:szCs w:val="21"/>
              </w:rPr>
              <w:t>交银</w:t>
            </w:r>
            <w:r>
              <w:rPr>
                <w:rFonts w:hint="eastAsia" w:ascii="仿宋_GB2312" w:eastAsia="仿宋_GB2312"/>
                <w:szCs w:val="21"/>
                <w:lang w:eastAsia="zh-CN"/>
              </w:rPr>
              <w:t>盈享多资产六个月</w:t>
            </w:r>
            <w:r>
              <w:rPr>
                <w:rFonts w:hint="eastAsia" w:ascii="仿宋_GB2312" w:eastAsia="仿宋_GB2312"/>
                <w:szCs w:val="21"/>
              </w:rPr>
              <w:t>持有期混合（FOF）</w:t>
            </w:r>
          </w:p>
        </w:tc>
        <w:tc>
          <w:tcPr>
            <w:tcW w:w="3336" w:type="dxa"/>
            <w:vAlign w:val="center"/>
          </w:tcPr>
          <w:p w14:paraId="5076D877">
            <w:pPr>
              <w:rPr>
                <w:rFonts w:ascii="仿宋_GB2312" w:hAnsi="宋体" w:eastAsia="仿宋_GB2312" w:cs="宋体"/>
                <w:szCs w:val="21"/>
              </w:rPr>
            </w:pPr>
            <w:r>
              <w:rPr>
                <w:rFonts w:hint="eastAsia" w:ascii="仿宋_GB2312" w:eastAsia="仿宋_GB2312"/>
                <w:szCs w:val="21"/>
              </w:rPr>
              <w:t>基金代码</w:t>
            </w:r>
          </w:p>
        </w:tc>
        <w:tc>
          <w:tcPr>
            <w:tcW w:w="1878" w:type="dxa"/>
            <w:vAlign w:val="center"/>
          </w:tcPr>
          <w:p w14:paraId="52A608D2">
            <w:pPr>
              <w:rPr>
                <w:rFonts w:hint="default" w:ascii="仿宋_GB2312" w:eastAsia="仿宋_GB2312"/>
                <w:szCs w:val="21"/>
                <w:lang w:val="en-US" w:eastAsia="zh-CN"/>
              </w:rPr>
            </w:pPr>
            <w:r>
              <w:rPr>
                <w:rFonts w:hint="eastAsia" w:ascii="仿宋_GB2312" w:eastAsia="仿宋_GB2312"/>
                <w:szCs w:val="21"/>
                <w:lang w:val="en-US" w:eastAsia="zh-CN"/>
              </w:rPr>
              <w:t>027238</w:t>
            </w:r>
          </w:p>
        </w:tc>
      </w:tr>
      <w:tr w14:paraId="2B652F7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1329564">
            <w:pPr>
              <w:rPr>
                <w:rFonts w:ascii="仿宋_GB2312" w:eastAsia="仿宋_GB2312"/>
                <w:szCs w:val="21"/>
              </w:rPr>
            </w:pPr>
            <w:r>
              <w:rPr>
                <w:rFonts w:hint="eastAsia" w:ascii="仿宋_GB2312" w:eastAsia="仿宋_GB2312"/>
                <w:szCs w:val="21"/>
              </w:rPr>
              <w:t>基金管理人</w:t>
            </w:r>
          </w:p>
        </w:tc>
        <w:tc>
          <w:tcPr>
            <w:tcW w:w="1517" w:type="dxa"/>
            <w:vAlign w:val="center"/>
          </w:tcPr>
          <w:p w14:paraId="742D0DCE">
            <w:pPr>
              <w:rPr>
                <w:rFonts w:ascii="仿宋_GB2312" w:eastAsia="仿宋_GB2312"/>
                <w:szCs w:val="21"/>
              </w:rPr>
            </w:pPr>
            <w:r>
              <w:rPr>
                <w:rFonts w:hint="eastAsia" w:ascii="仿宋_GB2312" w:eastAsia="仿宋_GB2312"/>
                <w:szCs w:val="21"/>
              </w:rPr>
              <w:t>交银施罗德基金管理有限公司</w:t>
            </w:r>
          </w:p>
        </w:tc>
        <w:tc>
          <w:tcPr>
            <w:tcW w:w="3336" w:type="dxa"/>
            <w:vAlign w:val="center"/>
          </w:tcPr>
          <w:p w14:paraId="221FDAC9">
            <w:pPr>
              <w:rPr>
                <w:rFonts w:ascii="仿宋_GB2312" w:hAnsi="宋体" w:eastAsia="仿宋_GB2312" w:cs="宋体"/>
                <w:szCs w:val="21"/>
              </w:rPr>
            </w:pPr>
            <w:r>
              <w:rPr>
                <w:rFonts w:hint="eastAsia" w:ascii="仿宋_GB2312" w:eastAsia="仿宋_GB2312"/>
                <w:szCs w:val="21"/>
              </w:rPr>
              <w:t>基金托管人</w:t>
            </w:r>
          </w:p>
        </w:tc>
        <w:tc>
          <w:tcPr>
            <w:tcW w:w="1878" w:type="dxa"/>
            <w:vAlign w:val="center"/>
          </w:tcPr>
          <w:p w14:paraId="72675814">
            <w:pPr>
              <w:rPr>
                <w:rFonts w:ascii="仿宋_GB2312" w:eastAsia="仿宋_GB2312"/>
                <w:szCs w:val="21"/>
              </w:rPr>
            </w:pPr>
            <w:r>
              <w:rPr>
                <w:rFonts w:hint="eastAsia" w:ascii="仿宋_GB2312" w:eastAsia="仿宋_GB2312"/>
                <w:szCs w:val="21"/>
              </w:rPr>
              <w:t>招商银行股份有限公司</w:t>
            </w:r>
          </w:p>
        </w:tc>
      </w:tr>
      <w:tr w14:paraId="722BF80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5214" w:type="dxa"/>
          <w:jc w:val="center"/>
        </w:trPr>
        <w:tc>
          <w:tcPr>
            <w:tcW w:w="2341" w:type="dxa"/>
            <w:vAlign w:val="center"/>
          </w:tcPr>
          <w:p w14:paraId="623458AD">
            <w:pPr>
              <w:rPr>
                <w:rFonts w:ascii="仿宋_GB2312" w:eastAsia="仿宋_GB2312"/>
                <w:szCs w:val="21"/>
              </w:rPr>
            </w:pPr>
            <w:r>
              <w:rPr>
                <w:rFonts w:hint="eastAsia" w:ascii="仿宋_GB2312" w:eastAsia="仿宋_GB2312"/>
                <w:szCs w:val="21"/>
              </w:rPr>
              <w:t>基金合同生效日</w:t>
            </w:r>
          </w:p>
        </w:tc>
        <w:tc>
          <w:tcPr>
            <w:tcW w:w="1517" w:type="dxa"/>
            <w:vAlign w:val="center"/>
          </w:tcPr>
          <w:p w14:paraId="4025DB4E">
            <w:pPr>
              <w:rPr>
                <w:rFonts w:ascii="仿宋_GB2312" w:eastAsia="仿宋_GB2312"/>
                <w:szCs w:val="21"/>
              </w:rPr>
            </w:pPr>
            <w:r>
              <w:rPr>
                <w:rFonts w:ascii="仿宋_GB2312" w:eastAsia="仿宋_GB2312"/>
                <w:szCs w:val="21"/>
              </w:rPr>
              <w:t>-</w:t>
            </w:r>
          </w:p>
        </w:tc>
      </w:tr>
      <w:tr w14:paraId="29A31B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F1592F5">
            <w:pPr>
              <w:rPr>
                <w:rFonts w:ascii="仿宋_GB2312" w:eastAsia="仿宋_GB2312"/>
                <w:szCs w:val="21"/>
              </w:rPr>
            </w:pPr>
            <w:r>
              <w:rPr>
                <w:rFonts w:hint="eastAsia" w:ascii="仿宋_GB2312" w:eastAsia="仿宋_GB2312"/>
                <w:szCs w:val="21"/>
              </w:rPr>
              <w:t>基金类型</w:t>
            </w:r>
          </w:p>
        </w:tc>
        <w:tc>
          <w:tcPr>
            <w:tcW w:w="1517" w:type="dxa"/>
            <w:vAlign w:val="center"/>
          </w:tcPr>
          <w:p w14:paraId="30EBB787">
            <w:pPr>
              <w:rPr>
                <w:rFonts w:ascii="仿宋_GB2312" w:eastAsia="仿宋_GB2312"/>
                <w:szCs w:val="21"/>
              </w:rPr>
            </w:pPr>
            <w:r>
              <w:rPr>
                <w:rFonts w:hint="eastAsia" w:ascii="仿宋_GB2312" w:eastAsia="仿宋_GB2312"/>
                <w:szCs w:val="21"/>
              </w:rPr>
              <w:t>基金中基金</w:t>
            </w:r>
          </w:p>
        </w:tc>
        <w:tc>
          <w:tcPr>
            <w:tcW w:w="3336" w:type="dxa"/>
            <w:vAlign w:val="center"/>
          </w:tcPr>
          <w:p w14:paraId="029EF8F2">
            <w:pPr>
              <w:rPr>
                <w:rFonts w:ascii="仿宋_GB2312" w:hAnsi="宋体" w:eastAsia="仿宋_GB2312" w:cs="宋体"/>
                <w:szCs w:val="21"/>
              </w:rPr>
            </w:pPr>
            <w:r>
              <w:rPr>
                <w:rFonts w:hint="eastAsia" w:ascii="仿宋_GB2312" w:eastAsia="仿宋_GB2312"/>
                <w:szCs w:val="21"/>
              </w:rPr>
              <w:t>交易币种</w:t>
            </w:r>
          </w:p>
        </w:tc>
        <w:tc>
          <w:tcPr>
            <w:tcW w:w="1878" w:type="dxa"/>
            <w:vAlign w:val="center"/>
          </w:tcPr>
          <w:p w14:paraId="304F5773">
            <w:pPr>
              <w:rPr>
                <w:rFonts w:ascii="仿宋_GB2312" w:eastAsia="仿宋_GB2312"/>
                <w:szCs w:val="21"/>
              </w:rPr>
            </w:pPr>
            <w:r>
              <w:rPr>
                <w:rFonts w:hint="eastAsia" w:ascii="仿宋_GB2312" w:eastAsia="仿宋_GB2312"/>
                <w:szCs w:val="21"/>
              </w:rPr>
              <w:t>人民币</w:t>
            </w:r>
          </w:p>
        </w:tc>
      </w:tr>
      <w:tr w14:paraId="454A1D8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Align w:val="center"/>
          </w:tcPr>
          <w:p w14:paraId="0042908E">
            <w:pPr>
              <w:rPr>
                <w:rFonts w:ascii="仿宋_GB2312" w:eastAsia="仿宋_GB2312"/>
                <w:szCs w:val="21"/>
              </w:rPr>
            </w:pPr>
            <w:r>
              <w:rPr>
                <w:rFonts w:hint="eastAsia" w:ascii="仿宋_GB2312" w:eastAsia="仿宋_GB2312"/>
                <w:szCs w:val="21"/>
              </w:rPr>
              <w:t>运作方式</w:t>
            </w:r>
          </w:p>
        </w:tc>
        <w:tc>
          <w:tcPr>
            <w:tcW w:w="1517" w:type="dxa"/>
            <w:vAlign w:val="center"/>
          </w:tcPr>
          <w:p w14:paraId="073BB0B2">
            <w:pPr>
              <w:rPr>
                <w:rFonts w:ascii="仿宋_GB2312" w:eastAsia="仿宋_GB2312"/>
                <w:szCs w:val="21"/>
              </w:rPr>
            </w:pPr>
            <w:r>
              <w:rPr>
                <w:rFonts w:hint="eastAsia" w:ascii="仿宋_GB2312" w:eastAsia="仿宋_GB2312"/>
                <w:szCs w:val="21"/>
              </w:rPr>
              <w:t>其他开放式</w:t>
            </w:r>
          </w:p>
        </w:tc>
        <w:tc>
          <w:tcPr>
            <w:tcW w:w="3336" w:type="dxa"/>
            <w:vAlign w:val="center"/>
          </w:tcPr>
          <w:p w14:paraId="17DA4ADF">
            <w:pPr>
              <w:rPr>
                <w:rFonts w:ascii="仿宋_GB2312" w:hAnsi="宋体" w:eastAsia="仿宋_GB2312" w:cs="宋体"/>
                <w:szCs w:val="21"/>
              </w:rPr>
            </w:pPr>
            <w:r>
              <w:rPr>
                <w:rFonts w:hint="eastAsia" w:ascii="仿宋_GB2312" w:eastAsia="仿宋_GB2312"/>
                <w:szCs w:val="21"/>
              </w:rPr>
              <w:t>开放频率</w:t>
            </w:r>
          </w:p>
        </w:tc>
        <w:tc>
          <w:tcPr>
            <w:tcW w:w="1878" w:type="dxa"/>
            <w:vAlign w:val="center"/>
          </w:tcPr>
          <w:p w14:paraId="629A22D0">
            <w:pPr>
              <w:rPr>
                <w:rFonts w:ascii="仿宋_GB2312" w:eastAsia="仿宋_GB2312"/>
                <w:szCs w:val="21"/>
              </w:rPr>
            </w:pPr>
            <w:r>
              <w:rPr>
                <w:rFonts w:hint="eastAsia" w:ascii="仿宋_GB2312" w:eastAsia="仿宋_GB2312"/>
                <w:szCs w:val="21"/>
              </w:rPr>
              <w:t>每个开放日开放申购；每份基金份额最短持有期限为</w:t>
            </w:r>
            <w:r>
              <w:rPr>
                <w:rFonts w:hint="eastAsia" w:ascii="仿宋_GB2312" w:eastAsia="仿宋_GB2312"/>
                <w:szCs w:val="21"/>
                <w:lang w:val="en-US" w:eastAsia="zh-CN"/>
              </w:rPr>
              <w:t>六</w:t>
            </w:r>
            <w:r>
              <w:rPr>
                <w:rFonts w:hint="eastAsia" w:ascii="仿宋_GB2312" w:eastAsia="仿宋_GB2312"/>
                <w:szCs w:val="21"/>
              </w:rPr>
              <w:t>个月，在最短持有期限内不可赎回</w:t>
            </w:r>
          </w:p>
        </w:tc>
      </w:tr>
      <w:tr w14:paraId="511E372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Merge w:val="restart"/>
          </w:tcPr>
          <w:p w14:paraId="20F12E2F">
            <w:pPr>
              <w:jc w:val="left"/>
              <w:rPr>
                <w:rFonts w:ascii="仿宋_GB2312" w:eastAsia="仿宋_GB2312"/>
                <w:szCs w:val="21"/>
              </w:rPr>
            </w:pPr>
            <w:r>
              <w:rPr>
                <w:rFonts w:hint="eastAsia" w:ascii="仿宋_GB2312" w:eastAsia="仿宋_GB2312"/>
                <w:szCs w:val="21"/>
              </w:rPr>
              <w:t>基金经理</w:t>
            </w:r>
          </w:p>
        </w:tc>
        <w:tc>
          <w:tcPr>
            <w:tcW w:w="1517" w:type="dxa"/>
            <w:vMerge w:val="restart"/>
          </w:tcPr>
          <w:p w14:paraId="769F8A59">
            <w:pPr>
              <w:jc w:val="left"/>
              <w:rPr>
                <w:rFonts w:ascii="仿宋_GB2312" w:eastAsia="仿宋_GB2312"/>
                <w:szCs w:val="21"/>
              </w:rPr>
            </w:pPr>
            <w:r>
              <w:rPr>
                <w:rFonts w:hint="eastAsia" w:ascii="仿宋_GB2312" w:eastAsia="仿宋_GB2312"/>
                <w:szCs w:val="21"/>
              </w:rPr>
              <w:t>刘迪</w:t>
            </w:r>
          </w:p>
        </w:tc>
        <w:tc>
          <w:tcPr>
            <w:tcW w:w="3336" w:type="dxa"/>
          </w:tcPr>
          <w:p w14:paraId="40288C07">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1878" w:type="dxa"/>
          </w:tcPr>
          <w:p w14:paraId="4F14716D">
            <w:pPr>
              <w:jc w:val="left"/>
              <w:rPr>
                <w:rFonts w:ascii="仿宋_GB2312" w:eastAsia="仿宋_GB2312"/>
                <w:szCs w:val="21"/>
              </w:rPr>
            </w:pPr>
            <w:r>
              <w:rPr>
                <w:rFonts w:ascii="仿宋_GB2312" w:eastAsia="仿宋_GB2312"/>
                <w:szCs w:val="21"/>
              </w:rPr>
              <w:t>-</w:t>
            </w:r>
          </w:p>
        </w:tc>
      </w:tr>
      <w:tr w14:paraId="3570897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vMerge w:val="continue"/>
          </w:tcPr>
          <w:p w14:paraId="77FE9448">
            <w:pPr>
              <w:jc w:val="left"/>
              <w:rPr>
                <w:rFonts w:ascii="仿宋_GB2312" w:eastAsia="仿宋_GB2312"/>
                <w:szCs w:val="21"/>
              </w:rPr>
            </w:pPr>
          </w:p>
        </w:tc>
        <w:tc>
          <w:tcPr>
            <w:tcW w:w="1517" w:type="dxa"/>
            <w:vMerge w:val="continue"/>
          </w:tcPr>
          <w:p w14:paraId="002FAD5A">
            <w:pPr>
              <w:jc w:val="left"/>
              <w:rPr>
                <w:rFonts w:ascii="仿宋_GB2312" w:eastAsia="仿宋_GB2312"/>
                <w:szCs w:val="21"/>
              </w:rPr>
            </w:pPr>
          </w:p>
        </w:tc>
        <w:tc>
          <w:tcPr>
            <w:tcW w:w="3336" w:type="dxa"/>
          </w:tcPr>
          <w:p w14:paraId="7A2C3BA7">
            <w:pPr>
              <w:jc w:val="left"/>
              <w:rPr>
                <w:rFonts w:ascii="仿宋_GB2312" w:eastAsia="仿宋_GB2312"/>
                <w:szCs w:val="21"/>
              </w:rPr>
            </w:pPr>
            <w:r>
              <w:rPr>
                <w:rFonts w:hint="eastAsia" w:ascii="仿宋_GB2312" w:hAnsi="宋体" w:eastAsia="仿宋_GB2312" w:cs="宋体"/>
                <w:kern w:val="0"/>
                <w:szCs w:val="21"/>
              </w:rPr>
              <w:t>证券从业日期</w:t>
            </w:r>
          </w:p>
        </w:tc>
        <w:tc>
          <w:tcPr>
            <w:tcW w:w="1878" w:type="dxa"/>
          </w:tcPr>
          <w:p w14:paraId="4EAB88E1">
            <w:pPr>
              <w:jc w:val="left"/>
              <w:rPr>
                <w:rFonts w:ascii="仿宋_GB2312" w:eastAsia="仿宋_GB2312"/>
                <w:szCs w:val="21"/>
              </w:rPr>
            </w:pPr>
            <w:r>
              <w:rPr>
                <w:rFonts w:hint="eastAsia" w:ascii="仿宋_GB2312" w:eastAsia="仿宋_GB2312"/>
                <w:szCs w:val="21"/>
              </w:rPr>
              <w:t>20</w:t>
            </w:r>
            <w:r>
              <w:rPr>
                <w:rFonts w:ascii="仿宋_GB2312" w:eastAsia="仿宋_GB2312"/>
                <w:szCs w:val="21"/>
              </w:rPr>
              <w:t>15</w:t>
            </w:r>
            <w:r>
              <w:rPr>
                <w:rFonts w:hint="eastAsia" w:ascii="仿宋_GB2312" w:eastAsia="仿宋_GB2312"/>
                <w:szCs w:val="21"/>
              </w:rPr>
              <w:t>-0</w:t>
            </w:r>
            <w:r>
              <w:rPr>
                <w:rFonts w:ascii="仿宋_GB2312" w:eastAsia="仿宋_GB2312"/>
                <w:szCs w:val="21"/>
              </w:rPr>
              <w:t>7</w:t>
            </w:r>
            <w:r>
              <w:rPr>
                <w:rFonts w:hint="eastAsia" w:ascii="仿宋_GB2312" w:eastAsia="仿宋_GB2312"/>
                <w:szCs w:val="21"/>
              </w:rPr>
              <w:t>-</w:t>
            </w:r>
            <w:r>
              <w:rPr>
                <w:rFonts w:ascii="仿宋_GB2312" w:eastAsia="仿宋_GB2312"/>
                <w:szCs w:val="21"/>
              </w:rPr>
              <w:t>01</w:t>
            </w:r>
          </w:p>
        </w:tc>
      </w:tr>
      <w:tr w14:paraId="6EDA110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341" w:type="dxa"/>
          </w:tcPr>
          <w:p w14:paraId="0F720BC3">
            <w:pPr>
              <w:jc w:val="left"/>
              <w:rPr>
                <w:rFonts w:ascii="仿宋_GB2312" w:eastAsia="仿宋_GB2312"/>
                <w:szCs w:val="21"/>
              </w:rPr>
            </w:pPr>
            <w:r>
              <w:rPr>
                <w:rFonts w:hint="eastAsia" w:ascii="仿宋_GB2312" w:hAnsi="宋体" w:eastAsia="仿宋_GB2312" w:cs="宋体"/>
                <w:kern w:val="0"/>
                <w:szCs w:val="21"/>
              </w:rPr>
              <w:t>其他</w:t>
            </w:r>
          </w:p>
        </w:tc>
        <w:tc>
          <w:tcPr>
            <w:tcW w:w="6731" w:type="dxa"/>
            <w:gridSpan w:val="3"/>
          </w:tcPr>
          <w:p w14:paraId="2CEF08FB">
            <w:pPr>
              <w:ind w:firstLine="420"/>
              <w:jc w:val="left"/>
              <w:rPr>
                <w:rFonts w:ascii="仿宋_GB2312" w:eastAsia="仿宋_GB2312"/>
                <w:szCs w:val="21"/>
              </w:rPr>
            </w:pPr>
            <w:r>
              <w:rPr>
                <w:rFonts w:hint="eastAsia"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14:paraId="192D6798">
      <w:pPr>
        <w:jc w:val="left"/>
        <w:rPr>
          <w:rFonts w:ascii="仿宋_GB2312" w:hAnsi="宋体" w:eastAsia="仿宋_GB2312" w:cs="宋体"/>
          <w:kern w:val="0"/>
          <w:szCs w:val="21"/>
        </w:rPr>
      </w:pPr>
      <w:r>
        <w:rPr>
          <w:rFonts w:hint="eastAsia" w:ascii="仿宋_GB2312" w:hAnsi="宋体" w:eastAsia="仿宋_GB2312" w:cs="宋体"/>
          <w:kern w:val="0"/>
          <w:szCs w:val="21"/>
        </w:rPr>
        <w:t>注：本基金为偏债混合型基金中基金。</w:t>
      </w:r>
    </w:p>
    <w:p w14:paraId="489EB709">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43C4AED8">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2407118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1BA51DD">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4887F463">
            <w:pPr>
              <w:ind w:firstLine="420"/>
              <w:jc w:val="left"/>
              <w:rPr>
                <w:rFonts w:ascii="仿宋_GB2312" w:eastAsia="仿宋_GB2312"/>
                <w:szCs w:val="21"/>
              </w:rPr>
            </w:pPr>
            <w:r>
              <w:rPr>
                <w:rFonts w:hint="eastAsia" w:ascii="仿宋_GB2312" w:eastAsia="仿宋_GB2312"/>
                <w:szCs w:val="21"/>
              </w:rPr>
              <w:t>本基金为基金中基金，在严格控制风险的前提下，充分发挥专业研究与管理能力，力争为投资者提供长期稳健的投资回报。</w:t>
            </w:r>
          </w:p>
        </w:tc>
      </w:tr>
      <w:tr w14:paraId="01B6115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818A9FF">
            <w:pPr>
              <w:rPr>
                <w:rFonts w:ascii="仿宋_GB2312" w:eastAsia="仿宋_GB2312"/>
                <w:szCs w:val="21"/>
              </w:rPr>
            </w:pPr>
            <w:r>
              <w:rPr>
                <w:rFonts w:hint="eastAsia" w:ascii="仿宋_GB2312" w:eastAsia="仿宋_GB2312"/>
                <w:szCs w:val="21"/>
              </w:rPr>
              <w:t>投资范围</w:t>
            </w:r>
          </w:p>
        </w:tc>
        <w:tc>
          <w:tcPr>
            <w:tcW w:w="6525" w:type="dxa"/>
            <w:vAlign w:val="center"/>
          </w:tcPr>
          <w:p w14:paraId="081968D2">
            <w:pPr>
              <w:ind w:firstLine="420"/>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商品基金（包括商品期货基金和黄金ETF）、公开募集不动产投资信托基金（以下简称“公募REITs”））、国内依法发行上市的股票（含主板、创业板、科创板及其他经中国证监会核准或注册上市的股票、存托凭证）、内地与香港股票市场交易互联互通机制允许买卖的香港证券市场股票和交易型开放式基金（以下分别简称“港股通股票”、“港股通ETF”）、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14:paraId="240B4D67">
            <w:pPr>
              <w:ind w:firstLine="420"/>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594D8F40">
            <w:pPr>
              <w:ind w:firstLine="420"/>
              <w:rPr>
                <w:rFonts w:hint="eastAsia"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资产占基金资产的比例为5%-40%（其中，投资于港股通股票的比例占股票资产的0%-50%）；投资于QDII基金和香港互认基金的比例合计不超过基金资产的20%；投资于货币市场基金的比例不超过基金资产的15%。本基金持有的现金或者到期日在一年以内的政府债券的比例合计不低于基金资产净值的5%，其中现金不包括结算备付金、存出保证金、应收申购款等。</w:t>
            </w:r>
          </w:p>
          <w:p w14:paraId="2E268FCF">
            <w:pPr>
              <w:ind w:firstLine="420"/>
              <w:rPr>
                <w:rFonts w:hint="eastAsia" w:ascii="仿宋_GB2312" w:eastAsia="仿宋_GB2312"/>
                <w:szCs w:val="21"/>
              </w:rPr>
            </w:pPr>
            <w:r>
              <w:rPr>
                <w:rFonts w:hint="eastAsia" w:ascii="仿宋_GB2312" w:eastAsia="仿宋_GB2312"/>
                <w:szCs w:val="21"/>
              </w:rPr>
              <w:t>上述混合型基金需符合下列两个条件之一：</w:t>
            </w:r>
          </w:p>
          <w:p w14:paraId="1374E2CF">
            <w:pPr>
              <w:ind w:firstLine="420"/>
              <w:rPr>
                <w:rFonts w:hint="eastAsia" w:ascii="仿宋_GB2312" w:eastAsia="仿宋_GB2312"/>
                <w:szCs w:val="21"/>
              </w:rPr>
            </w:pPr>
            <w:r>
              <w:rPr>
                <w:rFonts w:hint="eastAsia" w:ascii="仿宋_GB2312" w:eastAsia="仿宋_GB2312"/>
                <w:szCs w:val="21"/>
              </w:rPr>
              <w:t>1、基金合同中约定股票（含存托凭证）投资占基金资产的比例不低于60%的混合型基金；</w:t>
            </w:r>
          </w:p>
          <w:p w14:paraId="150F41B0">
            <w:pPr>
              <w:ind w:firstLine="420"/>
              <w:rPr>
                <w:rFonts w:ascii="仿宋_GB2312" w:eastAsia="仿宋_GB2312"/>
                <w:szCs w:val="21"/>
              </w:rPr>
            </w:pPr>
            <w:r>
              <w:rPr>
                <w:rFonts w:hint="eastAsia" w:ascii="仿宋_GB2312" w:eastAsia="仿宋_GB2312"/>
                <w:szCs w:val="21"/>
              </w:rPr>
              <w:t>2、最近四个季度披露的股票（含存托凭证）投资占基金资产的比例均不低于60%的混合型基金。</w:t>
            </w:r>
          </w:p>
          <w:p w14:paraId="2C02A9C5">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14:paraId="0B6D2BE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611784C">
            <w:pPr>
              <w:rPr>
                <w:rFonts w:ascii="仿宋_GB2312" w:eastAsia="仿宋_GB2312"/>
                <w:szCs w:val="21"/>
              </w:rPr>
            </w:pPr>
            <w:r>
              <w:rPr>
                <w:rFonts w:hint="eastAsia" w:ascii="仿宋_GB2312" w:eastAsia="仿宋_GB2312"/>
                <w:szCs w:val="21"/>
              </w:rPr>
              <w:t>主要投资策略</w:t>
            </w:r>
          </w:p>
        </w:tc>
        <w:tc>
          <w:tcPr>
            <w:tcW w:w="6525" w:type="dxa"/>
            <w:vAlign w:val="center"/>
          </w:tcPr>
          <w:p w14:paraId="66F9277C">
            <w:pPr>
              <w:ind w:firstLine="420"/>
              <w:jc w:val="left"/>
              <w:rPr>
                <w:rFonts w:ascii="仿宋_GB2312" w:eastAsia="仿宋_GB2312"/>
                <w:szCs w:val="21"/>
              </w:rPr>
            </w:pPr>
            <w:r>
              <w:rPr>
                <w:rFonts w:hint="eastAsia" w:ascii="仿宋_GB2312" w:eastAsia="仿宋_GB2312"/>
                <w:szCs w:val="21"/>
              </w:rPr>
              <w:t>本基金投资策略主要分为以下六个部分：</w:t>
            </w:r>
          </w:p>
          <w:p w14:paraId="6D55B13B">
            <w:pPr>
              <w:ind w:firstLine="420"/>
              <w:jc w:val="left"/>
              <w:rPr>
                <w:rFonts w:ascii="仿宋_GB2312" w:eastAsia="仿宋_GB2312"/>
                <w:szCs w:val="21"/>
              </w:rPr>
            </w:pPr>
            <w:r>
              <w:rPr>
                <w:rFonts w:hint="eastAsia" w:ascii="仿宋_GB2312" w:eastAsia="仿宋_GB2312"/>
                <w:szCs w:val="21"/>
              </w:rPr>
              <w:t>1、大类资产配置；2、基金投资策略；3、股票投资策略；4、港股通股票及港股通ETF投资策略；5、债券投资策略；6、资产支持证券投资策略。</w:t>
            </w:r>
          </w:p>
        </w:tc>
      </w:tr>
      <w:tr w14:paraId="53879A9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B4BBFA7">
            <w:pPr>
              <w:rPr>
                <w:rFonts w:ascii="仿宋_GB2312" w:eastAsia="仿宋_GB2312"/>
                <w:szCs w:val="21"/>
              </w:rPr>
            </w:pPr>
            <w:r>
              <w:rPr>
                <w:rFonts w:hint="eastAsia" w:ascii="仿宋_GB2312" w:eastAsia="仿宋_GB2312"/>
                <w:szCs w:val="21"/>
              </w:rPr>
              <w:t>业绩比较基准</w:t>
            </w:r>
          </w:p>
        </w:tc>
        <w:tc>
          <w:tcPr>
            <w:tcW w:w="6525" w:type="dxa"/>
            <w:vAlign w:val="center"/>
          </w:tcPr>
          <w:p w14:paraId="2FB3C105">
            <w:pPr>
              <w:ind w:firstLine="420"/>
              <w:jc w:val="left"/>
              <w:rPr>
                <w:rFonts w:ascii="仿宋_GB2312" w:eastAsia="仿宋_GB2312"/>
                <w:szCs w:val="21"/>
              </w:rPr>
            </w:pPr>
            <w:r>
              <w:rPr>
                <w:rFonts w:hint="eastAsia" w:ascii="仿宋_GB2312" w:eastAsia="仿宋_GB2312"/>
                <w:szCs w:val="21"/>
              </w:rPr>
              <w:t>中证800指数收益率×23%+上海黄金交易所Au99.99现货实盘合约</w:t>
            </w:r>
            <w:r>
              <w:rPr>
                <w:rFonts w:hint="eastAsia" w:ascii="仿宋_GB2312" w:eastAsia="仿宋_GB2312"/>
                <w:szCs w:val="21"/>
                <w:lang w:val="en-US" w:eastAsia="zh-CN"/>
              </w:rPr>
              <w:t>价格</w:t>
            </w:r>
            <w:r>
              <w:rPr>
                <w:rFonts w:hint="eastAsia" w:ascii="仿宋_GB2312" w:eastAsia="仿宋_GB2312"/>
                <w:szCs w:val="21"/>
              </w:rPr>
              <w:t>收益率×7%+中证纯债债券型基金指数收益率×65%+银行活期存款基准利率×5%</w:t>
            </w:r>
          </w:p>
        </w:tc>
      </w:tr>
      <w:tr w14:paraId="747352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114A878">
            <w:pPr>
              <w:rPr>
                <w:rFonts w:ascii="仿宋_GB2312" w:eastAsia="仿宋_GB2312"/>
                <w:szCs w:val="21"/>
              </w:rPr>
            </w:pPr>
            <w:r>
              <w:rPr>
                <w:rFonts w:hint="eastAsia" w:ascii="仿宋_GB2312" w:eastAsia="仿宋_GB2312"/>
                <w:szCs w:val="21"/>
              </w:rPr>
              <w:t>风险收益特征</w:t>
            </w:r>
          </w:p>
        </w:tc>
        <w:tc>
          <w:tcPr>
            <w:tcW w:w="6525" w:type="dxa"/>
            <w:vAlign w:val="center"/>
          </w:tcPr>
          <w:p w14:paraId="001C2A3B">
            <w:pPr>
              <w:ind w:firstLine="420"/>
              <w:jc w:val="left"/>
              <w:rPr>
                <w:rFonts w:hint="eastAsia"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p w14:paraId="434F2CBB">
            <w:pPr>
              <w:ind w:firstLine="420"/>
              <w:jc w:val="left"/>
              <w:rPr>
                <w:rFonts w:hint="eastAsia" w:ascii="仿宋_GB2312" w:eastAsia="仿宋_GB2312"/>
                <w:szCs w:val="21"/>
              </w:rPr>
            </w:pPr>
            <w:r>
              <w:rPr>
                <w:rFonts w:hint="eastAsia" w:ascii="仿宋_GB2312" w:eastAsia="仿宋_GB2312"/>
                <w:szCs w:val="21"/>
              </w:rPr>
              <w:t>本基金可投资港股通股票及港股通ETF，会面临港股通机制下因投资环境、投资标的、市场制度以及交易规则等差异带来的特有风险。</w:t>
            </w:r>
          </w:p>
        </w:tc>
      </w:tr>
    </w:tbl>
    <w:p w14:paraId="3A72F052">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w:t>
      </w:r>
      <w:r>
        <w:rPr>
          <w:rFonts w:hint="eastAsia" w:ascii="仿宋_GB2312" w:eastAsia="仿宋_GB2312"/>
          <w:szCs w:val="21"/>
          <w:lang w:eastAsia="zh-CN"/>
        </w:rPr>
        <w:t>盈享多资产六个月</w:t>
      </w:r>
      <w:r>
        <w:rPr>
          <w:rFonts w:hint="eastAsia" w:ascii="仿宋_GB2312" w:eastAsia="仿宋_GB2312"/>
          <w:szCs w:val="21"/>
        </w:rPr>
        <w:t>持有期混合型基金中基金（FOF）招募说明书》“基金的投资”。</w:t>
      </w:r>
    </w:p>
    <w:p w14:paraId="6A866A06">
      <w:pPr>
        <w:jc w:val="left"/>
        <w:rPr>
          <w:rFonts w:ascii="仿宋_GB2312" w:eastAsia="仿宋_GB2312"/>
          <w:b/>
          <w:szCs w:val="21"/>
        </w:rPr>
      </w:pPr>
      <w:r>
        <w:rPr>
          <w:rFonts w:hint="eastAsia" w:ascii="仿宋_GB2312" w:eastAsia="仿宋_GB2312"/>
          <w:b/>
          <w:szCs w:val="21"/>
        </w:rPr>
        <w:t>（二）投资组合资产配置图表/区域配置图表</w:t>
      </w:r>
    </w:p>
    <w:p w14:paraId="4DC24E4A">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14:paraId="662BB619">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31080370">
      <w:pPr>
        <w:jc w:val="left"/>
        <w:rPr>
          <w:rFonts w:ascii="仿宋_GB2312" w:eastAsia="仿宋_GB2312"/>
          <w:b/>
          <w:sz w:val="24"/>
          <w:szCs w:val="24"/>
        </w:rPr>
      </w:pPr>
      <w:r>
        <w:rPr>
          <w:rFonts w:ascii="仿宋_GB2312" w:eastAsia="仿宋_GB2312"/>
          <w:b/>
          <w:sz w:val="24"/>
          <w:szCs w:val="24"/>
        </w:rPr>
        <w:t>无</w:t>
      </w:r>
      <w:r>
        <w:rPr>
          <w:rFonts w:hint="eastAsia" w:ascii="仿宋_GB2312" w:eastAsia="仿宋_GB2312"/>
          <w:b/>
          <w:sz w:val="24"/>
          <w:szCs w:val="24"/>
        </w:rPr>
        <w:t>。</w:t>
      </w:r>
    </w:p>
    <w:p w14:paraId="0C041017">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7D104869">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3A9C4561">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7"/>
        <w:gridCol w:w="2818"/>
        <w:gridCol w:w="1754"/>
        <w:gridCol w:w="1989"/>
      </w:tblGrid>
      <w:tr w14:paraId="6FDBAF9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Align w:val="center"/>
          </w:tcPr>
          <w:p w14:paraId="1C690441">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818" w:type="dxa"/>
            <w:vAlign w:val="center"/>
          </w:tcPr>
          <w:p w14:paraId="63BAF579">
            <w:pPr>
              <w:rPr>
                <w:rFonts w:ascii="仿宋_GB2312" w:eastAsia="仿宋_GB2312"/>
                <w:szCs w:val="21"/>
              </w:rPr>
            </w:pPr>
            <w:r>
              <w:rPr>
                <w:rFonts w:hint="eastAsia" w:ascii="仿宋_GB2312" w:eastAsia="仿宋_GB2312"/>
                <w:szCs w:val="21"/>
              </w:rPr>
              <w:t>份额（S）或金额（M）/持有期限（N）</w:t>
            </w:r>
          </w:p>
        </w:tc>
        <w:tc>
          <w:tcPr>
            <w:tcW w:w="1754" w:type="dxa"/>
            <w:vAlign w:val="center"/>
          </w:tcPr>
          <w:p w14:paraId="411C5740">
            <w:pPr>
              <w:rPr>
                <w:rFonts w:ascii="仿宋_GB2312" w:eastAsia="仿宋_GB2312"/>
                <w:szCs w:val="21"/>
              </w:rPr>
            </w:pPr>
            <w:r>
              <w:rPr>
                <w:rFonts w:hint="eastAsia" w:ascii="仿宋_GB2312" w:eastAsia="仿宋_GB2312"/>
                <w:szCs w:val="21"/>
              </w:rPr>
              <w:t>收费方式/费率</w:t>
            </w:r>
          </w:p>
        </w:tc>
        <w:tc>
          <w:tcPr>
            <w:tcW w:w="1989" w:type="dxa"/>
            <w:vAlign w:val="center"/>
          </w:tcPr>
          <w:p w14:paraId="185780C7">
            <w:pPr>
              <w:widowControl/>
              <w:jc w:val="left"/>
              <w:rPr>
                <w:rFonts w:ascii="仿宋_GB2312" w:eastAsia="仿宋_GB2312"/>
                <w:szCs w:val="21"/>
              </w:rPr>
            </w:pPr>
            <w:r>
              <w:rPr>
                <w:rFonts w:hint="eastAsia" w:ascii="仿宋_GB2312" w:hAnsi="宋体" w:eastAsia="仿宋_GB2312" w:cs="宋体"/>
                <w:kern w:val="0"/>
                <w:szCs w:val="21"/>
              </w:rPr>
              <w:t>备注</w:t>
            </w:r>
          </w:p>
        </w:tc>
      </w:tr>
      <w:tr w14:paraId="1365D6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restart"/>
            <w:vAlign w:val="center"/>
          </w:tcPr>
          <w:p w14:paraId="109A7A9D">
            <w:pPr>
              <w:widowControl/>
              <w:jc w:val="left"/>
              <w:rPr>
                <w:rFonts w:ascii="仿宋_GB2312" w:hAnsi="宋体" w:eastAsia="仿宋_GB2312" w:cs="宋体"/>
                <w:kern w:val="0"/>
                <w:szCs w:val="21"/>
              </w:rPr>
            </w:pPr>
            <w:r>
              <w:rPr>
                <w:rFonts w:hint="eastAsia" w:ascii="仿宋_GB2312" w:hAnsi="宋体" w:eastAsia="仿宋_GB2312" w:cs="宋体"/>
                <w:kern w:val="0"/>
                <w:szCs w:val="21"/>
              </w:rPr>
              <w:t>认购费</w:t>
            </w:r>
          </w:p>
        </w:tc>
        <w:tc>
          <w:tcPr>
            <w:tcW w:w="2818" w:type="dxa"/>
            <w:vAlign w:val="top"/>
          </w:tcPr>
          <w:p w14:paraId="3BF3B419">
            <w:pPr>
              <w:rPr>
                <w:rFonts w:ascii="仿宋_GB2312" w:eastAsia="仿宋_GB2312"/>
                <w:szCs w:val="21"/>
              </w:rPr>
            </w:pPr>
            <w:r>
              <w:rPr>
                <w:rFonts w:hint="eastAsia" w:ascii="仿宋_GB2312" w:eastAsia="仿宋_GB2312"/>
                <w:szCs w:val="21"/>
              </w:rPr>
              <w:t>M＜</w:t>
            </w:r>
            <w:r>
              <w:rPr>
                <w:rFonts w:hint="eastAsia" w:ascii="仿宋_GB2312" w:eastAsia="仿宋_GB2312"/>
                <w:szCs w:val="21"/>
                <w:lang w:val="en-US" w:eastAsia="zh-CN"/>
              </w:rPr>
              <w:t>5</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1FAFD828">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5</w:t>
            </w:r>
            <w:r>
              <w:rPr>
                <w:rFonts w:hint="eastAsia" w:ascii="仿宋_GB2312" w:eastAsia="仿宋_GB2312"/>
                <w:szCs w:val="21"/>
              </w:rPr>
              <w:t>%</w:t>
            </w:r>
          </w:p>
        </w:tc>
        <w:tc>
          <w:tcPr>
            <w:tcW w:w="1989" w:type="dxa"/>
            <w:vAlign w:val="center"/>
          </w:tcPr>
          <w:p w14:paraId="461A4A93">
            <w:pPr>
              <w:widowControl/>
              <w:jc w:val="left"/>
              <w:rPr>
                <w:rFonts w:ascii="仿宋_GB2312" w:hAnsi="宋体" w:eastAsia="仿宋_GB2312" w:cs="宋体"/>
                <w:kern w:val="0"/>
                <w:szCs w:val="21"/>
              </w:rPr>
            </w:pPr>
          </w:p>
        </w:tc>
      </w:tr>
      <w:tr w14:paraId="6CC8495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4226722F">
            <w:pPr>
              <w:widowControl/>
              <w:jc w:val="left"/>
              <w:rPr>
                <w:rFonts w:ascii="仿宋_GB2312" w:hAnsi="宋体" w:eastAsia="仿宋_GB2312" w:cs="宋体"/>
                <w:kern w:val="0"/>
                <w:szCs w:val="21"/>
              </w:rPr>
            </w:pPr>
          </w:p>
        </w:tc>
        <w:tc>
          <w:tcPr>
            <w:tcW w:w="2818" w:type="dxa"/>
            <w:vAlign w:val="top"/>
          </w:tcPr>
          <w:p w14:paraId="427509FB">
            <w:pPr>
              <w:rPr>
                <w:rFonts w:ascii="仿宋_GB2312" w:eastAsia="仿宋_GB2312"/>
                <w:szCs w:val="21"/>
              </w:rPr>
            </w:pPr>
            <w:r>
              <w:rPr>
                <w:rFonts w:hint="eastAsia" w:ascii="仿宋_GB2312" w:eastAsia="仿宋_GB2312"/>
                <w:szCs w:val="21"/>
                <w:lang w:val="en-US" w:eastAsia="zh-CN"/>
              </w:rPr>
              <w:t>5</w:t>
            </w:r>
            <w:r>
              <w:rPr>
                <w:rFonts w:hint="eastAsia" w:ascii="仿宋_GB2312" w:eastAsia="仿宋_GB2312"/>
                <w:szCs w:val="21"/>
              </w:rPr>
              <w:t>00万元≤M＜</w:t>
            </w:r>
            <w:r>
              <w:rPr>
                <w:rFonts w:hint="eastAsia" w:ascii="仿宋_GB2312" w:eastAsia="仿宋_GB2312"/>
                <w:szCs w:val="21"/>
                <w:lang w:val="en-US" w:eastAsia="zh-CN"/>
              </w:rPr>
              <w:t>10</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230329CA">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3</w:t>
            </w:r>
            <w:r>
              <w:rPr>
                <w:rFonts w:hint="eastAsia" w:ascii="仿宋_GB2312" w:eastAsia="仿宋_GB2312"/>
                <w:szCs w:val="21"/>
              </w:rPr>
              <w:t>%</w:t>
            </w:r>
          </w:p>
        </w:tc>
        <w:tc>
          <w:tcPr>
            <w:tcW w:w="1989" w:type="dxa"/>
            <w:vAlign w:val="center"/>
          </w:tcPr>
          <w:p w14:paraId="35785D69">
            <w:pPr>
              <w:widowControl/>
              <w:jc w:val="left"/>
              <w:rPr>
                <w:rFonts w:ascii="仿宋_GB2312" w:hAnsi="宋体" w:eastAsia="仿宋_GB2312" w:cs="宋体"/>
                <w:kern w:val="0"/>
                <w:szCs w:val="21"/>
              </w:rPr>
            </w:pPr>
          </w:p>
        </w:tc>
      </w:tr>
      <w:tr w14:paraId="2A95F80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72FDA0CE">
            <w:pPr>
              <w:widowControl/>
              <w:jc w:val="left"/>
              <w:rPr>
                <w:rFonts w:ascii="仿宋_GB2312" w:hAnsi="宋体" w:eastAsia="仿宋_GB2312" w:cs="宋体"/>
                <w:kern w:val="0"/>
                <w:szCs w:val="21"/>
              </w:rPr>
            </w:pPr>
          </w:p>
        </w:tc>
        <w:tc>
          <w:tcPr>
            <w:tcW w:w="2818" w:type="dxa"/>
            <w:vAlign w:val="top"/>
          </w:tcPr>
          <w:p w14:paraId="76CF242F">
            <w:pPr>
              <w:rPr>
                <w:rFonts w:ascii="仿宋_GB2312" w:eastAsia="仿宋_GB2312"/>
                <w:szCs w:val="21"/>
              </w:rPr>
            </w:pPr>
            <w:r>
              <w:rPr>
                <w:rFonts w:hint="eastAsia" w:ascii="仿宋_GB2312" w:eastAsia="仿宋_GB2312"/>
                <w:szCs w:val="21"/>
                <w:lang w:val="en-US" w:eastAsia="zh-CN"/>
              </w:rPr>
              <w:t>10</w:t>
            </w:r>
            <w:r>
              <w:rPr>
                <w:rFonts w:hint="eastAsia" w:ascii="仿宋_GB2312" w:eastAsia="仿宋_GB2312"/>
                <w:szCs w:val="21"/>
              </w:rPr>
              <w:t>00万元≤M</w:t>
            </w:r>
          </w:p>
        </w:tc>
        <w:tc>
          <w:tcPr>
            <w:tcW w:w="1754" w:type="dxa"/>
            <w:vAlign w:val="center"/>
          </w:tcPr>
          <w:p w14:paraId="40358B5E">
            <w:pPr>
              <w:rPr>
                <w:rFonts w:ascii="仿宋_GB2312" w:eastAsia="仿宋_GB2312"/>
                <w:szCs w:val="21"/>
              </w:rPr>
            </w:pPr>
            <w:r>
              <w:rPr>
                <w:rFonts w:hint="eastAsia" w:ascii="仿宋_GB2312" w:eastAsia="仿宋_GB2312"/>
                <w:szCs w:val="21"/>
              </w:rPr>
              <w:t>1,000元每笔</w:t>
            </w:r>
          </w:p>
        </w:tc>
        <w:tc>
          <w:tcPr>
            <w:tcW w:w="1989" w:type="dxa"/>
            <w:vAlign w:val="center"/>
          </w:tcPr>
          <w:p w14:paraId="4A718397">
            <w:pPr>
              <w:widowControl/>
              <w:jc w:val="left"/>
              <w:rPr>
                <w:rFonts w:ascii="仿宋_GB2312" w:hAnsi="宋体" w:eastAsia="仿宋_GB2312" w:cs="宋体"/>
                <w:kern w:val="0"/>
                <w:szCs w:val="21"/>
              </w:rPr>
            </w:pPr>
          </w:p>
        </w:tc>
      </w:tr>
      <w:tr w14:paraId="1C192D1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restart"/>
            <w:vAlign w:val="center"/>
          </w:tcPr>
          <w:p w14:paraId="04B3317F">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818" w:type="dxa"/>
            <w:vAlign w:val="top"/>
          </w:tcPr>
          <w:p w14:paraId="092126B4">
            <w:pPr>
              <w:rPr>
                <w:rFonts w:ascii="仿宋_GB2312" w:eastAsia="仿宋_GB2312"/>
                <w:szCs w:val="21"/>
              </w:rPr>
            </w:pPr>
            <w:r>
              <w:rPr>
                <w:rFonts w:hint="eastAsia" w:ascii="仿宋_GB2312" w:eastAsia="仿宋_GB2312"/>
                <w:szCs w:val="21"/>
              </w:rPr>
              <w:t>M＜</w:t>
            </w:r>
            <w:r>
              <w:rPr>
                <w:rFonts w:hint="eastAsia" w:ascii="仿宋_GB2312" w:eastAsia="仿宋_GB2312"/>
                <w:szCs w:val="21"/>
                <w:lang w:val="en-US" w:eastAsia="zh-CN"/>
              </w:rPr>
              <w:t>5</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35530442">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5</w:t>
            </w:r>
            <w:r>
              <w:rPr>
                <w:rFonts w:hint="eastAsia" w:ascii="仿宋_GB2312" w:eastAsia="仿宋_GB2312"/>
                <w:szCs w:val="21"/>
              </w:rPr>
              <w:t>%</w:t>
            </w:r>
          </w:p>
        </w:tc>
        <w:tc>
          <w:tcPr>
            <w:tcW w:w="1989" w:type="dxa"/>
            <w:vAlign w:val="center"/>
          </w:tcPr>
          <w:p w14:paraId="303B841C">
            <w:pPr>
              <w:widowControl/>
              <w:jc w:val="left"/>
              <w:rPr>
                <w:rFonts w:ascii="仿宋_GB2312" w:hAnsi="宋体" w:eastAsia="仿宋_GB2312" w:cs="宋体"/>
                <w:kern w:val="0"/>
                <w:szCs w:val="21"/>
              </w:rPr>
            </w:pPr>
          </w:p>
        </w:tc>
      </w:tr>
      <w:tr w14:paraId="0A126F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0C87D0DE">
            <w:pPr>
              <w:widowControl/>
              <w:jc w:val="left"/>
              <w:rPr>
                <w:rFonts w:ascii="仿宋_GB2312" w:hAnsi="宋体" w:eastAsia="仿宋_GB2312" w:cs="宋体"/>
                <w:kern w:val="0"/>
                <w:szCs w:val="21"/>
              </w:rPr>
            </w:pPr>
          </w:p>
        </w:tc>
        <w:tc>
          <w:tcPr>
            <w:tcW w:w="2818" w:type="dxa"/>
            <w:vAlign w:val="top"/>
          </w:tcPr>
          <w:p w14:paraId="31FCA3E0">
            <w:pPr>
              <w:rPr>
                <w:rFonts w:ascii="仿宋_GB2312" w:eastAsia="仿宋_GB2312"/>
                <w:szCs w:val="21"/>
              </w:rPr>
            </w:pPr>
            <w:r>
              <w:rPr>
                <w:rFonts w:hint="eastAsia" w:ascii="仿宋_GB2312" w:eastAsia="仿宋_GB2312"/>
                <w:szCs w:val="21"/>
                <w:lang w:val="en-US" w:eastAsia="zh-CN"/>
              </w:rPr>
              <w:t>5</w:t>
            </w:r>
            <w:r>
              <w:rPr>
                <w:rFonts w:hint="eastAsia" w:ascii="仿宋_GB2312" w:eastAsia="仿宋_GB2312"/>
                <w:szCs w:val="21"/>
              </w:rPr>
              <w:t>00万元≤M＜</w:t>
            </w:r>
            <w:r>
              <w:rPr>
                <w:rFonts w:hint="eastAsia" w:ascii="仿宋_GB2312" w:eastAsia="仿宋_GB2312"/>
                <w:szCs w:val="21"/>
                <w:lang w:val="en-US" w:eastAsia="zh-CN"/>
              </w:rPr>
              <w:t>10</w:t>
            </w:r>
            <w:r>
              <w:rPr>
                <w:rFonts w:hint="eastAsia" w:ascii="仿宋_GB2312" w:eastAsia="仿宋_GB2312"/>
                <w:szCs w:val="21"/>
              </w:rPr>
              <w:t>0</w:t>
            </w:r>
            <w:r>
              <w:rPr>
                <w:rFonts w:ascii="仿宋_GB2312" w:eastAsia="仿宋_GB2312"/>
                <w:szCs w:val="21"/>
              </w:rPr>
              <w:t>0</w:t>
            </w:r>
            <w:r>
              <w:rPr>
                <w:rFonts w:hint="eastAsia" w:ascii="仿宋_GB2312" w:eastAsia="仿宋_GB2312"/>
                <w:szCs w:val="21"/>
              </w:rPr>
              <w:t>万元</w:t>
            </w:r>
          </w:p>
        </w:tc>
        <w:tc>
          <w:tcPr>
            <w:tcW w:w="1754" w:type="dxa"/>
            <w:vAlign w:val="center"/>
          </w:tcPr>
          <w:p w14:paraId="16B13BA8">
            <w:pPr>
              <w:rPr>
                <w:rFonts w:ascii="仿宋_GB2312" w:eastAsia="仿宋_GB2312"/>
                <w:szCs w:val="21"/>
              </w:rPr>
            </w:pPr>
            <w:r>
              <w:rPr>
                <w:rFonts w:ascii="仿宋_GB2312" w:eastAsia="仿宋_GB2312"/>
                <w:szCs w:val="21"/>
              </w:rPr>
              <w:t>0.</w:t>
            </w:r>
            <w:r>
              <w:rPr>
                <w:rFonts w:hint="eastAsia" w:ascii="仿宋_GB2312" w:eastAsia="仿宋_GB2312"/>
                <w:szCs w:val="21"/>
                <w:lang w:val="en-US" w:eastAsia="zh-CN"/>
              </w:rPr>
              <w:t>3</w:t>
            </w:r>
            <w:r>
              <w:rPr>
                <w:rFonts w:hint="eastAsia" w:ascii="仿宋_GB2312" w:eastAsia="仿宋_GB2312"/>
                <w:szCs w:val="21"/>
              </w:rPr>
              <w:t>%</w:t>
            </w:r>
          </w:p>
        </w:tc>
        <w:tc>
          <w:tcPr>
            <w:tcW w:w="1989" w:type="dxa"/>
            <w:vAlign w:val="center"/>
          </w:tcPr>
          <w:p w14:paraId="338BFA8B">
            <w:pPr>
              <w:widowControl/>
              <w:jc w:val="left"/>
              <w:rPr>
                <w:rFonts w:ascii="仿宋_GB2312" w:hAnsi="宋体" w:eastAsia="仿宋_GB2312" w:cs="宋体"/>
                <w:kern w:val="0"/>
                <w:szCs w:val="21"/>
              </w:rPr>
            </w:pPr>
          </w:p>
        </w:tc>
      </w:tr>
      <w:tr w14:paraId="62968E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7" w:type="dxa"/>
            <w:vMerge w:val="continue"/>
            <w:vAlign w:val="center"/>
          </w:tcPr>
          <w:p w14:paraId="042C9495">
            <w:pPr>
              <w:widowControl/>
              <w:jc w:val="left"/>
              <w:rPr>
                <w:rFonts w:ascii="仿宋_GB2312" w:hAnsi="宋体" w:eastAsia="仿宋_GB2312" w:cs="宋体"/>
                <w:kern w:val="0"/>
                <w:szCs w:val="21"/>
              </w:rPr>
            </w:pPr>
          </w:p>
        </w:tc>
        <w:tc>
          <w:tcPr>
            <w:tcW w:w="2818" w:type="dxa"/>
            <w:vAlign w:val="top"/>
          </w:tcPr>
          <w:p w14:paraId="7AB9A59E">
            <w:pPr>
              <w:rPr>
                <w:rFonts w:ascii="仿宋_GB2312" w:eastAsia="仿宋_GB2312"/>
                <w:szCs w:val="21"/>
              </w:rPr>
            </w:pPr>
            <w:r>
              <w:rPr>
                <w:rFonts w:hint="eastAsia" w:ascii="仿宋_GB2312" w:eastAsia="仿宋_GB2312"/>
                <w:szCs w:val="21"/>
                <w:lang w:val="en-US" w:eastAsia="zh-CN"/>
              </w:rPr>
              <w:t>10</w:t>
            </w:r>
            <w:r>
              <w:rPr>
                <w:rFonts w:hint="eastAsia" w:ascii="仿宋_GB2312" w:eastAsia="仿宋_GB2312"/>
                <w:szCs w:val="21"/>
              </w:rPr>
              <w:t>00万元≤M</w:t>
            </w:r>
          </w:p>
        </w:tc>
        <w:tc>
          <w:tcPr>
            <w:tcW w:w="1754" w:type="dxa"/>
            <w:vAlign w:val="center"/>
          </w:tcPr>
          <w:p w14:paraId="5FFA4815">
            <w:pPr>
              <w:rPr>
                <w:rFonts w:ascii="仿宋_GB2312" w:eastAsia="仿宋_GB2312"/>
                <w:szCs w:val="21"/>
              </w:rPr>
            </w:pPr>
            <w:r>
              <w:rPr>
                <w:rFonts w:hint="eastAsia" w:ascii="仿宋_GB2312" w:eastAsia="仿宋_GB2312"/>
                <w:szCs w:val="21"/>
              </w:rPr>
              <w:t>1,000元每笔</w:t>
            </w:r>
          </w:p>
        </w:tc>
        <w:tc>
          <w:tcPr>
            <w:tcW w:w="1989" w:type="dxa"/>
            <w:vAlign w:val="center"/>
          </w:tcPr>
          <w:p w14:paraId="27FE2951">
            <w:pPr>
              <w:widowControl/>
              <w:jc w:val="left"/>
              <w:rPr>
                <w:rFonts w:ascii="仿宋_GB2312" w:hAnsi="宋体" w:eastAsia="仿宋_GB2312" w:cs="宋体"/>
                <w:kern w:val="0"/>
                <w:szCs w:val="21"/>
              </w:rPr>
            </w:pPr>
          </w:p>
        </w:tc>
      </w:tr>
    </w:tbl>
    <w:p w14:paraId="2BED3F74">
      <w:pPr>
        <w:rPr>
          <w:rFonts w:ascii="仿宋_GB2312" w:eastAsia="仿宋_GB2312"/>
          <w:szCs w:val="21"/>
        </w:rPr>
      </w:pPr>
      <w:r>
        <w:rPr>
          <w:rFonts w:hint="eastAsia" w:ascii="仿宋_GB2312" w:eastAsia="仿宋_GB2312"/>
          <w:szCs w:val="21"/>
        </w:rPr>
        <w:t>注：1、通过直销机构认购/申购的基金份额，不收取认购/申购费用。</w:t>
      </w:r>
      <w:r>
        <w:rPr>
          <w:rFonts w:hint="eastAsia" w:ascii="仿宋_GB2312" w:eastAsia="仿宋_GB2312"/>
          <w:szCs w:val="21"/>
          <w:lang w:val="en-US" w:eastAsia="zh-CN"/>
        </w:rPr>
        <w:t>2、</w:t>
      </w:r>
      <w:r>
        <w:rPr>
          <w:rFonts w:hint="eastAsia" w:ascii="仿宋_GB2312" w:eastAsia="仿宋_GB2312"/>
          <w:szCs w:val="21"/>
        </w:rPr>
        <w:t>基金份额持有人持有的每份基金份额最短持有期限为六个月，最短持有期限届满后，本基金不收取赎回费。</w:t>
      </w:r>
      <w:r>
        <w:rPr>
          <w:rFonts w:hint="eastAsia" w:ascii="仿宋_GB2312" w:eastAsia="仿宋_GB2312"/>
          <w:szCs w:val="21"/>
          <w:lang w:val="en-US" w:eastAsia="zh-CN"/>
        </w:rPr>
        <w:t>3</w:t>
      </w:r>
      <w:r>
        <w:rPr>
          <w:rFonts w:hint="eastAsia" w:ascii="仿宋_GB2312" w:eastAsia="仿宋_GB2312"/>
          <w:szCs w:val="21"/>
          <w:lang w:eastAsia="zh-CN"/>
        </w:rPr>
        <w:t>、</w:t>
      </w:r>
      <w:r>
        <w:rPr>
          <w:rFonts w:hint="eastAsia" w:ascii="仿宋_GB2312" w:eastAsia="仿宋_GB2312"/>
          <w:szCs w:val="21"/>
        </w:rPr>
        <w:t>销售机构若有其他费率优惠请见基金管理人或其他销售机构的有关公告或通知。</w:t>
      </w:r>
    </w:p>
    <w:p w14:paraId="175E83FE">
      <w:pPr>
        <w:jc w:val="left"/>
        <w:rPr>
          <w:rFonts w:ascii="仿宋_GB2312" w:eastAsia="仿宋_GB2312"/>
          <w:b/>
          <w:szCs w:val="21"/>
        </w:rPr>
      </w:pPr>
      <w:r>
        <w:rPr>
          <w:rFonts w:hint="eastAsia" w:ascii="仿宋_GB2312" w:eastAsia="仿宋_GB2312"/>
          <w:b/>
          <w:szCs w:val="21"/>
        </w:rPr>
        <w:t>（二）基金运作相关费用</w:t>
      </w:r>
    </w:p>
    <w:p w14:paraId="5ACF3452">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17"/>
        <w:tblW w:w="9403"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400"/>
        <w:gridCol w:w="3935"/>
        <w:gridCol w:w="3068"/>
      </w:tblGrid>
      <w:tr w14:paraId="3BCD8BE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57D0A2A9">
            <w:pPr>
              <w:rPr>
                <w:rFonts w:ascii="仿宋_GB2312" w:eastAsia="仿宋_GB2312"/>
                <w:b/>
                <w:kern w:val="0"/>
                <w:szCs w:val="21"/>
              </w:rPr>
            </w:pPr>
            <w:r>
              <w:rPr>
                <w:rFonts w:hint="eastAsia" w:ascii="仿宋_GB2312" w:eastAsia="仿宋_GB2312"/>
                <w:b/>
                <w:kern w:val="0"/>
                <w:sz w:val="20"/>
                <w:szCs w:val="21"/>
              </w:rPr>
              <w:t>费用类别</w:t>
            </w:r>
          </w:p>
        </w:tc>
        <w:tc>
          <w:tcPr>
            <w:tcW w:w="3935" w:type="dxa"/>
            <w:vAlign w:val="center"/>
          </w:tcPr>
          <w:p w14:paraId="3604B5A2">
            <w:pPr>
              <w:rPr>
                <w:rFonts w:ascii="仿宋_GB2312" w:eastAsia="仿宋_GB2312"/>
                <w:b/>
                <w:kern w:val="0"/>
                <w:szCs w:val="21"/>
              </w:rPr>
            </w:pPr>
            <w:r>
              <w:rPr>
                <w:rFonts w:hint="eastAsia" w:ascii="仿宋_GB2312" w:hAnsi="宋体" w:eastAsia="仿宋_GB2312" w:cs="宋体"/>
                <w:b/>
                <w:kern w:val="0"/>
                <w:sz w:val="20"/>
                <w:szCs w:val="21"/>
              </w:rPr>
              <w:t>收费方式</w:t>
            </w:r>
            <w:r>
              <w:rPr>
                <w:rFonts w:ascii="仿宋_GB2312" w:eastAsia="仿宋_GB2312" w:cs="FZFSJW--GB1-0"/>
                <w:b/>
                <w:kern w:val="0"/>
                <w:sz w:val="20"/>
                <w:szCs w:val="21"/>
              </w:rPr>
              <w:t>/</w:t>
            </w:r>
            <w:r>
              <w:rPr>
                <w:rFonts w:hint="eastAsia" w:ascii="仿宋_GB2312" w:hAnsi="宋体" w:eastAsia="仿宋_GB2312" w:cs="宋体"/>
                <w:b/>
                <w:kern w:val="0"/>
                <w:sz w:val="20"/>
                <w:szCs w:val="21"/>
              </w:rPr>
              <w:t>年费率或金额</w:t>
            </w:r>
          </w:p>
        </w:tc>
        <w:tc>
          <w:tcPr>
            <w:tcW w:w="3068" w:type="dxa"/>
            <w:vAlign w:val="center"/>
          </w:tcPr>
          <w:p w14:paraId="2170D191">
            <w:pPr>
              <w:rPr>
                <w:rFonts w:ascii="仿宋_GB2312" w:hAnsi="宋体" w:eastAsia="仿宋_GB2312" w:cs="宋体"/>
                <w:b/>
                <w:kern w:val="0"/>
                <w:szCs w:val="21"/>
              </w:rPr>
            </w:pPr>
            <w:r>
              <w:rPr>
                <w:rFonts w:hint="eastAsia" w:ascii="仿宋_GB2312" w:hAnsi="宋体" w:eastAsia="仿宋_GB2312" w:cs="宋体"/>
                <w:b/>
                <w:kern w:val="0"/>
                <w:sz w:val="20"/>
                <w:szCs w:val="21"/>
              </w:rPr>
              <w:t>收取方</w:t>
            </w:r>
          </w:p>
        </w:tc>
      </w:tr>
      <w:tr w14:paraId="51EE580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6C29E43E">
            <w:pPr>
              <w:rPr>
                <w:rFonts w:ascii="仿宋_GB2312" w:eastAsia="仿宋_GB2312"/>
                <w:kern w:val="0"/>
                <w:szCs w:val="21"/>
              </w:rPr>
            </w:pPr>
            <w:r>
              <w:rPr>
                <w:rFonts w:hint="eastAsia" w:ascii="仿宋_GB2312" w:eastAsia="仿宋_GB2312"/>
                <w:kern w:val="0"/>
                <w:sz w:val="20"/>
                <w:szCs w:val="21"/>
              </w:rPr>
              <w:t>管理费</w:t>
            </w:r>
          </w:p>
        </w:tc>
        <w:tc>
          <w:tcPr>
            <w:tcW w:w="3935" w:type="dxa"/>
            <w:vAlign w:val="center"/>
          </w:tcPr>
          <w:p w14:paraId="5C95CC12">
            <w:pPr>
              <w:rPr>
                <w:rFonts w:ascii="仿宋_GB2312" w:eastAsia="仿宋_GB2312"/>
                <w:kern w:val="0"/>
                <w:szCs w:val="21"/>
              </w:rPr>
            </w:pPr>
            <w:r>
              <w:rPr>
                <w:rFonts w:ascii="仿宋_GB2312" w:eastAsia="仿宋_GB2312"/>
                <w:kern w:val="0"/>
                <w:sz w:val="20"/>
                <w:szCs w:val="21"/>
              </w:rPr>
              <w:t>0.6%</w:t>
            </w:r>
          </w:p>
        </w:tc>
        <w:tc>
          <w:tcPr>
            <w:tcW w:w="3068" w:type="dxa"/>
            <w:vAlign w:val="center"/>
          </w:tcPr>
          <w:p w14:paraId="4BB75DB1">
            <w:pPr>
              <w:rPr>
                <w:rFonts w:ascii="仿宋_GB2312" w:eastAsia="仿宋_GB2312"/>
                <w:kern w:val="0"/>
                <w:szCs w:val="21"/>
              </w:rPr>
            </w:pPr>
            <w:r>
              <w:rPr>
                <w:rFonts w:hint="eastAsia" w:ascii="仿宋_GB2312" w:eastAsia="仿宋_GB2312"/>
                <w:kern w:val="0"/>
                <w:sz w:val="20"/>
                <w:szCs w:val="21"/>
              </w:rPr>
              <w:t>基金管理人和销售机构</w:t>
            </w:r>
          </w:p>
        </w:tc>
      </w:tr>
      <w:tr w14:paraId="7E5B42C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1F00DABD">
            <w:pPr>
              <w:rPr>
                <w:rFonts w:ascii="仿宋_GB2312" w:eastAsia="仿宋_GB2312"/>
                <w:kern w:val="0"/>
                <w:szCs w:val="21"/>
              </w:rPr>
            </w:pPr>
            <w:r>
              <w:rPr>
                <w:rFonts w:hint="eastAsia" w:ascii="仿宋_GB2312" w:eastAsia="仿宋_GB2312"/>
                <w:kern w:val="0"/>
                <w:sz w:val="20"/>
                <w:szCs w:val="21"/>
              </w:rPr>
              <w:t>托管费</w:t>
            </w:r>
          </w:p>
        </w:tc>
        <w:tc>
          <w:tcPr>
            <w:tcW w:w="3935" w:type="dxa"/>
            <w:vAlign w:val="center"/>
          </w:tcPr>
          <w:p w14:paraId="1BC889F2">
            <w:pPr>
              <w:rPr>
                <w:rFonts w:ascii="仿宋_GB2312" w:eastAsia="仿宋_GB2312"/>
                <w:kern w:val="0"/>
                <w:szCs w:val="21"/>
              </w:rPr>
            </w:pPr>
            <w:r>
              <w:rPr>
                <w:rFonts w:ascii="仿宋_GB2312" w:eastAsia="仿宋_GB2312"/>
                <w:kern w:val="0"/>
                <w:sz w:val="20"/>
                <w:szCs w:val="21"/>
              </w:rPr>
              <w:t>0.1</w:t>
            </w:r>
            <w:r>
              <w:rPr>
                <w:rFonts w:hint="eastAsia" w:ascii="仿宋_GB2312" w:eastAsia="仿宋_GB2312"/>
                <w:kern w:val="0"/>
                <w:sz w:val="20"/>
                <w:szCs w:val="21"/>
                <w:lang w:val="en-US" w:eastAsia="zh-CN"/>
              </w:rPr>
              <w:t>5</w:t>
            </w:r>
            <w:r>
              <w:rPr>
                <w:rFonts w:ascii="仿宋_GB2312" w:eastAsia="仿宋_GB2312"/>
                <w:kern w:val="0"/>
                <w:sz w:val="20"/>
                <w:szCs w:val="21"/>
              </w:rPr>
              <w:t>%</w:t>
            </w:r>
          </w:p>
        </w:tc>
        <w:tc>
          <w:tcPr>
            <w:tcW w:w="3068" w:type="dxa"/>
            <w:vAlign w:val="center"/>
          </w:tcPr>
          <w:p w14:paraId="52FE5180">
            <w:pPr>
              <w:rPr>
                <w:rFonts w:ascii="仿宋_GB2312" w:eastAsia="仿宋_GB2312"/>
                <w:kern w:val="0"/>
                <w:szCs w:val="21"/>
              </w:rPr>
            </w:pPr>
            <w:r>
              <w:rPr>
                <w:rFonts w:hint="eastAsia" w:ascii="仿宋_GB2312" w:eastAsia="仿宋_GB2312"/>
                <w:kern w:val="0"/>
                <w:sz w:val="20"/>
                <w:szCs w:val="21"/>
              </w:rPr>
              <w:t>基金托管人</w:t>
            </w:r>
          </w:p>
        </w:tc>
      </w:tr>
      <w:tr w14:paraId="6C3EA67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195D35BB">
            <w:pPr>
              <w:jc w:val="left"/>
              <w:rPr>
                <w:rFonts w:ascii="仿宋_GB2312" w:eastAsia="仿宋_GB2312"/>
                <w:kern w:val="0"/>
                <w:szCs w:val="21"/>
              </w:rPr>
            </w:pPr>
            <w:r>
              <w:rPr>
                <w:rFonts w:hint="eastAsia" w:ascii="仿宋_GB2312" w:eastAsia="仿宋_GB2312"/>
                <w:kern w:val="0"/>
                <w:sz w:val="20"/>
                <w:szCs w:val="21"/>
              </w:rPr>
              <w:t>销售服务费</w:t>
            </w:r>
          </w:p>
        </w:tc>
        <w:tc>
          <w:tcPr>
            <w:tcW w:w="3935" w:type="dxa"/>
            <w:vAlign w:val="center"/>
          </w:tcPr>
          <w:p w14:paraId="18A5447A">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338877BB">
            <w:pPr>
              <w:rPr>
                <w:rFonts w:ascii="仿宋_GB2312" w:eastAsia="仿宋_GB2312"/>
                <w:kern w:val="0"/>
                <w:szCs w:val="21"/>
              </w:rPr>
            </w:pPr>
            <w:r>
              <w:rPr>
                <w:rFonts w:hint="eastAsia" w:ascii="仿宋_GB2312" w:eastAsia="仿宋_GB2312"/>
                <w:kern w:val="0"/>
                <w:sz w:val="20"/>
                <w:szCs w:val="21"/>
              </w:rPr>
              <w:t>销售机构</w:t>
            </w:r>
          </w:p>
        </w:tc>
      </w:tr>
      <w:tr w14:paraId="695E2BA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35248CD1">
            <w:pPr>
              <w:jc w:val="left"/>
              <w:rPr>
                <w:rFonts w:ascii="仿宋_GB2312" w:eastAsia="仿宋_GB2312"/>
                <w:kern w:val="0"/>
                <w:szCs w:val="21"/>
              </w:rPr>
            </w:pPr>
            <w:r>
              <w:rPr>
                <w:rFonts w:hint="eastAsia" w:ascii="仿宋_GB2312" w:eastAsia="仿宋_GB2312"/>
                <w:kern w:val="0"/>
                <w:sz w:val="20"/>
                <w:szCs w:val="21"/>
              </w:rPr>
              <w:t>审计费用</w:t>
            </w:r>
          </w:p>
        </w:tc>
        <w:tc>
          <w:tcPr>
            <w:tcW w:w="3935" w:type="dxa"/>
            <w:vAlign w:val="center"/>
          </w:tcPr>
          <w:p w14:paraId="02347670">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442988B3">
            <w:pPr>
              <w:rPr>
                <w:rFonts w:ascii="仿宋_GB2312" w:eastAsia="仿宋_GB2312"/>
                <w:kern w:val="0"/>
                <w:szCs w:val="21"/>
              </w:rPr>
            </w:pPr>
            <w:r>
              <w:rPr>
                <w:rFonts w:hint="eastAsia" w:ascii="仿宋_GB2312" w:eastAsia="仿宋_GB2312"/>
                <w:kern w:val="0"/>
                <w:sz w:val="20"/>
                <w:szCs w:val="21"/>
              </w:rPr>
              <w:t>会计师事务所</w:t>
            </w:r>
          </w:p>
        </w:tc>
      </w:tr>
      <w:tr w14:paraId="169A1B1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43FF0804">
            <w:pPr>
              <w:jc w:val="left"/>
              <w:rPr>
                <w:rFonts w:ascii="仿宋_GB2312" w:eastAsia="仿宋_GB2312"/>
                <w:kern w:val="0"/>
                <w:szCs w:val="21"/>
              </w:rPr>
            </w:pPr>
            <w:r>
              <w:rPr>
                <w:rFonts w:hint="eastAsia" w:ascii="仿宋_GB2312" w:eastAsia="仿宋_GB2312"/>
                <w:kern w:val="0"/>
                <w:sz w:val="20"/>
                <w:szCs w:val="21"/>
              </w:rPr>
              <w:t>信息披露费</w:t>
            </w:r>
          </w:p>
        </w:tc>
        <w:tc>
          <w:tcPr>
            <w:tcW w:w="3935" w:type="dxa"/>
            <w:vAlign w:val="center"/>
          </w:tcPr>
          <w:p w14:paraId="5D96C5DB">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4BD9422F">
            <w:pPr>
              <w:rPr>
                <w:rFonts w:ascii="仿宋_GB2312" w:eastAsia="仿宋_GB2312"/>
                <w:kern w:val="0"/>
                <w:szCs w:val="21"/>
              </w:rPr>
            </w:pPr>
            <w:r>
              <w:rPr>
                <w:rFonts w:hint="eastAsia" w:ascii="仿宋_GB2312" w:eastAsia="仿宋_GB2312"/>
                <w:kern w:val="0"/>
                <w:sz w:val="20"/>
                <w:szCs w:val="21"/>
              </w:rPr>
              <w:t>规定披露报刊</w:t>
            </w:r>
          </w:p>
        </w:tc>
      </w:tr>
      <w:tr w14:paraId="68297FE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29ACF5D3">
            <w:pPr>
              <w:jc w:val="left"/>
              <w:rPr>
                <w:rFonts w:ascii="仿宋_GB2312" w:eastAsia="仿宋_GB2312"/>
                <w:kern w:val="0"/>
                <w:szCs w:val="21"/>
              </w:rPr>
            </w:pPr>
            <w:r>
              <w:rPr>
                <w:rFonts w:hint="eastAsia" w:ascii="仿宋_GB2312" w:eastAsia="仿宋_GB2312"/>
                <w:kern w:val="0"/>
                <w:sz w:val="20"/>
                <w:szCs w:val="21"/>
              </w:rPr>
              <w:t>指数许可使用费</w:t>
            </w:r>
          </w:p>
        </w:tc>
        <w:tc>
          <w:tcPr>
            <w:tcW w:w="3935" w:type="dxa"/>
            <w:vAlign w:val="center"/>
          </w:tcPr>
          <w:p w14:paraId="61D96867">
            <w:pPr>
              <w:rPr>
                <w:rFonts w:ascii="仿宋_GB2312" w:eastAsia="仿宋_GB2312"/>
                <w:kern w:val="0"/>
                <w:szCs w:val="21"/>
              </w:rPr>
            </w:pPr>
            <w:r>
              <w:rPr>
                <w:rFonts w:ascii="仿宋_GB2312" w:eastAsia="仿宋_GB2312"/>
                <w:kern w:val="0"/>
                <w:sz w:val="20"/>
                <w:szCs w:val="21"/>
              </w:rPr>
              <w:t>-</w:t>
            </w:r>
          </w:p>
        </w:tc>
        <w:tc>
          <w:tcPr>
            <w:tcW w:w="3068" w:type="dxa"/>
            <w:vAlign w:val="center"/>
          </w:tcPr>
          <w:p w14:paraId="2B8D47C8">
            <w:pPr>
              <w:rPr>
                <w:rFonts w:ascii="仿宋_GB2312" w:eastAsia="仿宋_GB2312"/>
                <w:kern w:val="0"/>
                <w:szCs w:val="21"/>
              </w:rPr>
            </w:pPr>
            <w:r>
              <w:rPr>
                <w:rFonts w:hint="eastAsia" w:ascii="仿宋_GB2312" w:eastAsia="仿宋_GB2312"/>
                <w:kern w:val="0"/>
                <w:sz w:val="20"/>
                <w:szCs w:val="21"/>
              </w:rPr>
              <w:t>指数编制公司</w:t>
            </w:r>
          </w:p>
        </w:tc>
      </w:tr>
      <w:tr w14:paraId="3C0257D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400" w:type="dxa"/>
          </w:tcPr>
          <w:p w14:paraId="774E63C7">
            <w:pPr>
              <w:rPr>
                <w:rFonts w:ascii="仿宋_GB2312" w:eastAsia="仿宋_GB2312"/>
                <w:kern w:val="0"/>
                <w:szCs w:val="21"/>
              </w:rPr>
            </w:pPr>
            <w:r>
              <w:rPr>
                <w:rFonts w:hint="eastAsia" w:ascii="仿宋_GB2312" w:eastAsia="仿宋_GB2312"/>
                <w:kern w:val="0"/>
                <w:sz w:val="20"/>
                <w:szCs w:val="21"/>
              </w:rPr>
              <w:t>其他费用</w:t>
            </w:r>
          </w:p>
        </w:tc>
        <w:tc>
          <w:tcPr>
            <w:tcW w:w="3935" w:type="dxa"/>
            <w:vAlign w:val="center"/>
          </w:tcPr>
          <w:p w14:paraId="09C2A820">
            <w:pPr>
              <w:rPr>
                <w:rFonts w:ascii="仿宋_GB2312" w:eastAsia="仿宋_GB2312"/>
                <w:kern w:val="0"/>
                <w:szCs w:val="21"/>
              </w:rPr>
            </w:pPr>
            <w:r>
              <w:rPr>
                <w:rFonts w:hint="eastAsia" w:ascii="仿宋_GB2312" w:eastAsia="仿宋_GB2312"/>
                <w:kern w:val="0"/>
                <w:sz w:val="20"/>
                <w:szCs w:val="21"/>
              </w:rPr>
              <w:t>详见本基金招募说明书“基金的费用与税收”部分</w:t>
            </w:r>
          </w:p>
        </w:tc>
        <w:tc>
          <w:tcPr>
            <w:tcW w:w="3068" w:type="dxa"/>
            <w:vAlign w:val="center"/>
          </w:tcPr>
          <w:p w14:paraId="15D0702B">
            <w:pPr>
              <w:rPr>
                <w:rFonts w:ascii="仿宋_GB2312" w:eastAsia="仿宋_GB2312"/>
                <w:kern w:val="0"/>
                <w:szCs w:val="21"/>
              </w:rPr>
            </w:pPr>
          </w:p>
        </w:tc>
      </w:tr>
    </w:tbl>
    <w:p w14:paraId="793F3293">
      <w:pPr>
        <w:jc w:val="left"/>
        <w:rPr>
          <w:rFonts w:ascii="仿宋_GB2312" w:eastAsia="仿宋_GB2312"/>
          <w:szCs w:val="21"/>
        </w:rPr>
      </w:pPr>
      <w:r>
        <w:rPr>
          <w:rFonts w:hint="eastAsia" w:ascii="仿宋_GB2312" w:eastAsia="仿宋_GB2312"/>
          <w:szCs w:val="21"/>
        </w:rPr>
        <w:t>注：1、本基金基金财产中持有的基金管理人自身管理的基金部分不收取管理费；持有的基金托管人自身托管的基金部分不收取托管费。2、本基金交易证券、基金等产生的费用和税负，按实际发生额从基金资产扣除。</w:t>
      </w:r>
    </w:p>
    <w:p w14:paraId="6E57AF13">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0F42FB5A">
      <w:pPr>
        <w:jc w:val="left"/>
        <w:rPr>
          <w:rFonts w:ascii="仿宋_GB2312" w:eastAsia="仿宋_GB2312"/>
          <w:b/>
          <w:szCs w:val="21"/>
        </w:rPr>
      </w:pPr>
      <w:r>
        <w:rPr>
          <w:rFonts w:hint="eastAsia" w:ascii="仿宋_GB2312" w:eastAsia="仿宋_GB2312"/>
          <w:b/>
          <w:szCs w:val="21"/>
        </w:rPr>
        <w:t>（一）风险揭示</w:t>
      </w:r>
    </w:p>
    <w:p w14:paraId="3217B744">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2189EA7A">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DD3B1C1">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69267CCB">
      <w:pPr>
        <w:ind w:firstLine="420"/>
        <w:rPr>
          <w:rFonts w:ascii="仿宋_GB2312" w:eastAsia="仿宋_GB2312"/>
          <w:szCs w:val="21"/>
        </w:rPr>
      </w:pPr>
      <w:r>
        <w:rPr>
          <w:rFonts w:hint="eastAsia" w:ascii="仿宋_GB2312" w:eastAsia="仿宋_GB2312"/>
          <w:szCs w:val="21"/>
        </w:rPr>
        <w:t>1、市场风险</w:t>
      </w:r>
    </w:p>
    <w:p w14:paraId="54DB830F">
      <w:pPr>
        <w:ind w:firstLine="420"/>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0205CE50">
      <w:pPr>
        <w:ind w:firstLine="420"/>
        <w:rPr>
          <w:rFonts w:ascii="仿宋_GB2312" w:eastAsia="仿宋_GB2312"/>
          <w:szCs w:val="21"/>
        </w:rPr>
      </w:pPr>
      <w:r>
        <w:rPr>
          <w:rFonts w:hint="eastAsia" w:ascii="仿宋_GB2312" w:eastAsia="仿宋_GB2312"/>
          <w:szCs w:val="21"/>
        </w:rPr>
        <w:t>2、管理风险</w:t>
      </w:r>
    </w:p>
    <w:p w14:paraId="558FCA28">
      <w:pPr>
        <w:ind w:firstLine="420"/>
        <w:rPr>
          <w:rFonts w:ascii="仿宋_GB2312" w:eastAsia="仿宋_GB2312"/>
          <w:szCs w:val="21"/>
        </w:rPr>
      </w:pPr>
      <w:r>
        <w:rPr>
          <w:rFonts w:hint="eastAsia" w:ascii="仿宋_GB2312" w:eastAsia="仿宋_GB2312"/>
          <w:szCs w:val="21"/>
        </w:rPr>
        <w:t>3、流动性风险</w:t>
      </w:r>
    </w:p>
    <w:p w14:paraId="7EF50027">
      <w:pPr>
        <w:ind w:firstLine="420"/>
        <w:rPr>
          <w:rFonts w:ascii="仿宋_GB2312" w:eastAsia="仿宋_GB2312"/>
          <w:szCs w:val="21"/>
        </w:rPr>
      </w:pPr>
      <w:r>
        <w:rPr>
          <w:rFonts w:hint="eastAsia" w:ascii="仿宋_GB2312" w:eastAsia="仿宋_GB2312"/>
          <w:szCs w:val="21"/>
        </w:rPr>
        <w:t>4、信用风险</w:t>
      </w:r>
    </w:p>
    <w:p w14:paraId="4F5EA742">
      <w:pPr>
        <w:ind w:firstLine="420"/>
        <w:rPr>
          <w:rFonts w:ascii="仿宋_GB2312" w:eastAsia="仿宋_GB2312"/>
          <w:szCs w:val="21"/>
        </w:rPr>
      </w:pPr>
      <w:r>
        <w:rPr>
          <w:rFonts w:hint="eastAsia" w:ascii="仿宋_GB2312" w:eastAsia="仿宋_GB2312"/>
          <w:szCs w:val="21"/>
        </w:rPr>
        <w:t>5、本基金的特有风险</w:t>
      </w:r>
    </w:p>
    <w:p w14:paraId="0CCC65E9">
      <w:pPr>
        <w:ind w:firstLine="420"/>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资产占基金资产的比例为5%-40%（其中，投资于港股通股票的比例占股票资产的0%-50%）；投资于QDII基金和香港互认基金的比例合计不超过基金资产的20%；投资于货币市场基金的比例不超过基金资产的15%。因此本基金所持有的基金的业绩表现、持有基金的基金管理人水平等因素将影响到本基金的基金业绩表现。</w:t>
      </w:r>
    </w:p>
    <w:p w14:paraId="5D802B1C">
      <w:pPr>
        <w:ind w:firstLine="420"/>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14:paraId="141FE685">
      <w:pPr>
        <w:ind w:firstLine="420"/>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14:paraId="1F934B54">
      <w:pPr>
        <w:ind w:firstLine="420"/>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14:paraId="51D92E56">
      <w:pPr>
        <w:ind w:firstLine="420"/>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14:paraId="419524B5">
      <w:pPr>
        <w:ind w:firstLine="420"/>
        <w:rPr>
          <w:rFonts w:ascii="仿宋_GB2312" w:eastAsia="仿宋_GB2312"/>
          <w:szCs w:val="21"/>
        </w:rPr>
      </w:pPr>
      <w:r>
        <w:rPr>
          <w:rFonts w:hint="eastAsia" w:ascii="仿宋_GB2312" w:eastAsia="仿宋_GB2312"/>
          <w:szCs w:val="21"/>
        </w:rPr>
        <w:t>（6）本基金的投资范围包括QDII基金，因此本基金可能间接面临海外市场风险、汇率风险、法律和政治风险、会计制度风险、税务风险等风险。并且，由于本基金可以投资于QDII基金，本基金的申购/赎回确认日、支付赎回款项日以及份额净值公告日等可能晚于一般基金。</w:t>
      </w:r>
    </w:p>
    <w:p w14:paraId="6576CB47">
      <w:pPr>
        <w:ind w:firstLine="420"/>
        <w:rPr>
          <w:rFonts w:ascii="仿宋_GB2312" w:eastAsia="仿宋_GB2312"/>
          <w:szCs w:val="21"/>
        </w:rPr>
      </w:pPr>
      <w:r>
        <w:rPr>
          <w:rFonts w:hint="eastAsia" w:ascii="仿宋_GB2312" w:eastAsia="仿宋_GB2312"/>
          <w:szCs w:val="21"/>
        </w:rPr>
        <w:t>（7）基金份额持有人持有的每份基金份额最短持有期限为</w:t>
      </w:r>
      <w:r>
        <w:rPr>
          <w:rFonts w:hint="eastAsia" w:ascii="仿宋_GB2312" w:eastAsia="仿宋_GB2312"/>
          <w:szCs w:val="21"/>
          <w:lang w:val="en-US" w:eastAsia="zh-CN"/>
        </w:rPr>
        <w:t>六</w:t>
      </w:r>
      <w:r>
        <w:rPr>
          <w:rFonts w:hint="eastAsia" w:ascii="仿宋_GB2312" w:eastAsia="仿宋_GB2312"/>
          <w:szCs w:val="21"/>
        </w:rPr>
        <w:t>个月，在最短持有期限内该份基金份额不可赎回，自最短持有期限届满的下一工作日起（含该日）可赎回。对于每笔认购的基金份额而言，最短持有期限自基金合同生效之日起（含该日）至</w:t>
      </w:r>
      <w:r>
        <w:rPr>
          <w:rFonts w:hint="eastAsia" w:ascii="仿宋_GB2312" w:eastAsia="仿宋_GB2312"/>
          <w:szCs w:val="21"/>
          <w:lang w:val="en-US" w:eastAsia="zh-CN"/>
        </w:rPr>
        <w:t>六</w:t>
      </w:r>
      <w:r>
        <w:rPr>
          <w:rFonts w:hint="eastAsia" w:ascii="仿宋_GB2312" w:eastAsia="仿宋_GB2312"/>
          <w:szCs w:val="21"/>
        </w:rPr>
        <w:t>个月后月度对日的前一日；对于每笔申购的基金份额而言，最短持有期限自该笔申购份额确认日（含该日）至</w:t>
      </w:r>
      <w:r>
        <w:rPr>
          <w:rFonts w:hint="eastAsia" w:ascii="仿宋_GB2312" w:eastAsia="仿宋_GB2312"/>
          <w:szCs w:val="21"/>
          <w:lang w:val="en-US" w:eastAsia="zh-CN"/>
        </w:rPr>
        <w:t>六</w:t>
      </w:r>
      <w:r>
        <w:rPr>
          <w:rFonts w:hint="eastAsia" w:ascii="仿宋_GB2312" w:eastAsia="仿宋_GB2312"/>
          <w:szCs w:val="21"/>
        </w:rPr>
        <w:t>个月后月度对日的前一日。因此，对于基金份额持有人而言，存在投资本基金后</w:t>
      </w:r>
      <w:r>
        <w:rPr>
          <w:rFonts w:hint="eastAsia" w:ascii="仿宋_GB2312" w:eastAsia="仿宋_GB2312"/>
          <w:szCs w:val="21"/>
          <w:lang w:val="en-US" w:eastAsia="zh-CN"/>
        </w:rPr>
        <w:t>六</w:t>
      </w:r>
      <w:r>
        <w:rPr>
          <w:rFonts w:hint="eastAsia" w:ascii="仿宋_GB2312" w:eastAsia="仿宋_GB2312"/>
          <w:szCs w:val="21"/>
        </w:rPr>
        <w:t>个月内无法赎回的风险。</w:t>
      </w:r>
    </w:p>
    <w:p w14:paraId="0999FB44">
      <w:pPr>
        <w:ind w:firstLine="420"/>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14:paraId="7298A9AD">
      <w:pPr>
        <w:ind w:firstLine="420"/>
        <w:rPr>
          <w:rFonts w:ascii="仿宋_GB2312" w:eastAsia="仿宋_GB2312"/>
          <w:szCs w:val="21"/>
        </w:rPr>
      </w:pPr>
      <w:r>
        <w:rPr>
          <w:rFonts w:hint="eastAsia" w:ascii="仿宋_GB2312" w:eastAsia="仿宋_GB2312"/>
          <w:szCs w:val="21"/>
        </w:rPr>
        <w:t>（9）</w:t>
      </w:r>
      <w:r>
        <w:rPr>
          <w:rFonts w:ascii="仿宋_GB2312" w:eastAsia="仿宋_GB2312"/>
          <w:szCs w:val="21"/>
        </w:rPr>
        <w:t>投资</w:t>
      </w:r>
      <w:r>
        <w:rPr>
          <w:rFonts w:hint="eastAsia" w:ascii="仿宋_GB2312" w:eastAsia="仿宋_GB2312"/>
          <w:szCs w:val="21"/>
        </w:rPr>
        <w:t>资产支持证券</w:t>
      </w:r>
      <w:r>
        <w:rPr>
          <w:rFonts w:ascii="仿宋_GB2312" w:eastAsia="仿宋_GB2312"/>
          <w:szCs w:val="21"/>
        </w:rPr>
        <w:t>的特定风险</w:t>
      </w:r>
    </w:p>
    <w:p w14:paraId="28AB4624">
      <w:pPr>
        <w:ind w:firstLine="420"/>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7A6954D2">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0</w:t>
      </w:r>
      <w:r>
        <w:rPr>
          <w:rFonts w:hint="eastAsia" w:ascii="仿宋_GB2312" w:eastAsia="仿宋_GB2312"/>
          <w:szCs w:val="21"/>
        </w:rPr>
        <w:t>）投资流通受限证券的特定风险</w:t>
      </w:r>
    </w:p>
    <w:p w14:paraId="79124AC8">
      <w:pPr>
        <w:ind w:firstLine="420"/>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5952EBC6">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1</w:t>
      </w:r>
      <w:r>
        <w:rPr>
          <w:rFonts w:hint="eastAsia" w:ascii="仿宋_GB2312" w:eastAsia="仿宋_GB2312"/>
          <w:szCs w:val="21"/>
        </w:rPr>
        <w:t>）通过内地与香港股票市场交易互联互通机制投资于香港证券市场股票和交易型开放式基金的风险</w:t>
      </w:r>
    </w:p>
    <w:p w14:paraId="6DADAAA4">
      <w:pPr>
        <w:ind w:firstLine="420"/>
        <w:rPr>
          <w:rFonts w:ascii="仿宋_GB2312" w:eastAsia="仿宋_GB2312"/>
          <w:szCs w:val="21"/>
        </w:rPr>
      </w:pPr>
      <w:r>
        <w:rPr>
          <w:rFonts w:hint="eastAsia" w:ascii="仿宋_GB2312" w:eastAsia="仿宋_GB2312"/>
          <w:szCs w:val="21"/>
        </w:rPr>
        <w:t>本基金的投资范围包括港股通股票、港股通</w:t>
      </w:r>
      <w:r>
        <w:rPr>
          <w:rFonts w:ascii="仿宋_GB2312" w:eastAsia="仿宋_GB2312"/>
          <w:szCs w:val="21"/>
        </w:rPr>
        <w:t>ETF</w:t>
      </w:r>
      <w:r>
        <w:rPr>
          <w:rFonts w:hint="eastAsia" w:ascii="仿宋_GB2312" w:eastAsia="仿宋_GB2312"/>
          <w:szCs w:val="21"/>
        </w:rPr>
        <w:t xml:space="preserve">，会面临港股通机制下因投资环境、投资标的、市场制度以及交易规则等差异带来的特有风险：1）投资于香港证券市场的特有风险 2）通过内地与香港股票市场交易互联互通机制投资的特有风险 </w:t>
      </w:r>
      <w:r>
        <w:rPr>
          <w:rFonts w:ascii="仿宋_GB2312" w:eastAsia="仿宋_GB2312"/>
          <w:szCs w:val="21"/>
        </w:rPr>
        <w:t>3</w:t>
      </w:r>
      <w:r>
        <w:rPr>
          <w:rFonts w:hint="eastAsia" w:ascii="仿宋_GB2312" w:eastAsia="仿宋_GB2312"/>
          <w:szCs w:val="21"/>
        </w:rPr>
        <w:t>）本基金可根据投资策略需要或不同配置地市场环境的变化，选择将部分基金资产投资于港股通股票及港股通</w:t>
      </w:r>
      <w:r>
        <w:rPr>
          <w:rFonts w:ascii="仿宋_GB2312" w:eastAsia="仿宋_GB2312"/>
          <w:szCs w:val="21"/>
        </w:rPr>
        <w:t>ETF</w:t>
      </w:r>
      <w:r>
        <w:rPr>
          <w:rFonts w:hint="eastAsia" w:ascii="仿宋_GB2312" w:eastAsia="仿宋_GB2312"/>
          <w:szCs w:val="21"/>
        </w:rPr>
        <w:t>或选择不将基金资产投资于港股通股票及港股通</w:t>
      </w:r>
      <w:r>
        <w:rPr>
          <w:rFonts w:ascii="仿宋_GB2312" w:eastAsia="仿宋_GB2312"/>
          <w:szCs w:val="21"/>
        </w:rPr>
        <w:t>ETF</w:t>
      </w:r>
      <w:r>
        <w:rPr>
          <w:rFonts w:hint="eastAsia" w:ascii="仿宋_GB2312" w:eastAsia="仿宋_GB2312"/>
          <w:szCs w:val="21"/>
        </w:rPr>
        <w:t>，基金资产并非必然投资港股通股票及港股通</w:t>
      </w:r>
      <w:r>
        <w:rPr>
          <w:rFonts w:ascii="仿宋_GB2312" w:eastAsia="仿宋_GB2312"/>
          <w:szCs w:val="21"/>
        </w:rPr>
        <w:t>ETF</w:t>
      </w:r>
      <w:r>
        <w:rPr>
          <w:rFonts w:hint="eastAsia" w:ascii="仿宋_GB2312" w:eastAsia="仿宋_GB2312"/>
          <w:szCs w:val="21"/>
        </w:rPr>
        <w:t>。</w:t>
      </w:r>
    </w:p>
    <w:p w14:paraId="72C0CCB6">
      <w:pPr>
        <w:ind w:firstLine="420"/>
        <w:rPr>
          <w:rFonts w:ascii="仿宋_GB2312" w:eastAsia="仿宋_GB2312"/>
          <w:szCs w:val="21"/>
        </w:rPr>
      </w:pPr>
      <w:r>
        <w:rPr>
          <w:rFonts w:ascii="仿宋_GB2312" w:eastAsia="仿宋_GB2312"/>
          <w:szCs w:val="21"/>
        </w:rPr>
        <w:t>（</w:t>
      </w:r>
      <w:r>
        <w:rPr>
          <w:rFonts w:hint="eastAsia" w:ascii="仿宋_GB2312" w:eastAsia="仿宋_GB2312"/>
          <w:szCs w:val="21"/>
        </w:rPr>
        <w:t>1</w:t>
      </w:r>
      <w:r>
        <w:rPr>
          <w:rFonts w:ascii="仿宋_GB2312" w:eastAsia="仿宋_GB2312"/>
          <w:szCs w:val="21"/>
        </w:rPr>
        <w:t>2）</w:t>
      </w:r>
      <w:r>
        <w:rPr>
          <w:rFonts w:hint="eastAsia" w:ascii="仿宋_GB2312" w:eastAsia="仿宋_GB2312"/>
          <w:szCs w:val="21"/>
        </w:rPr>
        <w:t>投资香港互认基金的特有风险</w:t>
      </w:r>
    </w:p>
    <w:p w14:paraId="523BFBE1">
      <w:pPr>
        <w:ind w:firstLine="420"/>
        <w:rPr>
          <w:rFonts w:ascii="仿宋_GB2312" w:eastAsia="仿宋_GB2312"/>
          <w:szCs w:val="21"/>
        </w:rPr>
      </w:pPr>
      <w:r>
        <w:rPr>
          <w:rFonts w:hint="eastAsia" w:ascii="仿宋_GB2312" w:eastAsia="仿宋_GB2312"/>
          <w:szCs w:val="21"/>
        </w:rPr>
        <w:t xml:space="preserve">香港互认基金是指依照香港法律在香港设立、运作和公开销售，并经中国证监会批准在内地公开销售的单位信托、互惠基金或者其他形式的集体投资计划，香港互认基金管理人委托内地符合条件的机构作为代理人办理基金在境内的相关业务。本基金可投资于香港互认基金，主要存在如下风险：1）香港互认基金境外投资风险 </w:t>
      </w:r>
      <w:r>
        <w:rPr>
          <w:rFonts w:ascii="仿宋_GB2312" w:eastAsia="仿宋_GB2312"/>
          <w:szCs w:val="21"/>
        </w:rPr>
        <w:t>2）</w:t>
      </w:r>
      <w:r>
        <w:rPr>
          <w:rFonts w:hint="eastAsia" w:ascii="仿宋_GB2312" w:eastAsia="仿宋_GB2312"/>
          <w:szCs w:val="21"/>
        </w:rPr>
        <w:t>香港基金互认机制相关风险。</w:t>
      </w:r>
    </w:p>
    <w:p w14:paraId="605E34CD">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3</w:t>
      </w:r>
      <w:r>
        <w:rPr>
          <w:rFonts w:hint="eastAsia" w:ascii="仿宋_GB2312" w:eastAsia="仿宋_GB2312"/>
          <w:szCs w:val="21"/>
        </w:rPr>
        <w:t>）投资公募REITs可能面临的风险</w:t>
      </w:r>
    </w:p>
    <w:p w14:paraId="7D66D2E2">
      <w:pPr>
        <w:ind w:firstLine="420"/>
        <w:rPr>
          <w:rFonts w:ascii="仿宋_GB2312" w:eastAsia="仿宋_GB2312"/>
          <w:szCs w:val="21"/>
        </w:rPr>
      </w:pPr>
      <w:r>
        <w:rPr>
          <w:rFonts w:hint="eastAsia" w:ascii="仿宋_GB2312" w:eastAsia="仿宋_GB2312"/>
          <w:szCs w:val="21"/>
        </w:rPr>
        <w:t>本基金根据投资策略需要或市场环境变化，可选择将部分基金资产投资于公募REITs，但本基金并非必然投资公募REITs</w:t>
      </w:r>
      <w:r>
        <w:rPr>
          <w:rFonts w:hint="eastAsia" w:ascii="仿宋_GB2312" w:eastAsia="仿宋_GB2312"/>
          <w:szCs w:val="21"/>
          <w:lang w:eastAsia="zh-CN"/>
        </w:rPr>
        <w:t>。</w:t>
      </w:r>
      <w:r>
        <w:rPr>
          <w:rFonts w:hint="eastAsia" w:ascii="仿宋_GB2312" w:eastAsia="仿宋_GB2312"/>
          <w:szCs w:val="21"/>
        </w:rPr>
        <w:t xml:space="preserve">投资公募REITs可能面临以下风险，包括但不限于：1）基金价格波动风险 </w:t>
      </w:r>
      <w:r>
        <w:rPr>
          <w:rFonts w:ascii="仿宋_GB2312" w:eastAsia="仿宋_GB2312"/>
          <w:szCs w:val="21"/>
        </w:rPr>
        <w:t>2</w:t>
      </w:r>
      <w:r>
        <w:rPr>
          <w:rFonts w:hint="eastAsia" w:ascii="仿宋_GB2312" w:eastAsia="仿宋_GB2312"/>
          <w:szCs w:val="21"/>
        </w:rPr>
        <w:t xml:space="preserve">）不动产项目运营风险 </w:t>
      </w:r>
      <w:r>
        <w:rPr>
          <w:rFonts w:ascii="仿宋_GB2312" w:eastAsia="仿宋_GB2312"/>
          <w:szCs w:val="21"/>
        </w:rPr>
        <w:t>3</w:t>
      </w:r>
      <w:r>
        <w:rPr>
          <w:rFonts w:hint="eastAsia" w:ascii="仿宋_GB2312" w:eastAsia="仿宋_GB2312"/>
          <w:szCs w:val="21"/>
        </w:rPr>
        <w:t xml:space="preserve">）基金份额交易价格折溢价风险 </w:t>
      </w:r>
      <w:r>
        <w:rPr>
          <w:rFonts w:ascii="仿宋_GB2312" w:eastAsia="仿宋_GB2312"/>
          <w:szCs w:val="21"/>
        </w:rPr>
        <w:t>4</w:t>
      </w:r>
      <w:r>
        <w:rPr>
          <w:rFonts w:hint="eastAsia" w:ascii="仿宋_GB2312" w:eastAsia="仿宋_GB2312"/>
          <w:szCs w:val="21"/>
        </w:rPr>
        <w:t xml:space="preserve">）流动性风险 </w:t>
      </w:r>
      <w:r>
        <w:rPr>
          <w:rFonts w:ascii="仿宋_GB2312" w:eastAsia="仿宋_GB2312"/>
          <w:szCs w:val="21"/>
        </w:rPr>
        <w:t>5</w:t>
      </w:r>
      <w:r>
        <w:rPr>
          <w:rFonts w:hint="eastAsia" w:ascii="仿宋_GB2312" w:eastAsia="仿宋_GB2312"/>
          <w:szCs w:val="21"/>
        </w:rPr>
        <w:t xml:space="preserve">）终止上市风险 </w:t>
      </w:r>
      <w:r>
        <w:rPr>
          <w:rFonts w:ascii="仿宋_GB2312" w:eastAsia="仿宋_GB2312"/>
          <w:szCs w:val="21"/>
        </w:rPr>
        <w:t>6</w:t>
      </w:r>
      <w:r>
        <w:rPr>
          <w:rFonts w:hint="eastAsia" w:ascii="仿宋_GB2312" w:eastAsia="仿宋_GB2312"/>
          <w:szCs w:val="21"/>
        </w:rPr>
        <w:t xml:space="preserve">）政策调整风险 </w:t>
      </w:r>
      <w:r>
        <w:rPr>
          <w:rFonts w:ascii="仿宋_GB2312" w:eastAsia="仿宋_GB2312"/>
          <w:szCs w:val="21"/>
        </w:rPr>
        <w:t>7</w:t>
      </w:r>
      <w:r>
        <w:rPr>
          <w:rFonts w:hint="eastAsia" w:ascii="仿宋_GB2312" w:eastAsia="仿宋_GB2312"/>
          <w:szCs w:val="21"/>
        </w:rPr>
        <w:t xml:space="preserve">）利益冲突风险 </w:t>
      </w:r>
      <w:r>
        <w:rPr>
          <w:rFonts w:ascii="仿宋_GB2312" w:eastAsia="仿宋_GB2312"/>
          <w:szCs w:val="21"/>
        </w:rPr>
        <w:t>8</w:t>
      </w:r>
      <w:r>
        <w:rPr>
          <w:rFonts w:hint="eastAsia" w:ascii="仿宋_GB2312" w:eastAsia="仿宋_GB2312"/>
          <w:szCs w:val="21"/>
        </w:rPr>
        <w:t xml:space="preserve">）估值风险 </w:t>
      </w:r>
      <w:r>
        <w:rPr>
          <w:rFonts w:ascii="仿宋_GB2312" w:eastAsia="仿宋_GB2312"/>
          <w:szCs w:val="21"/>
        </w:rPr>
        <w:t>9</w:t>
      </w:r>
      <w:r>
        <w:rPr>
          <w:rFonts w:hint="eastAsia" w:ascii="仿宋_GB2312" w:eastAsia="仿宋_GB2312"/>
          <w:szCs w:val="21"/>
        </w:rPr>
        <w:t xml:space="preserve">）市场风险 </w:t>
      </w:r>
      <w:r>
        <w:rPr>
          <w:rFonts w:ascii="仿宋_GB2312" w:eastAsia="仿宋_GB2312"/>
          <w:szCs w:val="21"/>
        </w:rPr>
        <w:t>10</w:t>
      </w:r>
      <w:r>
        <w:rPr>
          <w:rFonts w:hint="eastAsia" w:ascii="仿宋_GB2312" w:eastAsia="仿宋_GB2312"/>
          <w:szCs w:val="21"/>
        </w:rPr>
        <w:t>）公募REITs相关法律法规和交易所业务规则，可能根据市场情况进行修改，或者制定新的法律法规和业务规则，投资者应当及时予以关注和了解。</w:t>
      </w:r>
    </w:p>
    <w:p w14:paraId="225EEA20">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4</w:t>
      </w:r>
      <w:r>
        <w:rPr>
          <w:rFonts w:hint="eastAsia" w:ascii="仿宋_GB2312" w:eastAsia="仿宋_GB2312"/>
          <w:szCs w:val="21"/>
        </w:rPr>
        <w:t>）本基金可投资于商品基金，因此将间接承担商品基金可能面临的商品价格波动风险、投资商品期货合约的风险、盯市风险等商品投资风险。</w:t>
      </w:r>
    </w:p>
    <w:p w14:paraId="0A9BB791">
      <w:pPr>
        <w:ind w:firstLine="420"/>
        <w:rPr>
          <w:rFonts w:ascii="仿宋_GB2312" w:eastAsia="仿宋_GB2312"/>
          <w:szCs w:val="21"/>
        </w:rPr>
      </w:pPr>
      <w:r>
        <w:rPr>
          <w:rFonts w:hint="eastAsia" w:ascii="仿宋_GB2312" w:eastAsia="仿宋_GB2312"/>
          <w:szCs w:val="21"/>
        </w:rPr>
        <w:t>（1</w:t>
      </w:r>
      <w:r>
        <w:rPr>
          <w:rFonts w:ascii="仿宋_GB2312" w:eastAsia="仿宋_GB2312"/>
          <w:szCs w:val="21"/>
        </w:rPr>
        <w:t>5</w:t>
      </w:r>
      <w:r>
        <w:rPr>
          <w:rFonts w:hint="eastAsia" w:ascii="仿宋_GB2312" w:eastAsia="仿宋_GB2312"/>
          <w:szCs w:val="21"/>
        </w:rPr>
        <w:t>）投资科创板股票的特定风险</w:t>
      </w:r>
    </w:p>
    <w:p w14:paraId="2249E58B">
      <w:pPr>
        <w:ind w:firstLine="420"/>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74493B85">
      <w:pPr>
        <w:ind w:firstLine="420"/>
        <w:rPr>
          <w:rFonts w:hint="eastAsia" w:ascii="仿宋_GB2312" w:eastAsia="仿宋_GB2312"/>
          <w:szCs w:val="21"/>
        </w:rPr>
      </w:pPr>
      <w:r>
        <w:rPr>
          <w:rFonts w:hint="eastAsia" w:ascii="仿宋_GB2312" w:eastAsia="仿宋_GB2312"/>
          <w:szCs w:val="21"/>
        </w:rPr>
        <w:t>（16）投资存托凭证的特定风险</w:t>
      </w:r>
    </w:p>
    <w:p w14:paraId="1D8646C5">
      <w:pPr>
        <w:ind w:firstLine="420"/>
        <w:rPr>
          <w:rFonts w:hint="eastAsia"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2B5EFF9">
      <w:pPr>
        <w:ind w:firstLine="420"/>
        <w:rPr>
          <w:rFonts w:hint="eastAsia"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FEB3433">
      <w:pPr>
        <w:ind w:firstLine="420"/>
        <w:rPr>
          <w:rFonts w:hint="eastAsia"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22F55A7C">
      <w:pPr>
        <w:ind w:firstLine="420"/>
        <w:rPr>
          <w:rFonts w:ascii="仿宋_GB2312" w:eastAsia="仿宋_GB2312"/>
          <w:szCs w:val="21"/>
        </w:rPr>
      </w:pPr>
      <w:r>
        <w:rPr>
          <w:rFonts w:ascii="仿宋_GB2312" w:eastAsia="仿宋_GB2312"/>
          <w:szCs w:val="21"/>
        </w:rPr>
        <w:t>6</w:t>
      </w:r>
      <w:r>
        <w:rPr>
          <w:rFonts w:hint="eastAsia" w:ascii="仿宋_GB2312" w:eastAsia="仿宋_GB2312"/>
          <w:szCs w:val="21"/>
        </w:rPr>
        <w:t>、本基金法律文件风险收益特征表述与销售机构基金风险评价可能不一致的风险</w:t>
      </w:r>
    </w:p>
    <w:p w14:paraId="56B86C9C">
      <w:pPr>
        <w:ind w:firstLine="420"/>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11392765">
      <w:pPr>
        <w:ind w:firstLine="420"/>
        <w:rPr>
          <w:rFonts w:ascii="仿宋_GB2312" w:eastAsia="仿宋_GB2312"/>
          <w:szCs w:val="21"/>
        </w:rPr>
      </w:pPr>
      <w:r>
        <w:rPr>
          <w:rFonts w:hint="eastAsia" w:ascii="仿宋_GB2312" w:eastAsia="仿宋_GB2312"/>
          <w:szCs w:val="21"/>
          <w:lang w:val="en-US" w:eastAsia="zh-CN"/>
        </w:rPr>
        <w:t>7</w:t>
      </w:r>
      <w:r>
        <w:rPr>
          <w:rFonts w:hint="eastAsia" w:ascii="仿宋_GB2312" w:eastAsia="仿宋_GB2312"/>
          <w:szCs w:val="21"/>
        </w:rPr>
        <w:t>、其他风险</w:t>
      </w:r>
    </w:p>
    <w:p w14:paraId="75CB531A">
      <w:pPr>
        <w:jc w:val="left"/>
        <w:rPr>
          <w:rFonts w:ascii="仿宋_GB2312" w:eastAsia="仿宋_GB2312"/>
          <w:b/>
          <w:szCs w:val="21"/>
        </w:rPr>
      </w:pPr>
      <w:r>
        <w:rPr>
          <w:rFonts w:hint="eastAsia" w:ascii="仿宋_GB2312" w:eastAsia="仿宋_GB2312"/>
          <w:b/>
          <w:szCs w:val="21"/>
        </w:rPr>
        <w:t>（二）重要提示</w:t>
      </w:r>
    </w:p>
    <w:p w14:paraId="767B5E55">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20E4A6F3">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65C9153B">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7864A95B">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001E3BE8">
      <w:pPr>
        <w:ind w:firstLine="420"/>
        <w:jc w:val="left"/>
        <w:rPr>
          <w:rFonts w:ascii="仿宋_GB2312" w:eastAsia="仿宋_GB2312"/>
          <w:b/>
          <w:szCs w:val="21"/>
        </w:rPr>
      </w:pPr>
      <w:r>
        <w:rPr>
          <w:rFonts w:hint="eastAsia" w:ascii="仿宋_GB2312" w:eastAsia="仿宋_GB2312"/>
          <w:b/>
          <w:szCs w:val="21"/>
        </w:rPr>
        <w:t>▲▲因基金合同而产生的或与基金合同有关的一切争议，如经友好协商未能解决的，任何一方均有权将争议提交深圳国际仲裁院，按其届时有效的仲裁规则进行仲裁。仲裁地点为深圳市。</w:t>
      </w:r>
    </w:p>
    <w:p w14:paraId="25A360AD">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1B99A023">
      <w:pPr>
        <w:jc w:val="left"/>
        <w:rPr>
          <w:rFonts w:ascii="仿宋_GB2312" w:eastAsia="仿宋_GB2312"/>
          <w:b/>
          <w:szCs w:val="21"/>
        </w:rPr>
      </w:pPr>
      <w:r>
        <w:rPr>
          <w:rFonts w:hint="eastAsia" w:ascii="仿宋_GB2312" w:eastAsia="仿宋_GB2312"/>
          <w:b/>
          <w:szCs w:val="21"/>
        </w:rPr>
        <w:t>五、其他资料查询方式</w:t>
      </w:r>
    </w:p>
    <w:p w14:paraId="4D86B973">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00776841">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盈享多资产六个月</w:t>
      </w:r>
      <w:r>
        <w:rPr>
          <w:rFonts w:hint="eastAsia" w:ascii="仿宋_GB2312" w:eastAsia="仿宋_GB2312"/>
          <w:szCs w:val="21"/>
        </w:rPr>
        <w:t>持有期混合型基金中基金（FOF）基金合同》、</w:t>
      </w:r>
    </w:p>
    <w:p w14:paraId="342EB47B">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盈享多资产六个月</w:t>
      </w:r>
      <w:r>
        <w:rPr>
          <w:rFonts w:hint="eastAsia" w:ascii="仿宋_GB2312" w:eastAsia="仿宋_GB2312"/>
          <w:szCs w:val="21"/>
        </w:rPr>
        <w:t>持有期混合型基金中基金（FOF）托管协议》、</w:t>
      </w:r>
    </w:p>
    <w:p w14:paraId="21939CB1">
      <w:pPr>
        <w:ind w:firstLine="420"/>
        <w:jc w:val="left"/>
        <w:rPr>
          <w:rFonts w:ascii="仿宋_GB2312" w:eastAsia="仿宋_GB2312"/>
          <w:szCs w:val="21"/>
        </w:rPr>
      </w:pPr>
      <w:r>
        <w:rPr>
          <w:rFonts w:hint="eastAsia" w:ascii="仿宋_GB2312" w:eastAsia="仿宋_GB2312"/>
          <w:szCs w:val="21"/>
        </w:rPr>
        <w:t>《交银施罗德</w:t>
      </w:r>
      <w:r>
        <w:rPr>
          <w:rFonts w:hint="eastAsia" w:ascii="仿宋_GB2312" w:eastAsia="仿宋_GB2312"/>
          <w:szCs w:val="21"/>
          <w:lang w:eastAsia="zh-CN"/>
        </w:rPr>
        <w:t>盈享多资产六个月</w:t>
      </w:r>
      <w:r>
        <w:rPr>
          <w:rFonts w:hint="eastAsia" w:ascii="仿宋_GB2312" w:eastAsia="仿宋_GB2312"/>
          <w:szCs w:val="21"/>
        </w:rPr>
        <w:t>持有期混合型基金中基金（FOF）招募说明书》</w:t>
      </w:r>
    </w:p>
    <w:p w14:paraId="5FB77542">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0E8FCBE5">
      <w:pPr>
        <w:ind w:firstLine="420"/>
        <w:jc w:val="left"/>
        <w:rPr>
          <w:rFonts w:ascii="仿宋_GB2312" w:eastAsia="仿宋_GB2312"/>
          <w:szCs w:val="21"/>
        </w:rPr>
      </w:pPr>
      <w:r>
        <w:rPr>
          <w:rFonts w:hint="eastAsia" w:ascii="仿宋_GB2312" w:eastAsia="仿宋_GB2312"/>
          <w:szCs w:val="21"/>
        </w:rPr>
        <w:t>●基金份额净值</w:t>
      </w:r>
    </w:p>
    <w:p w14:paraId="1F55C2A2">
      <w:pPr>
        <w:ind w:firstLine="420"/>
        <w:jc w:val="left"/>
        <w:rPr>
          <w:rFonts w:ascii="仿宋_GB2312" w:eastAsia="仿宋_GB2312"/>
          <w:szCs w:val="21"/>
        </w:rPr>
      </w:pPr>
      <w:r>
        <w:rPr>
          <w:rFonts w:hint="eastAsia" w:ascii="仿宋_GB2312" w:eastAsia="仿宋_GB2312"/>
          <w:szCs w:val="21"/>
        </w:rPr>
        <w:t>●基金销售机构及联系方式</w:t>
      </w:r>
    </w:p>
    <w:p w14:paraId="090DA25C">
      <w:pPr>
        <w:ind w:firstLine="420"/>
        <w:jc w:val="left"/>
        <w:rPr>
          <w:rFonts w:ascii="仿宋_GB2312" w:eastAsia="仿宋_GB2312"/>
          <w:szCs w:val="21"/>
        </w:rPr>
      </w:pPr>
      <w:r>
        <w:rPr>
          <w:rFonts w:hint="eastAsia" w:ascii="仿宋_GB2312" w:eastAsia="仿宋_GB2312"/>
          <w:szCs w:val="21"/>
        </w:rPr>
        <w:t>●其他重要资料</w:t>
      </w:r>
    </w:p>
    <w:p w14:paraId="55797F35">
      <w:pPr>
        <w:jc w:val="left"/>
        <w:rPr>
          <w:rFonts w:ascii="仿宋_GB2312" w:eastAsia="仿宋_GB2312"/>
          <w:b/>
          <w:szCs w:val="21"/>
        </w:rPr>
      </w:pPr>
      <w:r>
        <w:rPr>
          <w:rFonts w:hint="eastAsia" w:ascii="仿宋_GB2312" w:eastAsia="仿宋_GB2312"/>
          <w:b/>
          <w:szCs w:val="21"/>
        </w:rPr>
        <w:t>六、其他情况说明</w:t>
      </w:r>
    </w:p>
    <w:p w14:paraId="740169C1">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03734"/>
    <w:rsid w:val="00004BE6"/>
    <w:rsid w:val="00006C54"/>
    <w:rsid w:val="00006E89"/>
    <w:rsid w:val="00007991"/>
    <w:rsid w:val="00007E93"/>
    <w:rsid w:val="00056FC6"/>
    <w:rsid w:val="0007356F"/>
    <w:rsid w:val="00075D6E"/>
    <w:rsid w:val="0008186E"/>
    <w:rsid w:val="00094816"/>
    <w:rsid w:val="000A037A"/>
    <w:rsid w:val="000A0805"/>
    <w:rsid w:val="000B4A22"/>
    <w:rsid w:val="000B7616"/>
    <w:rsid w:val="000C1CEA"/>
    <w:rsid w:val="000D4C27"/>
    <w:rsid w:val="000E23B3"/>
    <w:rsid w:val="000E7ED2"/>
    <w:rsid w:val="00121AC2"/>
    <w:rsid w:val="00124E5D"/>
    <w:rsid w:val="00131F08"/>
    <w:rsid w:val="00144BEA"/>
    <w:rsid w:val="001618FC"/>
    <w:rsid w:val="0019539D"/>
    <w:rsid w:val="0019752C"/>
    <w:rsid w:val="001A2EDA"/>
    <w:rsid w:val="001C01BC"/>
    <w:rsid w:val="001C2FB5"/>
    <w:rsid w:val="001D29BC"/>
    <w:rsid w:val="001E402A"/>
    <w:rsid w:val="00223DED"/>
    <w:rsid w:val="00247C43"/>
    <w:rsid w:val="00253CE3"/>
    <w:rsid w:val="0026094F"/>
    <w:rsid w:val="00265EAE"/>
    <w:rsid w:val="002711CE"/>
    <w:rsid w:val="00272DEB"/>
    <w:rsid w:val="00287210"/>
    <w:rsid w:val="002E6530"/>
    <w:rsid w:val="002E6AFE"/>
    <w:rsid w:val="002F5DBC"/>
    <w:rsid w:val="003137C0"/>
    <w:rsid w:val="003177A4"/>
    <w:rsid w:val="003217A3"/>
    <w:rsid w:val="003233E5"/>
    <w:rsid w:val="00335FE8"/>
    <w:rsid w:val="003362F2"/>
    <w:rsid w:val="003544CF"/>
    <w:rsid w:val="00395D2A"/>
    <w:rsid w:val="00397B9B"/>
    <w:rsid w:val="003A1071"/>
    <w:rsid w:val="003A3B9F"/>
    <w:rsid w:val="003A4BC0"/>
    <w:rsid w:val="003E751E"/>
    <w:rsid w:val="003F1780"/>
    <w:rsid w:val="00401C56"/>
    <w:rsid w:val="0040348F"/>
    <w:rsid w:val="004265E3"/>
    <w:rsid w:val="00447692"/>
    <w:rsid w:val="00466540"/>
    <w:rsid w:val="004A275D"/>
    <w:rsid w:val="004B41B6"/>
    <w:rsid w:val="004C4380"/>
    <w:rsid w:val="004D6DEA"/>
    <w:rsid w:val="004E596F"/>
    <w:rsid w:val="004F1477"/>
    <w:rsid w:val="004F55E8"/>
    <w:rsid w:val="00505769"/>
    <w:rsid w:val="00506D5A"/>
    <w:rsid w:val="00513FF3"/>
    <w:rsid w:val="005159A2"/>
    <w:rsid w:val="00530468"/>
    <w:rsid w:val="00532350"/>
    <w:rsid w:val="00562AAB"/>
    <w:rsid w:val="00587CE2"/>
    <w:rsid w:val="00593BA7"/>
    <w:rsid w:val="005A52D3"/>
    <w:rsid w:val="005C4763"/>
    <w:rsid w:val="005E55DF"/>
    <w:rsid w:val="005E70D0"/>
    <w:rsid w:val="005E75D4"/>
    <w:rsid w:val="005F0B98"/>
    <w:rsid w:val="00603AA7"/>
    <w:rsid w:val="006079D2"/>
    <w:rsid w:val="006240B9"/>
    <w:rsid w:val="006240DF"/>
    <w:rsid w:val="00640CEA"/>
    <w:rsid w:val="00642F01"/>
    <w:rsid w:val="00681FC2"/>
    <w:rsid w:val="0068620B"/>
    <w:rsid w:val="0069292E"/>
    <w:rsid w:val="00694724"/>
    <w:rsid w:val="00697E05"/>
    <w:rsid w:val="006A1A11"/>
    <w:rsid w:val="006A53E7"/>
    <w:rsid w:val="006D2F51"/>
    <w:rsid w:val="006E5070"/>
    <w:rsid w:val="006F6E4E"/>
    <w:rsid w:val="00703AE1"/>
    <w:rsid w:val="00740EE9"/>
    <w:rsid w:val="00771285"/>
    <w:rsid w:val="007778CB"/>
    <w:rsid w:val="00782E96"/>
    <w:rsid w:val="007859AB"/>
    <w:rsid w:val="007A64C5"/>
    <w:rsid w:val="007D23D1"/>
    <w:rsid w:val="007E0178"/>
    <w:rsid w:val="007E0F9E"/>
    <w:rsid w:val="007E39F2"/>
    <w:rsid w:val="00801366"/>
    <w:rsid w:val="00805B6E"/>
    <w:rsid w:val="00815C56"/>
    <w:rsid w:val="00817546"/>
    <w:rsid w:val="00833D4D"/>
    <w:rsid w:val="00846EFA"/>
    <w:rsid w:val="00850508"/>
    <w:rsid w:val="00853EC2"/>
    <w:rsid w:val="0085592A"/>
    <w:rsid w:val="00861E7B"/>
    <w:rsid w:val="00862E6E"/>
    <w:rsid w:val="00877F4E"/>
    <w:rsid w:val="00880454"/>
    <w:rsid w:val="0088123D"/>
    <w:rsid w:val="00891A87"/>
    <w:rsid w:val="008A6FA6"/>
    <w:rsid w:val="008D5F4E"/>
    <w:rsid w:val="008F40E5"/>
    <w:rsid w:val="00902522"/>
    <w:rsid w:val="0090269C"/>
    <w:rsid w:val="00915F06"/>
    <w:rsid w:val="00926C79"/>
    <w:rsid w:val="0093471C"/>
    <w:rsid w:val="00935F05"/>
    <w:rsid w:val="00941105"/>
    <w:rsid w:val="009438C5"/>
    <w:rsid w:val="0096105F"/>
    <w:rsid w:val="009640B1"/>
    <w:rsid w:val="0096494E"/>
    <w:rsid w:val="009728DC"/>
    <w:rsid w:val="009969FD"/>
    <w:rsid w:val="009A35C3"/>
    <w:rsid w:val="009B2B0F"/>
    <w:rsid w:val="009C0C41"/>
    <w:rsid w:val="009C4E00"/>
    <w:rsid w:val="009F4EAE"/>
    <w:rsid w:val="00A0248F"/>
    <w:rsid w:val="00A05B1B"/>
    <w:rsid w:val="00A0728B"/>
    <w:rsid w:val="00A238F6"/>
    <w:rsid w:val="00A25673"/>
    <w:rsid w:val="00A4377A"/>
    <w:rsid w:val="00A617EA"/>
    <w:rsid w:val="00A924CD"/>
    <w:rsid w:val="00AB59CB"/>
    <w:rsid w:val="00AE241B"/>
    <w:rsid w:val="00AF7A1E"/>
    <w:rsid w:val="00B13068"/>
    <w:rsid w:val="00B13B6D"/>
    <w:rsid w:val="00B32C2A"/>
    <w:rsid w:val="00B32CDB"/>
    <w:rsid w:val="00B75413"/>
    <w:rsid w:val="00B9752D"/>
    <w:rsid w:val="00BB2ACF"/>
    <w:rsid w:val="00BD152D"/>
    <w:rsid w:val="00BF249B"/>
    <w:rsid w:val="00BF3490"/>
    <w:rsid w:val="00BF35AF"/>
    <w:rsid w:val="00C0525C"/>
    <w:rsid w:val="00C22825"/>
    <w:rsid w:val="00C242E9"/>
    <w:rsid w:val="00C340F9"/>
    <w:rsid w:val="00C46A98"/>
    <w:rsid w:val="00C5439D"/>
    <w:rsid w:val="00C87156"/>
    <w:rsid w:val="00C94C04"/>
    <w:rsid w:val="00C95BC6"/>
    <w:rsid w:val="00C97797"/>
    <w:rsid w:val="00CA0899"/>
    <w:rsid w:val="00CA3D64"/>
    <w:rsid w:val="00CB450D"/>
    <w:rsid w:val="00CC3721"/>
    <w:rsid w:val="00CC520E"/>
    <w:rsid w:val="00CD73D2"/>
    <w:rsid w:val="00CD7637"/>
    <w:rsid w:val="00CE6237"/>
    <w:rsid w:val="00D04A15"/>
    <w:rsid w:val="00D17D4E"/>
    <w:rsid w:val="00D373CC"/>
    <w:rsid w:val="00D75597"/>
    <w:rsid w:val="00D90941"/>
    <w:rsid w:val="00D967B8"/>
    <w:rsid w:val="00DB319C"/>
    <w:rsid w:val="00DB4C18"/>
    <w:rsid w:val="00DD4A75"/>
    <w:rsid w:val="00DD70D1"/>
    <w:rsid w:val="00DE009F"/>
    <w:rsid w:val="00DE747B"/>
    <w:rsid w:val="00DF5AC6"/>
    <w:rsid w:val="00E0367A"/>
    <w:rsid w:val="00E2129C"/>
    <w:rsid w:val="00E2324E"/>
    <w:rsid w:val="00E40081"/>
    <w:rsid w:val="00E407C7"/>
    <w:rsid w:val="00E436EA"/>
    <w:rsid w:val="00E51B6D"/>
    <w:rsid w:val="00E5306D"/>
    <w:rsid w:val="00E62E19"/>
    <w:rsid w:val="00E84135"/>
    <w:rsid w:val="00EC30D4"/>
    <w:rsid w:val="00EC5259"/>
    <w:rsid w:val="00ED3D40"/>
    <w:rsid w:val="00EE1952"/>
    <w:rsid w:val="00EE4D41"/>
    <w:rsid w:val="00EE594C"/>
    <w:rsid w:val="00EF6E7F"/>
    <w:rsid w:val="00F01357"/>
    <w:rsid w:val="00F24B57"/>
    <w:rsid w:val="00F324A3"/>
    <w:rsid w:val="00F41286"/>
    <w:rsid w:val="00F541D7"/>
    <w:rsid w:val="00F674EA"/>
    <w:rsid w:val="00F75715"/>
    <w:rsid w:val="00F811C4"/>
    <w:rsid w:val="00FC22E2"/>
    <w:rsid w:val="00FC2918"/>
    <w:rsid w:val="00FC68F6"/>
    <w:rsid w:val="00FE7EB2"/>
    <w:rsid w:val="06DC3CF8"/>
    <w:rsid w:val="12E34C95"/>
    <w:rsid w:val="29E11DD5"/>
    <w:rsid w:val="2B724947"/>
    <w:rsid w:val="2C174E0F"/>
    <w:rsid w:val="31325068"/>
    <w:rsid w:val="327B7B10"/>
    <w:rsid w:val="356B0BD4"/>
    <w:rsid w:val="373C6F51"/>
    <w:rsid w:val="39677E23"/>
    <w:rsid w:val="43612994"/>
    <w:rsid w:val="47157ADA"/>
    <w:rsid w:val="4A502544"/>
    <w:rsid w:val="4AAB7CB7"/>
    <w:rsid w:val="5A364567"/>
    <w:rsid w:val="5BBF4A43"/>
    <w:rsid w:val="66F9480A"/>
    <w:rsid w:val="6E620C51"/>
    <w:rsid w:val="71942C1A"/>
    <w:rsid w:val="742D1B10"/>
    <w:rsid w:val="76FB4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 w:type="table" w:customStyle="1" w:styleId="17">
    <w:name w:val="网格型1"/>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1049</Words>
  <Characters>5982</Characters>
  <Lines>49</Lines>
  <Paragraphs>14</Paragraphs>
  <TotalTime>3</TotalTime>
  <ScaleCrop>false</ScaleCrop>
  <LinksUpToDate>false</LinksUpToDate>
  <CharactersWithSpaces>7017</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2020-08-27T13:04:00Z</dcterms:created>
  <dc:creator>Cc</dc:creator>
  <cp:lastModifiedBy>刘晨晨</cp:lastModifiedBy>
  <dcterms:modified xsi:type="dcterms:W3CDTF">2026-05-25T05:25:37Z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A85A94FBC1A3441EBD0933E1E6ED206D</vt:lpwstr>
  </property>
</Properties>
</file>