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交银施罗德智远量化选股股票型发起式证券投资基金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2026-05-27</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交银智远量化选股股票发起</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027235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2026-05-08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杨彦煜</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2026-05-22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2026-05-08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之日起三年后的对应日，若基金资产净值低于2亿元，基金合同自动终止，且不得通过召开基金份额持有人大会的方式延续《基金合同》期限。若届时有效的法律法规或中国证监会规定发生变化，上述终止规定被取消、更改或补充，则本基金可以参照届时有效的法律法规或中国证监会规定执行。</w:t>
            </w:r>
          </w:p>
          <w:p>
            <w:pPr>
              <w:ind w:firstLine="420"/>
              <w:jc w:val="left"/>
              <w:rPr>
                <w:rFonts w:ascii="仿宋_GB2312" w:eastAsia="仿宋_GB2312"/>
                <w:szCs w:val="21"/>
              </w:rPr>
            </w:pPr>
            <w:r>
              <w:rPr>
                <w:rFonts w:ascii="仿宋_GB2312" w:eastAsia="仿宋_GB2312"/>
                <w:szCs w:val="21"/>
              </w:rPr>
              <w:t>《基金合同》生效三年后继续存续的，基金存续期内，连续20个工作日出现基金份额持有人数量不满200人或者基金资产净值低于5000万元情形的，基金管理人应当在定期报告中予以披露；连续60个工作日出现前述情形的，基金管理人应当在10个工作日内向中国证监会报告并提出解决方案，如持续运作、转换运作方式、与其他基金合并或者终止基金合同等，并在6个月内召集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本基金在有效控制组合风险并保持基金资产流动性的前提下，通过量化方法优选个股构建组合，力争实现基金资产的长期稳健增值。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主板、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不低于80%，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中证500指数收益率×90%+中证港股通综合指数（人民币）收益率×5%+中债-综合全价（总值）指数收益率×5%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详见《交银施罗德智远量化选股股票型发起式证券投资基金招募说明书》“基金的投资”。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认购费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0.7%</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1.0%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通过直销机构认购/申购的基金份额，不收取认购/申购费用。2、本基金对持续持有期少于7日的投资人收取1.5%的赎回费，请投资人予以关注。3、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75"/>
        <w:gridCol w:w="4145"/>
        <w:gridCol w:w="218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股票型基金，股票投资（含存托凭证）占基金资产的比例不低于80%，具有对股票市场的系统性风险，不能完全规避市场下跌的风险，在市场大幅上涨时也不能保证基金净值能够完全跟随或超越市场上涨幅度。</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（3）投资股指期货的特定风险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（4）投资资产支持证券的特定风险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（5）投资流通受限证券的特定风险</w:t>
      </w:r>
    </w:p>
    <w:p>
      <w:pPr>
        <w:ind w:firstLine="420"/>
        <w:jc w:val="left"/>
        <w:rPr>
          <w:rFonts w:ascii="仿宋_GB2312" w:eastAsia="仿宋_GB2312"/>
          <w:szCs w:val="21"/>
        </w:rPr>
      </w:pPr>
      <w:r>
        <w:rPr>
          <w:rFonts w:hint="eastAsia" w:ascii="仿宋_GB2312" w:eastAsia="仿宋_GB2312"/>
          <w:szCs w:val="21"/>
        </w:rPr>
        <w:t>本基金若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（6）投资港股通标的股票的特定风险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（9）采用量化策略进行投资管理可能引致的特定风险</w:t>
      </w:r>
    </w:p>
    <w:p>
      <w:pPr>
        <w:ind w:firstLine="420"/>
        <w:jc w:val="left"/>
        <w:rPr>
          <w:rFonts w:ascii="仿宋_GB2312" w:eastAsia="仿宋_GB2312"/>
          <w:szCs w:val="21"/>
        </w:rPr>
      </w:pPr>
      <w:r>
        <w:rPr>
          <w:rFonts w:hint="eastAsia" w:ascii="仿宋_GB2312" w:eastAsia="仿宋_GB2312"/>
          <w:szCs w:val="21"/>
        </w:rPr>
        <w:t>本基金采用量化模型构建投资组合，量化模型仅是选股模型，并不基于量化模型进行高频交易。在实际运作过程中，本基金采用量化模型选择股票并构建投资组合，其以广泛覆盖各类信息源的数据库为基础，包括宏观经济数据、行业经济数据、证券与期货交易行情数据、上市公司财务数据等。这些数据通常来源于不同的数据提供商，并且因为不同的需要，在数据加工过程中可能遵循不同的规范。基金管理人所建立量化模型将以加工后的数据作为输入，因此，源数据错误或预处理过程中出现的错误可能直接影响量化模型的输出结果，形成数据风险。</w:t>
      </w:r>
    </w:p>
    <w:p>
      <w:pPr>
        <w:ind w:firstLine="420"/>
        <w:jc w:val="left"/>
        <w:rPr>
          <w:rFonts w:ascii="仿宋_GB2312" w:eastAsia="仿宋_GB2312"/>
          <w:szCs w:val="21"/>
        </w:rPr>
      </w:pPr>
      <w:r>
        <w:rPr>
          <w:rFonts w:hint="eastAsia" w:ascii="仿宋_GB2312" w:eastAsia="仿宋_GB2312"/>
          <w:szCs w:val="21"/>
        </w:rPr>
        <w:t>此外，由于本基金采用量化模型指导投资决策，因此定量方法的缺陷在一定程度上也会影响本基金的表现。一方面，面对不断变换的市场环境，量化投资策略所遵循的模型理论均处于不断发展和完善的过程中；另一方面，在定量模型的具体设定中，核心参数假定的变动均可能影响整体效果的稳定性；最后，定量模型存在对历史数据的依赖。因此，在实际运作过程中，市场环境的变化可能导致遵循量化模型构建的投资组合在一定程度上无法达到预期的投资效果。</w:t>
      </w:r>
    </w:p>
    <w:p>
      <w:pPr>
        <w:ind w:firstLine="420"/>
        <w:jc w:val="left"/>
        <w:rPr>
          <w:rFonts w:ascii="仿宋_GB2312" w:eastAsia="仿宋_GB2312"/>
          <w:szCs w:val="21"/>
        </w:rPr>
      </w:pPr>
      <w:r>
        <w:rPr>
          <w:rFonts w:hint="eastAsia" w:ascii="仿宋_GB2312" w:eastAsia="仿宋_GB2312"/>
          <w:szCs w:val="21"/>
        </w:rPr>
        <w:t>（10）基金合同自动终止风险</w:t>
      </w:r>
    </w:p>
    <w:p>
      <w:pPr>
        <w:ind w:firstLine="420"/>
        <w:jc w:val="left"/>
        <w:rPr>
          <w:rFonts w:ascii="仿宋_GB2312" w:eastAsia="仿宋_GB2312"/>
          <w:szCs w:val="21"/>
        </w:rPr>
      </w:pPr>
      <w:r>
        <w:rPr>
          <w:rFonts w:hint="eastAsia" w:ascii="仿宋_GB2312" w:eastAsia="仿宋_GB2312"/>
          <w:szCs w:val="21"/>
        </w:rPr>
        <w:t>本基金为发起式基金，《基金合同》生效之日起三年后的对应日，若基金资产净值低于2亿元，基金合同自动终止，且不得通过召开基金份额持有人大会的方式延续《基金合同》期限。因此，投资人可能面临基金合同自动终止的不确定性风险。</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w:t>
      </w:r>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w:t>
      </w:r>
      <w:bookmarkStart w:id="0" w:name="_GoBack"/>
      <w:bookmarkEnd w:id="0"/>
      <w:r>
        <w:rPr>
          <w:rFonts w:hint="eastAsia" w:ascii="仿宋_GB2312" w:eastAsia="仿宋_GB2312"/>
          <w:szCs w:val="21"/>
        </w:rPr>
        <w:t>und001.com][客服电话：400-700-5000]</w:t>
      </w:r>
    </w:p>
    <w:p>
      <w:pPr>
        <w:ind w:firstLine="420"/>
        <w:jc w:val="left"/>
        <w:rPr>
          <w:rFonts w:ascii="仿宋_GB2312" w:eastAsia="仿宋_GB2312"/>
          <w:szCs w:val="21"/>
        </w:rPr>
      </w:pPr>
      <w:r>
        <w:rPr>
          <w:rFonts w:hint="eastAsia" w:ascii="仿宋_GB2312" w:eastAsia="仿宋_GB2312"/>
          <w:szCs w:val="21"/>
        </w:rPr>
        <w:t>●《交银施罗德智远量化选股股票型发起式证券投资基金基金合同》、</w:t>
      </w:r>
    </w:p>
    <w:p>
      <w:pPr>
        <w:ind w:firstLine="420"/>
        <w:jc w:val="left"/>
        <w:rPr>
          <w:rFonts w:ascii="仿宋_GB2312" w:eastAsia="仿宋_GB2312"/>
          <w:szCs w:val="21"/>
        </w:rPr>
      </w:pPr>
      <w:r>
        <w:rPr>
          <w:rFonts w:hint="eastAsia" w:ascii="仿宋_GB2312" w:eastAsia="仿宋_GB2312"/>
          <w:szCs w:val="21"/>
        </w:rPr>
        <w:t>《交银施罗德智远量化选股股票型发起式证券投资基金托管协议》、</w:t>
      </w:r>
    </w:p>
    <w:p>
      <w:pPr>
        <w:ind w:firstLine="420"/>
        <w:jc w:val="left"/>
        <w:rPr>
          <w:rFonts w:ascii="仿宋_GB2312" w:eastAsia="仿宋_GB2312"/>
          <w:szCs w:val="21"/>
        </w:rPr>
      </w:pPr>
      <w:r>
        <w:rPr>
          <w:rFonts w:hint="eastAsia" w:ascii="仿宋_GB2312" w:eastAsia="仿宋_GB2312"/>
          <w:szCs w:val="21"/>
        </w:rPr>
        <w:t>《交银施罗德智远量化选股股票型发起式证券投资基金招募说明书》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D7D2D"/>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E233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852</Words>
  <Characters>4859</Characters>
  <Lines>40</Lines>
  <Paragraphs>11</Paragraphs>
  <TotalTime>240</TotalTime>
  <ScaleCrop>false</ScaleCrop>
  <LinksUpToDate>false</LinksUpToDate>
  <CharactersWithSpaces>5700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2026-05-26T01:16:00Z</dcterms:created>
  <dc:creator>Cc</dc:creator>
  <cp:lastModifiedBy>haotingting</cp:lastModifiedBy>
  <dcterms:modified xsi:type="dcterms:W3CDTF">2026-05-26T06:24:06Z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9A903A89AA8641C89ED0EC03E1C0B21A</vt:lpwstr>
  </property>
</Properties>
</file>