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270578">
      <w:pPr>
        <w:pStyle w:val="3"/>
        <w:jc w:val="center"/>
        <w:rPr>
          <w:rFonts w:ascii="宋体"/>
          <w:sz w:val="56"/>
        </w:rPr>
      </w:pPr>
    </w:p>
    <w:p w14:paraId="6F5FBCA8">
      <w:pPr>
        <w:pStyle w:val="3"/>
        <w:jc w:val="center"/>
        <w:rPr>
          <w:rFonts w:ascii="宋体" w:hAnsi="宋体"/>
          <w:sz w:val="52"/>
          <w:szCs w:val="52"/>
        </w:rPr>
      </w:pPr>
      <w:r>
        <w:rPr>
          <w:rFonts w:hint="eastAsia" w:ascii="宋体" w:hAnsi="宋体"/>
          <w:sz w:val="52"/>
          <w:szCs w:val="52"/>
        </w:rPr>
        <w:t>交银施罗</w:t>
      </w:r>
      <w:bookmarkStart w:id="3" w:name="_GoBack"/>
      <w:bookmarkEnd w:id="3"/>
      <w:r>
        <w:rPr>
          <w:rFonts w:hint="eastAsia" w:ascii="宋体" w:hAnsi="宋体"/>
          <w:sz w:val="52"/>
          <w:szCs w:val="52"/>
        </w:rPr>
        <w:t>德稳进回报六个月持有期混合型证券投资基金清算报告</w:t>
      </w:r>
    </w:p>
    <w:p w14:paraId="36290750">
      <w:pPr>
        <w:rPr>
          <w:rFonts w:ascii="宋体"/>
        </w:rPr>
      </w:pPr>
    </w:p>
    <w:p w14:paraId="471257E4">
      <w:pPr>
        <w:rPr>
          <w:rFonts w:ascii="宋体"/>
        </w:rPr>
      </w:pPr>
    </w:p>
    <w:p w14:paraId="212BD107">
      <w:pPr>
        <w:rPr>
          <w:rFonts w:ascii="宋体"/>
        </w:rPr>
      </w:pPr>
    </w:p>
    <w:p w14:paraId="3D374DBF">
      <w:pPr>
        <w:rPr>
          <w:rFonts w:ascii="宋体"/>
        </w:rPr>
      </w:pPr>
    </w:p>
    <w:p w14:paraId="517768AC">
      <w:pPr>
        <w:rPr>
          <w:rFonts w:ascii="宋体"/>
        </w:rPr>
      </w:pPr>
    </w:p>
    <w:p w14:paraId="3C5866A9">
      <w:pPr>
        <w:rPr>
          <w:rFonts w:ascii="宋体"/>
        </w:rPr>
      </w:pPr>
    </w:p>
    <w:p w14:paraId="7542BB45">
      <w:pPr>
        <w:rPr>
          <w:rFonts w:ascii="宋体"/>
        </w:rPr>
      </w:pPr>
    </w:p>
    <w:p w14:paraId="7BF99772">
      <w:pPr>
        <w:rPr>
          <w:rFonts w:ascii="宋体"/>
        </w:rPr>
      </w:pPr>
    </w:p>
    <w:p w14:paraId="020350C9">
      <w:pPr>
        <w:rPr>
          <w:rFonts w:ascii="宋体"/>
        </w:rPr>
      </w:pPr>
    </w:p>
    <w:p w14:paraId="65198134">
      <w:pPr>
        <w:rPr>
          <w:rFonts w:ascii="宋体"/>
        </w:rPr>
      </w:pPr>
    </w:p>
    <w:p w14:paraId="6594A5B1">
      <w:pPr>
        <w:rPr>
          <w:rFonts w:ascii="宋体"/>
        </w:rPr>
      </w:pPr>
    </w:p>
    <w:p w14:paraId="0899A3B3">
      <w:pPr>
        <w:rPr>
          <w:rFonts w:ascii="宋体"/>
        </w:rPr>
      </w:pPr>
    </w:p>
    <w:p w14:paraId="1BD0FE99">
      <w:pPr>
        <w:rPr>
          <w:rFonts w:ascii="宋体"/>
        </w:rPr>
      </w:pPr>
    </w:p>
    <w:p w14:paraId="35732A5F">
      <w:pPr>
        <w:rPr>
          <w:rFonts w:ascii="宋体"/>
        </w:rPr>
      </w:pPr>
    </w:p>
    <w:p w14:paraId="5377CEC7">
      <w:pPr>
        <w:jc w:val="center"/>
        <w:rPr>
          <w:rFonts w:ascii="宋体"/>
          <w:sz w:val="24"/>
        </w:rPr>
      </w:pPr>
      <w:r>
        <w:rPr>
          <w:rFonts w:hint="eastAsia" w:ascii="宋体" w:hAnsi="宋体"/>
          <w:sz w:val="24"/>
        </w:rPr>
        <w:t>基金管理人：交银施罗德基金管理有限公司</w:t>
      </w:r>
    </w:p>
    <w:p w14:paraId="0127ACD0">
      <w:pPr>
        <w:jc w:val="center"/>
        <w:rPr>
          <w:rFonts w:ascii="宋体" w:hAnsi="宋体"/>
          <w:sz w:val="24"/>
        </w:rPr>
      </w:pPr>
      <w:r>
        <w:rPr>
          <w:rFonts w:hint="eastAsia" w:ascii="宋体" w:hAnsi="宋体"/>
          <w:sz w:val="24"/>
        </w:rPr>
        <w:t>基金托管人：招商银行股份有限公司</w:t>
      </w:r>
    </w:p>
    <w:p w14:paraId="75EA5777">
      <w:pPr>
        <w:jc w:val="center"/>
        <w:rPr>
          <w:rFonts w:ascii="宋体" w:hAnsi="宋体"/>
        </w:rPr>
      </w:pPr>
      <w:r>
        <w:rPr>
          <w:rFonts w:hint="eastAsia" w:ascii="宋体" w:hAnsi="宋体"/>
          <w:sz w:val="24"/>
        </w:rPr>
        <w:t>清算报告出具日：</w:t>
      </w:r>
      <w:r>
        <w:rPr>
          <w:rFonts w:ascii="宋体" w:hAnsi="宋体"/>
        </w:rPr>
        <w:t>20</w:t>
      </w:r>
      <w:r>
        <w:rPr>
          <w:rFonts w:hint="eastAsia" w:ascii="宋体" w:hAnsi="宋体"/>
        </w:rPr>
        <w:t>2</w:t>
      </w:r>
      <w:r>
        <w:rPr>
          <w:rFonts w:ascii="宋体" w:hAnsi="宋体"/>
        </w:rPr>
        <w:t>6</w:t>
      </w:r>
      <w:r>
        <w:rPr>
          <w:rFonts w:hint="eastAsia" w:ascii="宋体" w:hAnsi="宋体"/>
        </w:rPr>
        <w:t>年</w:t>
      </w:r>
      <w:r>
        <w:rPr>
          <w:rFonts w:ascii="宋体" w:hAnsi="宋体"/>
        </w:rPr>
        <w:t>4</w:t>
      </w:r>
      <w:r>
        <w:rPr>
          <w:rFonts w:hint="eastAsia" w:ascii="宋体" w:hAnsi="宋体"/>
        </w:rPr>
        <w:t>月</w:t>
      </w:r>
      <w:r>
        <w:rPr>
          <w:rFonts w:ascii="宋体" w:hAnsi="宋体"/>
        </w:rPr>
        <w:t>30</w:t>
      </w:r>
      <w:r>
        <w:rPr>
          <w:rFonts w:hint="eastAsia" w:ascii="宋体" w:hAnsi="宋体"/>
        </w:rPr>
        <w:t>日</w:t>
      </w:r>
    </w:p>
    <w:p w14:paraId="7D608FA3">
      <w:pPr>
        <w:jc w:val="center"/>
        <w:rPr>
          <w:rFonts w:ascii="宋体"/>
          <w:sz w:val="24"/>
        </w:rPr>
      </w:pPr>
      <w:r>
        <w:rPr>
          <w:rFonts w:hint="eastAsia" w:ascii="宋体" w:hAnsi="宋体"/>
          <w:sz w:val="24"/>
        </w:rPr>
        <w:t>清算报告公告日：</w:t>
      </w:r>
      <w:r>
        <w:rPr>
          <w:rFonts w:ascii="宋体" w:hAnsi="宋体"/>
        </w:rPr>
        <w:t>20</w:t>
      </w:r>
      <w:r>
        <w:rPr>
          <w:rFonts w:hint="eastAsia" w:ascii="宋体" w:hAnsi="宋体"/>
        </w:rPr>
        <w:t>2</w:t>
      </w:r>
      <w:r>
        <w:rPr>
          <w:rFonts w:ascii="宋体" w:hAnsi="宋体"/>
        </w:rPr>
        <w:t>6</w:t>
      </w:r>
      <w:r>
        <w:rPr>
          <w:rFonts w:hint="eastAsia" w:ascii="宋体" w:hAnsi="宋体"/>
        </w:rPr>
        <w:t>年</w:t>
      </w:r>
      <w:r>
        <w:rPr>
          <w:rFonts w:hint="eastAsia" w:ascii="宋体" w:hAnsi="宋体"/>
          <w:lang w:val="en-US" w:eastAsia="zh-CN"/>
        </w:rPr>
        <w:t>5</w:t>
      </w:r>
      <w:r>
        <w:rPr>
          <w:rFonts w:hint="eastAsia" w:ascii="宋体" w:hAnsi="宋体"/>
        </w:rPr>
        <w:t>月</w:t>
      </w:r>
      <w:r>
        <w:rPr>
          <w:rFonts w:hint="eastAsia" w:ascii="宋体" w:hAnsi="宋体"/>
          <w:lang w:val="en-US" w:eastAsia="zh-CN"/>
        </w:rPr>
        <w:t>21</w:t>
      </w:r>
      <w:r>
        <w:rPr>
          <w:rFonts w:hint="eastAsia" w:ascii="宋体" w:hAnsi="宋体"/>
        </w:rPr>
        <w:t>日</w:t>
      </w:r>
    </w:p>
    <w:p w14:paraId="5F926380">
      <w:pPr>
        <w:rPr>
          <w:rFonts w:ascii="宋体"/>
          <w:sz w:val="22"/>
        </w:rPr>
      </w:pPr>
    </w:p>
    <w:p w14:paraId="1AF3FD49">
      <w:pPr>
        <w:widowControl/>
        <w:jc w:val="left"/>
        <w:rPr>
          <w:rFonts w:ascii="宋体"/>
        </w:rPr>
      </w:pPr>
      <w:r>
        <w:rPr>
          <w:rFonts w:ascii="宋体"/>
        </w:rPr>
        <w:br w:type="page"/>
      </w:r>
    </w:p>
    <w:p w14:paraId="2D4E8FE5">
      <w:pPr>
        <w:spacing w:after="312" w:afterLines="100"/>
        <w:rPr>
          <w:rStyle w:val="14"/>
        </w:rPr>
      </w:pPr>
      <w:r>
        <w:rPr>
          <w:rStyle w:val="14"/>
          <w:rFonts w:hint="eastAsia"/>
        </w:rPr>
        <w:t>一、重要提示</w:t>
      </w:r>
    </w:p>
    <w:p w14:paraId="27C8CEF7">
      <w:pPr>
        <w:ind w:firstLine="420"/>
        <w:rPr>
          <w:rFonts w:ascii="宋体" w:hAnsi="宋体"/>
        </w:rPr>
      </w:pPr>
      <w:r>
        <w:rPr>
          <w:rFonts w:hint="eastAsia" w:ascii="宋体" w:hAnsi="宋体"/>
        </w:rPr>
        <w:t>交银施罗德稳进回报六个月持有期混合型证券投资基金（以下简称“本基金”）经202</w:t>
      </w:r>
      <w:r>
        <w:rPr>
          <w:rFonts w:ascii="宋体" w:hAnsi="宋体"/>
        </w:rPr>
        <w:t>2</w:t>
      </w:r>
      <w:r>
        <w:rPr>
          <w:rFonts w:hint="eastAsia" w:ascii="宋体" w:hAnsi="宋体"/>
        </w:rPr>
        <w:t>年</w:t>
      </w:r>
      <w:r>
        <w:rPr>
          <w:rFonts w:ascii="宋体" w:hAnsi="宋体"/>
        </w:rPr>
        <w:t>8</w:t>
      </w:r>
      <w:r>
        <w:rPr>
          <w:rFonts w:hint="eastAsia" w:ascii="宋体" w:hAnsi="宋体"/>
        </w:rPr>
        <w:t>月</w:t>
      </w:r>
      <w:r>
        <w:rPr>
          <w:rFonts w:ascii="宋体" w:hAnsi="宋体"/>
        </w:rPr>
        <w:t>10</w:t>
      </w:r>
      <w:r>
        <w:rPr>
          <w:rFonts w:hint="eastAsia" w:ascii="宋体" w:hAnsi="宋体"/>
        </w:rPr>
        <w:t>日中国证券监督管理委员会（以下简称“中国证监会”）证监许可【20</w:t>
      </w:r>
      <w:r>
        <w:rPr>
          <w:rFonts w:ascii="宋体" w:hAnsi="宋体"/>
        </w:rPr>
        <w:t>22</w:t>
      </w:r>
      <w:r>
        <w:rPr>
          <w:rFonts w:hint="eastAsia" w:ascii="宋体" w:hAnsi="宋体"/>
        </w:rPr>
        <w:t>】</w:t>
      </w:r>
      <w:r>
        <w:rPr>
          <w:rFonts w:ascii="宋体" w:hAnsi="宋体"/>
        </w:rPr>
        <w:t>1761</w:t>
      </w:r>
      <w:r>
        <w:rPr>
          <w:rFonts w:hint="eastAsia" w:ascii="宋体" w:hAnsi="宋体"/>
        </w:rPr>
        <w:t>号文准予募集注册。本基金基金合同于202</w:t>
      </w:r>
      <w:r>
        <w:rPr>
          <w:rFonts w:ascii="宋体" w:hAnsi="宋体"/>
        </w:rPr>
        <w:t>3</w:t>
      </w:r>
      <w:r>
        <w:rPr>
          <w:rFonts w:hint="eastAsia" w:ascii="宋体" w:hAnsi="宋体"/>
        </w:rPr>
        <w:t>年</w:t>
      </w:r>
      <w:r>
        <w:rPr>
          <w:rFonts w:ascii="宋体" w:hAnsi="宋体"/>
        </w:rPr>
        <w:t>2</w:t>
      </w:r>
      <w:r>
        <w:rPr>
          <w:rFonts w:hint="eastAsia" w:ascii="宋体" w:hAnsi="宋体"/>
        </w:rPr>
        <w:t>月</w:t>
      </w:r>
      <w:r>
        <w:rPr>
          <w:rFonts w:ascii="宋体" w:hAnsi="宋体"/>
        </w:rPr>
        <w:t>1</w:t>
      </w:r>
      <w:r>
        <w:rPr>
          <w:rFonts w:hint="eastAsia" w:ascii="宋体" w:hAnsi="宋体"/>
        </w:rPr>
        <w:t>日正式生效。</w:t>
      </w:r>
    </w:p>
    <w:p w14:paraId="01EB9F4E">
      <w:pPr>
        <w:ind w:firstLine="420"/>
        <w:rPr>
          <w:rFonts w:ascii="宋体" w:hAnsi="宋体"/>
        </w:rPr>
      </w:pPr>
      <w:r>
        <w:rPr>
          <w:rFonts w:hint="eastAsia" w:ascii="宋体" w:hAnsi="宋体"/>
        </w:rPr>
        <w:t>根据《中华人民共和国证券投资基金法》、《公开募集证券投资基金运作管理办法》和《交银施罗德稳进回报六个月持有期混合型证券投资基金基金合同》（以下简称“基金合同”或“《基金合同》”）的有关规定，交银施罗德稳进回报六个月持有期混合型证券投资基金（以下简称“本基金”）出现了基金合同终止事由，交银施罗德基金管理有限公司（以下简称“基金管理人”或“本基金管理人”）应当在上述事由出现后终止基金合同并依法履行基金财产清算程序，此事项不需召开基金份额持有人大会。</w:t>
      </w:r>
    </w:p>
    <w:p w14:paraId="4DC666CB">
      <w:pPr>
        <w:ind w:firstLine="420"/>
        <w:rPr>
          <w:rFonts w:ascii="宋体"/>
        </w:rPr>
      </w:pPr>
      <w:r>
        <w:rPr>
          <w:rFonts w:hint="eastAsia" w:ascii="宋体" w:hAnsi="宋体"/>
        </w:rPr>
        <w:t>本基金最后运作日为2</w:t>
      </w:r>
      <w:r>
        <w:rPr>
          <w:rFonts w:ascii="宋体" w:hAnsi="宋体"/>
        </w:rPr>
        <w:t>026</w:t>
      </w:r>
      <w:r>
        <w:rPr>
          <w:rFonts w:hint="eastAsia" w:ascii="宋体" w:hAnsi="宋体"/>
        </w:rPr>
        <w:t>年</w:t>
      </w:r>
      <w:r>
        <w:rPr>
          <w:rFonts w:ascii="宋体" w:hAnsi="宋体"/>
        </w:rPr>
        <w:t>4</w:t>
      </w:r>
      <w:r>
        <w:rPr>
          <w:rFonts w:hint="eastAsia" w:ascii="宋体" w:hAnsi="宋体"/>
        </w:rPr>
        <w:t>月</w:t>
      </w:r>
      <w:r>
        <w:rPr>
          <w:rFonts w:ascii="宋体" w:hAnsi="宋体"/>
        </w:rPr>
        <w:t>2</w:t>
      </w:r>
      <w:r>
        <w:rPr>
          <w:rFonts w:hint="eastAsia" w:ascii="宋体" w:hAnsi="宋体"/>
        </w:rPr>
        <w:t>日，自2</w:t>
      </w:r>
      <w:r>
        <w:rPr>
          <w:rFonts w:ascii="宋体" w:hAnsi="宋体"/>
        </w:rPr>
        <w:t>026</w:t>
      </w:r>
      <w:r>
        <w:rPr>
          <w:rFonts w:hint="eastAsia" w:ascii="宋体" w:hAnsi="宋体"/>
        </w:rPr>
        <w:t>年</w:t>
      </w:r>
      <w:r>
        <w:rPr>
          <w:rFonts w:ascii="宋体" w:hAnsi="宋体"/>
        </w:rPr>
        <w:t>4</w:t>
      </w:r>
      <w:r>
        <w:rPr>
          <w:rFonts w:hint="eastAsia" w:ascii="宋体" w:hAnsi="宋体"/>
        </w:rPr>
        <w:t>月</w:t>
      </w:r>
      <w:r>
        <w:rPr>
          <w:rFonts w:ascii="宋体" w:hAnsi="宋体"/>
        </w:rPr>
        <w:t>3</w:t>
      </w:r>
      <w:r>
        <w:rPr>
          <w:rFonts w:hint="eastAsia" w:ascii="宋体" w:hAnsi="宋体"/>
        </w:rPr>
        <w:t>日起进入清算期，由基金管理人交银施罗德基金管理有限公司、基金托管人招商银行股份有限公司、容诚会计师事务所（特殊普通合伙）、上海市通力律师事务所组成基金财产清算小组履行基金财产清算程序，并由容诚会计师事务所（特殊普通合伙）对清算报告进行审计，通力律师事务所对清算报告出具法律意见。</w:t>
      </w:r>
    </w:p>
    <w:p w14:paraId="5F6297A8">
      <w:pPr>
        <w:ind w:firstLine="420"/>
        <w:rPr>
          <w:rFonts w:ascii="宋体"/>
        </w:rPr>
      </w:pPr>
    </w:p>
    <w:p w14:paraId="2630F0C7">
      <w:pPr>
        <w:spacing w:after="312" w:afterLines="100"/>
        <w:rPr>
          <w:rStyle w:val="14"/>
        </w:rPr>
      </w:pPr>
      <w:r>
        <w:rPr>
          <w:rStyle w:val="14"/>
          <w:rFonts w:hint="eastAsia"/>
        </w:rPr>
        <w:t>二、基金概况</w:t>
      </w:r>
    </w:p>
    <w:p w14:paraId="5312EDFA">
      <w:pPr>
        <w:spacing w:before="156" w:beforeLines="50" w:after="156" w:afterLines="50"/>
        <w:rPr>
          <w:rFonts w:ascii="宋体" w:hAnsi="宋体"/>
          <w:b/>
        </w:rPr>
      </w:pPr>
      <w:r>
        <w:rPr>
          <w:rFonts w:ascii="宋体" w:hAnsi="宋体"/>
          <w:b/>
        </w:rPr>
        <w:t>1</w:t>
      </w:r>
      <w:r>
        <w:rPr>
          <w:rFonts w:hint="eastAsia" w:ascii="宋体" w:hAnsi="宋体"/>
          <w:b/>
        </w:rPr>
        <w:t>、基金基本情况</w:t>
      </w:r>
    </w:p>
    <w:tbl>
      <w:tblPr>
        <w:tblStyle w:val="11"/>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4"/>
        <w:gridCol w:w="3720"/>
        <w:gridCol w:w="3685"/>
      </w:tblGrid>
      <w:tr w14:paraId="491EE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4" w:type="dxa"/>
          </w:tcPr>
          <w:p w14:paraId="7E359605">
            <w:pPr>
              <w:keepNext w:val="0"/>
              <w:keepLines w:val="0"/>
              <w:suppressLineNumbers w:val="0"/>
              <w:spacing w:before="0" w:beforeAutospacing="0" w:after="0" w:afterAutospacing="0"/>
              <w:ind w:left="0" w:right="0"/>
              <w:rPr>
                <w:rFonts w:hint="default" w:ascii="宋体"/>
                <w:sz w:val="20"/>
                <w:szCs w:val="20"/>
              </w:rPr>
            </w:pPr>
            <w:r>
              <w:rPr>
                <w:rFonts w:hint="eastAsia" w:ascii="宋体" w:hAnsi="宋体"/>
                <w:sz w:val="20"/>
                <w:szCs w:val="20"/>
              </w:rPr>
              <w:t>基金名称：</w:t>
            </w:r>
          </w:p>
        </w:tc>
        <w:tc>
          <w:tcPr>
            <w:tcW w:w="7405" w:type="dxa"/>
            <w:gridSpan w:val="2"/>
          </w:tcPr>
          <w:p w14:paraId="1498F291">
            <w:pPr>
              <w:keepNext w:val="0"/>
              <w:keepLines w:val="0"/>
              <w:suppressLineNumbers w:val="0"/>
              <w:spacing w:before="0" w:beforeAutospacing="0" w:after="0" w:afterAutospacing="0" w:line="315" w:lineRule="atLeast"/>
              <w:ind w:left="0" w:right="0"/>
              <w:rPr>
                <w:rFonts w:hint="default" w:ascii="宋体"/>
                <w:sz w:val="20"/>
                <w:szCs w:val="20"/>
              </w:rPr>
            </w:pPr>
            <w:r>
              <w:rPr>
                <w:rFonts w:hint="eastAsia" w:ascii="宋体" w:hAnsi="宋体"/>
                <w:sz w:val="20"/>
                <w:szCs w:val="20"/>
              </w:rPr>
              <w:t>交银施罗德稳进回报六个月持有期混合型证券投资基金</w:t>
            </w:r>
          </w:p>
        </w:tc>
      </w:tr>
      <w:tr w14:paraId="4CEED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4" w:type="dxa"/>
          </w:tcPr>
          <w:p w14:paraId="228F1843">
            <w:pPr>
              <w:keepNext w:val="0"/>
              <w:keepLines w:val="0"/>
              <w:suppressLineNumbers w:val="0"/>
              <w:spacing w:before="0" w:beforeAutospacing="0" w:after="0" w:afterAutospacing="0"/>
              <w:ind w:left="0" w:right="0"/>
              <w:rPr>
                <w:rFonts w:hint="default" w:ascii="宋体"/>
                <w:sz w:val="20"/>
                <w:szCs w:val="20"/>
              </w:rPr>
            </w:pPr>
            <w:r>
              <w:rPr>
                <w:rFonts w:hint="eastAsia" w:ascii="宋体" w:hAnsi="宋体"/>
                <w:sz w:val="20"/>
                <w:szCs w:val="20"/>
              </w:rPr>
              <w:t>基金简称：</w:t>
            </w:r>
          </w:p>
        </w:tc>
        <w:tc>
          <w:tcPr>
            <w:tcW w:w="7405" w:type="dxa"/>
            <w:gridSpan w:val="2"/>
          </w:tcPr>
          <w:p w14:paraId="23FE083B">
            <w:pPr>
              <w:keepNext w:val="0"/>
              <w:keepLines w:val="0"/>
              <w:suppressLineNumbers w:val="0"/>
              <w:spacing w:before="0" w:beforeAutospacing="0" w:after="0" w:afterAutospacing="0" w:line="315" w:lineRule="atLeast"/>
              <w:ind w:left="0" w:right="0"/>
              <w:rPr>
                <w:rFonts w:hint="default" w:ascii="宋体"/>
                <w:sz w:val="20"/>
                <w:szCs w:val="20"/>
              </w:rPr>
            </w:pPr>
            <w:r>
              <w:rPr>
                <w:rFonts w:hint="eastAsia"/>
                <w:sz w:val="20"/>
                <w:szCs w:val="24"/>
                <w:lang w:eastAsia="zh-Hans"/>
              </w:rPr>
              <w:t>交银</w:t>
            </w:r>
            <w:r>
              <w:rPr>
                <w:rFonts w:hint="eastAsia"/>
                <w:sz w:val="20"/>
                <w:szCs w:val="24"/>
              </w:rPr>
              <w:t>稳进回报六个月持有期混合</w:t>
            </w:r>
          </w:p>
        </w:tc>
      </w:tr>
      <w:tr w14:paraId="41CC1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4" w:type="dxa"/>
          </w:tcPr>
          <w:p w14:paraId="67CCD2F9">
            <w:pPr>
              <w:keepNext w:val="0"/>
              <w:keepLines w:val="0"/>
              <w:suppressLineNumbers w:val="0"/>
              <w:spacing w:before="0" w:beforeAutospacing="0" w:after="0" w:afterAutospacing="0"/>
              <w:ind w:left="0" w:right="0"/>
              <w:rPr>
                <w:rFonts w:hint="default" w:ascii="宋体"/>
                <w:sz w:val="20"/>
                <w:szCs w:val="20"/>
              </w:rPr>
            </w:pPr>
            <w:r>
              <w:rPr>
                <w:rFonts w:hint="eastAsia" w:ascii="宋体" w:hAnsi="宋体"/>
                <w:sz w:val="20"/>
                <w:szCs w:val="20"/>
              </w:rPr>
              <w:t>基金交易代码：</w:t>
            </w:r>
          </w:p>
        </w:tc>
        <w:tc>
          <w:tcPr>
            <w:tcW w:w="7405" w:type="dxa"/>
            <w:gridSpan w:val="2"/>
          </w:tcPr>
          <w:p w14:paraId="7EAA4844">
            <w:pPr>
              <w:keepNext w:val="0"/>
              <w:keepLines w:val="0"/>
              <w:suppressLineNumbers w:val="0"/>
              <w:spacing w:before="0" w:beforeAutospacing="0" w:after="0" w:afterAutospacing="0" w:line="315" w:lineRule="atLeast"/>
              <w:ind w:left="0" w:right="0"/>
              <w:rPr>
                <w:rFonts w:hint="default" w:ascii="宋体" w:hAnsi="宋体"/>
                <w:sz w:val="20"/>
                <w:szCs w:val="20"/>
              </w:rPr>
            </w:pPr>
            <w:r>
              <w:rPr>
                <w:rFonts w:hint="default"/>
                <w:sz w:val="20"/>
                <w:szCs w:val="20"/>
                <w:lang w:eastAsia="zh-Hans"/>
              </w:rPr>
              <w:t>016545</w:t>
            </w:r>
          </w:p>
        </w:tc>
      </w:tr>
      <w:tr w14:paraId="32600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4" w:type="dxa"/>
          </w:tcPr>
          <w:p w14:paraId="5FF49076">
            <w:pPr>
              <w:keepNext w:val="0"/>
              <w:keepLines w:val="0"/>
              <w:suppressLineNumbers w:val="0"/>
              <w:spacing w:before="0" w:beforeAutospacing="0" w:after="0" w:afterAutospacing="0"/>
              <w:ind w:left="0" w:right="0"/>
              <w:rPr>
                <w:rFonts w:hint="default" w:ascii="宋体"/>
                <w:sz w:val="20"/>
                <w:szCs w:val="20"/>
              </w:rPr>
            </w:pPr>
            <w:r>
              <w:rPr>
                <w:rFonts w:hint="eastAsia" w:ascii="宋体" w:hAnsi="宋体"/>
                <w:sz w:val="20"/>
                <w:szCs w:val="20"/>
              </w:rPr>
              <w:t>基金运作方式：</w:t>
            </w:r>
          </w:p>
        </w:tc>
        <w:tc>
          <w:tcPr>
            <w:tcW w:w="7405" w:type="dxa"/>
            <w:gridSpan w:val="2"/>
          </w:tcPr>
          <w:p w14:paraId="4DAD7E21">
            <w:pPr>
              <w:keepNext w:val="0"/>
              <w:keepLines w:val="0"/>
              <w:suppressLineNumbers w:val="0"/>
              <w:spacing w:before="0" w:beforeAutospacing="0" w:after="0" w:afterAutospacing="0" w:line="315" w:lineRule="atLeast"/>
              <w:ind w:left="0" w:right="0"/>
              <w:rPr>
                <w:rFonts w:hint="default" w:ascii="宋体"/>
                <w:sz w:val="20"/>
                <w:szCs w:val="20"/>
              </w:rPr>
            </w:pPr>
            <w:r>
              <w:rPr>
                <w:rFonts w:hint="eastAsia"/>
                <w:sz w:val="20"/>
                <w:szCs w:val="20"/>
                <w:lang w:eastAsia="zh-Hans"/>
              </w:rPr>
              <w:t>契约型开放式</w:t>
            </w:r>
          </w:p>
        </w:tc>
      </w:tr>
      <w:tr w14:paraId="1F001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4" w:type="dxa"/>
          </w:tcPr>
          <w:p w14:paraId="11A16B65">
            <w:pPr>
              <w:keepNext w:val="0"/>
              <w:keepLines w:val="0"/>
              <w:suppressLineNumbers w:val="0"/>
              <w:spacing w:before="0" w:beforeAutospacing="0" w:after="0" w:afterAutospacing="0"/>
              <w:ind w:left="0" w:right="0"/>
              <w:rPr>
                <w:rFonts w:hint="default" w:ascii="宋体"/>
                <w:sz w:val="20"/>
                <w:szCs w:val="20"/>
              </w:rPr>
            </w:pPr>
            <w:r>
              <w:rPr>
                <w:rFonts w:hint="eastAsia" w:ascii="宋体" w:hAnsi="宋体"/>
                <w:sz w:val="20"/>
                <w:szCs w:val="20"/>
              </w:rPr>
              <w:t>基金合同生效日：</w:t>
            </w:r>
          </w:p>
        </w:tc>
        <w:tc>
          <w:tcPr>
            <w:tcW w:w="7405" w:type="dxa"/>
            <w:gridSpan w:val="2"/>
          </w:tcPr>
          <w:p w14:paraId="7480AA41">
            <w:pPr>
              <w:keepNext w:val="0"/>
              <w:keepLines w:val="0"/>
              <w:suppressLineNumbers w:val="0"/>
              <w:spacing w:before="0" w:beforeAutospacing="0" w:after="0" w:afterAutospacing="0" w:line="315" w:lineRule="atLeast"/>
              <w:ind w:left="0" w:right="0"/>
              <w:rPr>
                <w:rFonts w:hint="default" w:ascii="宋体"/>
                <w:sz w:val="20"/>
                <w:szCs w:val="20"/>
              </w:rPr>
            </w:pPr>
            <w:r>
              <w:rPr>
                <w:rFonts w:hint="eastAsia"/>
                <w:sz w:val="20"/>
                <w:szCs w:val="20"/>
                <w:lang w:eastAsia="zh-Hans"/>
              </w:rPr>
              <w:t>202</w:t>
            </w:r>
            <w:r>
              <w:rPr>
                <w:rFonts w:hint="default"/>
                <w:sz w:val="20"/>
                <w:szCs w:val="20"/>
                <w:lang w:eastAsia="zh-Hans"/>
              </w:rPr>
              <w:t>3</w:t>
            </w:r>
            <w:r>
              <w:rPr>
                <w:rFonts w:hint="eastAsia"/>
                <w:sz w:val="20"/>
                <w:szCs w:val="20"/>
                <w:lang w:eastAsia="zh-Hans"/>
              </w:rPr>
              <w:t>年</w:t>
            </w:r>
            <w:r>
              <w:rPr>
                <w:rFonts w:hint="default"/>
                <w:sz w:val="20"/>
                <w:szCs w:val="20"/>
                <w:lang w:eastAsia="zh-Hans"/>
              </w:rPr>
              <w:t>2</w:t>
            </w:r>
            <w:r>
              <w:rPr>
                <w:rFonts w:hint="eastAsia"/>
                <w:sz w:val="20"/>
                <w:szCs w:val="20"/>
                <w:lang w:eastAsia="zh-Hans"/>
              </w:rPr>
              <w:t>月</w:t>
            </w:r>
            <w:r>
              <w:rPr>
                <w:rFonts w:hint="default"/>
                <w:sz w:val="20"/>
                <w:szCs w:val="20"/>
                <w:lang w:eastAsia="zh-Hans"/>
              </w:rPr>
              <w:t>1</w:t>
            </w:r>
            <w:r>
              <w:rPr>
                <w:rFonts w:hint="eastAsia"/>
                <w:sz w:val="20"/>
                <w:szCs w:val="20"/>
                <w:lang w:eastAsia="zh-Hans"/>
              </w:rPr>
              <w:t>日</w:t>
            </w:r>
          </w:p>
        </w:tc>
      </w:tr>
      <w:tr w14:paraId="7D4D7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4" w:type="dxa"/>
          </w:tcPr>
          <w:p w14:paraId="54CA1E87">
            <w:pPr>
              <w:keepNext w:val="0"/>
              <w:keepLines w:val="0"/>
              <w:suppressLineNumbers w:val="0"/>
              <w:spacing w:before="0" w:beforeAutospacing="0" w:after="0" w:afterAutospacing="0"/>
              <w:ind w:left="0" w:right="0"/>
              <w:rPr>
                <w:rFonts w:hint="default" w:ascii="宋体"/>
                <w:sz w:val="20"/>
                <w:szCs w:val="20"/>
              </w:rPr>
            </w:pPr>
            <w:r>
              <w:rPr>
                <w:rFonts w:hint="eastAsia" w:ascii="宋体" w:hAnsi="宋体"/>
                <w:sz w:val="20"/>
                <w:szCs w:val="20"/>
              </w:rPr>
              <w:t>基金管理人名称：</w:t>
            </w:r>
          </w:p>
        </w:tc>
        <w:tc>
          <w:tcPr>
            <w:tcW w:w="7405" w:type="dxa"/>
            <w:gridSpan w:val="2"/>
          </w:tcPr>
          <w:p w14:paraId="673C81FA">
            <w:pPr>
              <w:keepNext w:val="0"/>
              <w:keepLines w:val="0"/>
              <w:suppressLineNumbers w:val="0"/>
              <w:spacing w:before="0" w:beforeAutospacing="0" w:after="0" w:afterAutospacing="0" w:line="315" w:lineRule="atLeast"/>
              <w:ind w:left="0" w:right="0"/>
              <w:rPr>
                <w:rFonts w:hint="default" w:ascii="宋体"/>
                <w:sz w:val="20"/>
                <w:szCs w:val="20"/>
              </w:rPr>
            </w:pPr>
            <w:r>
              <w:rPr>
                <w:rFonts w:hint="eastAsia"/>
                <w:sz w:val="20"/>
                <w:szCs w:val="20"/>
                <w:lang w:eastAsia="zh-Hans"/>
              </w:rPr>
              <w:t>交银施罗德基金管理有限公司</w:t>
            </w:r>
          </w:p>
        </w:tc>
      </w:tr>
      <w:tr w14:paraId="2B548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4" w:type="dxa"/>
          </w:tcPr>
          <w:p w14:paraId="620E10AF">
            <w:pPr>
              <w:keepNext w:val="0"/>
              <w:keepLines w:val="0"/>
              <w:suppressLineNumbers w:val="0"/>
              <w:spacing w:before="0" w:beforeAutospacing="0" w:after="0" w:afterAutospacing="0"/>
              <w:ind w:left="0" w:right="0"/>
              <w:rPr>
                <w:rFonts w:hint="default" w:ascii="宋体"/>
                <w:sz w:val="20"/>
                <w:szCs w:val="20"/>
              </w:rPr>
            </w:pPr>
            <w:r>
              <w:rPr>
                <w:rFonts w:hint="eastAsia" w:ascii="宋体" w:hAnsi="宋体"/>
                <w:sz w:val="20"/>
                <w:szCs w:val="20"/>
              </w:rPr>
              <w:t>基金托管人名称：</w:t>
            </w:r>
          </w:p>
        </w:tc>
        <w:tc>
          <w:tcPr>
            <w:tcW w:w="7405" w:type="dxa"/>
            <w:gridSpan w:val="2"/>
          </w:tcPr>
          <w:p w14:paraId="0F99BA42">
            <w:pPr>
              <w:keepNext w:val="0"/>
              <w:keepLines w:val="0"/>
              <w:suppressLineNumbers w:val="0"/>
              <w:spacing w:before="0" w:beforeAutospacing="0" w:after="0" w:afterAutospacing="0" w:line="315" w:lineRule="atLeast"/>
              <w:ind w:left="0" w:right="0"/>
              <w:rPr>
                <w:rFonts w:hint="default" w:ascii="宋体"/>
                <w:sz w:val="20"/>
                <w:szCs w:val="20"/>
              </w:rPr>
            </w:pPr>
            <w:r>
              <w:rPr>
                <w:rFonts w:hint="eastAsia"/>
                <w:sz w:val="20"/>
                <w:szCs w:val="20"/>
                <w:lang w:eastAsia="zh-Hans"/>
              </w:rPr>
              <w:t>招商银行股份有限公司</w:t>
            </w:r>
          </w:p>
        </w:tc>
      </w:tr>
      <w:tr w14:paraId="1BC03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804" w:type="dxa"/>
            <w:vAlign w:val="center"/>
          </w:tcPr>
          <w:p w14:paraId="52CB67F0">
            <w:pPr>
              <w:keepNext w:val="0"/>
              <w:keepLines w:val="0"/>
              <w:suppressLineNumbers w:val="0"/>
              <w:spacing w:before="0" w:beforeAutospacing="0" w:after="0" w:afterAutospacing="0" w:line="315" w:lineRule="atLeast"/>
              <w:ind w:left="0" w:right="0"/>
              <w:jc w:val="left"/>
              <w:rPr>
                <w:rFonts w:hint="default" w:ascii="宋体" w:hAnsi="宋体"/>
                <w:sz w:val="20"/>
                <w:szCs w:val="20"/>
              </w:rPr>
            </w:pPr>
            <w:r>
              <w:rPr>
                <w:rFonts w:hint="eastAsia"/>
                <w:sz w:val="20"/>
                <w:szCs w:val="20"/>
              </w:rPr>
              <w:t>下属分级基金的基金简称</w:t>
            </w:r>
            <w:r>
              <w:rPr>
                <w:rFonts w:hint="eastAsia" w:ascii="宋体" w:hAnsi="宋体"/>
                <w:sz w:val="20"/>
                <w:szCs w:val="20"/>
              </w:rPr>
              <w:t>：</w:t>
            </w:r>
          </w:p>
        </w:tc>
        <w:tc>
          <w:tcPr>
            <w:tcW w:w="3720" w:type="dxa"/>
            <w:vAlign w:val="center"/>
          </w:tcPr>
          <w:p w14:paraId="01B29E94">
            <w:pPr>
              <w:keepNext w:val="0"/>
              <w:keepLines w:val="0"/>
              <w:suppressLineNumbers w:val="0"/>
              <w:spacing w:before="0" w:beforeAutospacing="0" w:after="0" w:afterAutospacing="0" w:line="315" w:lineRule="atLeast"/>
              <w:ind w:left="0" w:right="0"/>
              <w:jc w:val="left"/>
              <w:rPr>
                <w:rFonts w:hint="default"/>
                <w:sz w:val="20"/>
                <w:szCs w:val="20"/>
                <w:lang w:eastAsia="zh-Hans"/>
              </w:rPr>
            </w:pPr>
            <w:r>
              <w:rPr>
                <w:rFonts w:hint="eastAsia"/>
                <w:sz w:val="20"/>
                <w:szCs w:val="20"/>
                <w:lang w:eastAsia="zh-Hans"/>
              </w:rPr>
              <w:t>交银稳进回报六个月持有期混合A</w:t>
            </w:r>
          </w:p>
        </w:tc>
        <w:tc>
          <w:tcPr>
            <w:tcW w:w="3685" w:type="dxa"/>
            <w:vAlign w:val="center"/>
          </w:tcPr>
          <w:p w14:paraId="3DC4DCE5">
            <w:pPr>
              <w:keepNext w:val="0"/>
              <w:keepLines w:val="0"/>
              <w:suppressLineNumbers w:val="0"/>
              <w:spacing w:before="0" w:beforeAutospacing="0" w:after="0" w:afterAutospacing="0" w:line="315" w:lineRule="atLeast"/>
              <w:ind w:left="0" w:right="0"/>
              <w:jc w:val="left"/>
              <w:rPr>
                <w:rFonts w:hint="default"/>
                <w:sz w:val="20"/>
                <w:szCs w:val="20"/>
                <w:lang w:eastAsia="zh-Hans"/>
              </w:rPr>
            </w:pPr>
            <w:r>
              <w:rPr>
                <w:rFonts w:hint="eastAsia"/>
                <w:sz w:val="20"/>
                <w:szCs w:val="20"/>
                <w:lang w:eastAsia="zh-Hans"/>
              </w:rPr>
              <w:t>交银稳进回报六个月持有期混合</w:t>
            </w:r>
            <w:r>
              <w:rPr>
                <w:rFonts w:hint="eastAsia"/>
                <w:sz w:val="20"/>
                <w:szCs w:val="20"/>
              </w:rPr>
              <w:t>C</w:t>
            </w:r>
          </w:p>
        </w:tc>
      </w:tr>
      <w:tr w14:paraId="43F59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4" w:type="dxa"/>
            <w:vAlign w:val="center"/>
          </w:tcPr>
          <w:p w14:paraId="79F86598">
            <w:pPr>
              <w:keepNext w:val="0"/>
              <w:keepLines w:val="0"/>
              <w:suppressLineNumbers w:val="0"/>
              <w:spacing w:before="0" w:beforeAutospacing="0" w:after="0" w:afterAutospacing="0" w:line="315" w:lineRule="atLeast"/>
              <w:ind w:left="0" w:right="0"/>
              <w:jc w:val="left"/>
              <w:rPr>
                <w:rFonts w:hint="default" w:ascii="宋体" w:hAnsi="宋体"/>
                <w:sz w:val="20"/>
                <w:szCs w:val="20"/>
              </w:rPr>
            </w:pPr>
            <w:r>
              <w:rPr>
                <w:rFonts w:hint="eastAsia"/>
                <w:sz w:val="20"/>
                <w:szCs w:val="20"/>
              </w:rPr>
              <w:t>下属分级基金的交易代码</w:t>
            </w:r>
            <w:r>
              <w:rPr>
                <w:rFonts w:hint="eastAsia" w:ascii="宋体" w:hAnsi="宋体"/>
                <w:sz w:val="20"/>
                <w:szCs w:val="20"/>
              </w:rPr>
              <w:t>：</w:t>
            </w:r>
          </w:p>
        </w:tc>
        <w:tc>
          <w:tcPr>
            <w:tcW w:w="3720" w:type="dxa"/>
            <w:vAlign w:val="center"/>
          </w:tcPr>
          <w:p w14:paraId="116CCCF3">
            <w:pPr>
              <w:keepNext w:val="0"/>
              <w:keepLines w:val="0"/>
              <w:suppressLineNumbers w:val="0"/>
              <w:spacing w:before="0" w:beforeAutospacing="0" w:after="0" w:afterAutospacing="0" w:line="315" w:lineRule="atLeast"/>
              <w:ind w:left="0" w:right="0"/>
              <w:jc w:val="left"/>
              <w:rPr>
                <w:rFonts w:hint="default"/>
                <w:sz w:val="20"/>
                <w:szCs w:val="20"/>
                <w:lang w:eastAsia="zh-Hans"/>
              </w:rPr>
            </w:pPr>
            <w:r>
              <w:rPr>
                <w:rFonts w:hint="default"/>
                <w:sz w:val="20"/>
                <w:szCs w:val="20"/>
                <w:lang w:eastAsia="zh-Hans"/>
              </w:rPr>
              <w:t>016545</w:t>
            </w:r>
          </w:p>
        </w:tc>
        <w:tc>
          <w:tcPr>
            <w:tcW w:w="3685" w:type="dxa"/>
            <w:vAlign w:val="center"/>
          </w:tcPr>
          <w:p w14:paraId="7117AC96">
            <w:pPr>
              <w:keepNext w:val="0"/>
              <w:keepLines w:val="0"/>
              <w:suppressLineNumbers w:val="0"/>
              <w:spacing w:before="0" w:beforeAutospacing="0" w:after="0" w:afterAutospacing="0" w:line="315" w:lineRule="atLeast"/>
              <w:ind w:left="0" w:right="0"/>
              <w:jc w:val="left"/>
              <w:rPr>
                <w:rFonts w:hint="default"/>
                <w:sz w:val="20"/>
                <w:szCs w:val="20"/>
                <w:lang w:eastAsia="zh-Hans"/>
              </w:rPr>
            </w:pPr>
            <w:r>
              <w:rPr>
                <w:rFonts w:hint="default"/>
                <w:sz w:val="20"/>
                <w:szCs w:val="20"/>
                <w:lang w:eastAsia="zh-Hans"/>
              </w:rPr>
              <w:t>016546</w:t>
            </w:r>
          </w:p>
        </w:tc>
      </w:tr>
    </w:tbl>
    <w:p w14:paraId="35B535AA">
      <w:pPr>
        <w:spacing w:before="156" w:beforeLines="50" w:after="156" w:afterLines="50"/>
        <w:rPr>
          <w:rFonts w:ascii="宋体" w:hAnsi="宋体"/>
          <w:b/>
        </w:rPr>
      </w:pPr>
      <w:r>
        <w:rPr>
          <w:rFonts w:ascii="宋体" w:hAnsi="宋体"/>
          <w:b/>
        </w:rPr>
        <w:t>2</w:t>
      </w:r>
      <w:r>
        <w:rPr>
          <w:rFonts w:hint="eastAsia" w:ascii="宋体" w:hAnsi="宋体"/>
          <w:b/>
        </w:rPr>
        <w:t>、基金产品说明</w:t>
      </w:r>
    </w:p>
    <w:tbl>
      <w:tblPr>
        <w:tblStyle w:val="11"/>
        <w:tblW w:w="83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9"/>
        <w:gridCol w:w="6517"/>
      </w:tblGrid>
      <w:tr w14:paraId="5C28E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9" w:type="dxa"/>
          </w:tcPr>
          <w:p w14:paraId="50179DE0">
            <w:pPr>
              <w:keepNext w:val="0"/>
              <w:keepLines w:val="0"/>
              <w:suppressLineNumbers w:val="0"/>
              <w:spacing w:before="0" w:beforeAutospacing="0" w:after="0" w:afterAutospacing="0"/>
              <w:ind w:left="0" w:right="0"/>
              <w:rPr>
                <w:rFonts w:hint="default" w:ascii="宋体"/>
                <w:sz w:val="20"/>
                <w:szCs w:val="20"/>
              </w:rPr>
            </w:pPr>
            <w:r>
              <w:rPr>
                <w:rFonts w:hint="eastAsia" w:ascii="宋体" w:hAnsi="宋体"/>
                <w:sz w:val="20"/>
                <w:szCs w:val="20"/>
              </w:rPr>
              <w:t>投资目标</w:t>
            </w:r>
          </w:p>
        </w:tc>
        <w:tc>
          <w:tcPr>
            <w:tcW w:w="6517" w:type="dxa"/>
          </w:tcPr>
          <w:p w14:paraId="1481A420">
            <w:pPr>
              <w:keepNext w:val="0"/>
              <w:keepLines w:val="0"/>
              <w:suppressLineNumbers w:val="0"/>
              <w:spacing w:before="0" w:beforeAutospacing="0" w:after="0" w:afterAutospacing="0"/>
              <w:ind w:left="0" w:right="0"/>
              <w:jc w:val="left"/>
              <w:rPr>
                <w:rFonts w:hint="default"/>
                <w:sz w:val="20"/>
                <w:szCs w:val="20"/>
              </w:rPr>
            </w:pPr>
            <w:r>
              <w:rPr>
                <w:rFonts w:hint="eastAsia" w:ascii="宋体" w:hAnsi="宋体" w:cs="宋体"/>
                <w:sz w:val="20"/>
                <w:szCs w:val="20"/>
              </w:rPr>
              <w:t>在合理控制风险并保持基金资产良好流动性的前提下，追求超越业绩比较基准的投资回报，控制波动率，力争实现基金资产的长期稳健增值。</w:t>
            </w:r>
          </w:p>
        </w:tc>
      </w:tr>
      <w:tr w14:paraId="7AB3D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9" w:type="dxa"/>
          </w:tcPr>
          <w:p w14:paraId="69B586ED">
            <w:pPr>
              <w:keepNext w:val="0"/>
              <w:keepLines w:val="0"/>
              <w:suppressLineNumbers w:val="0"/>
              <w:spacing w:before="0" w:beforeAutospacing="0" w:after="0" w:afterAutospacing="0"/>
              <w:ind w:left="0" w:right="0"/>
              <w:rPr>
                <w:rFonts w:hint="default" w:ascii="宋体"/>
                <w:sz w:val="20"/>
                <w:szCs w:val="20"/>
              </w:rPr>
            </w:pPr>
            <w:r>
              <w:rPr>
                <w:rFonts w:hint="eastAsia" w:ascii="宋体" w:hAnsi="宋体"/>
                <w:sz w:val="20"/>
                <w:szCs w:val="20"/>
              </w:rPr>
              <w:t>投资策略</w:t>
            </w:r>
          </w:p>
        </w:tc>
        <w:tc>
          <w:tcPr>
            <w:tcW w:w="6517" w:type="dxa"/>
          </w:tcPr>
          <w:p w14:paraId="2D948E13">
            <w:pPr>
              <w:keepNext w:val="0"/>
              <w:keepLines w:val="0"/>
              <w:suppressLineNumbers w:val="0"/>
              <w:spacing w:before="0" w:beforeAutospacing="0" w:after="0" w:afterAutospacing="0"/>
              <w:ind w:left="0" w:right="0"/>
              <w:jc w:val="left"/>
              <w:rPr>
                <w:rFonts w:hint="default"/>
                <w:sz w:val="20"/>
                <w:szCs w:val="20"/>
              </w:rPr>
            </w:pPr>
            <w:r>
              <w:rPr>
                <w:rFonts w:hint="eastAsia" w:ascii="宋体" w:hAnsi="宋体" w:cs="宋体"/>
                <w:sz w:val="20"/>
                <w:szCs w:val="20"/>
              </w:rPr>
              <w:t>本基金充分发挥基金管理人的研究优势，在分析和判断宏观经济周期和金融市场运行趋势的基础上，运用修正后的投资时钟分析框架，自上而下调整基金大类资产配置，确定债券组合久期和债券类别配置；在严谨深入的股票和债券研究分析基础上，自下而上精选个股和个券；在保持总体风险水平相对稳定的基础上，力争获取投资组合的较高回报。</w:t>
            </w:r>
          </w:p>
        </w:tc>
      </w:tr>
      <w:tr w14:paraId="574AF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9" w:type="dxa"/>
          </w:tcPr>
          <w:p w14:paraId="4E34F467">
            <w:pPr>
              <w:keepNext w:val="0"/>
              <w:keepLines w:val="0"/>
              <w:suppressLineNumbers w:val="0"/>
              <w:spacing w:before="0" w:beforeAutospacing="0" w:after="0" w:afterAutospacing="0"/>
              <w:ind w:left="0" w:right="0"/>
              <w:rPr>
                <w:rFonts w:hint="default" w:ascii="宋体"/>
                <w:sz w:val="20"/>
                <w:szCs w:val="20"/>
              </w:rPr>
            </w:pPr>
            <w:r>
              <w:rPr>
                <w:rFonts w:hint="eastAsia" w:ascii="宋体" w:hAnsi="宋体"/>
                <w:sz w:val="20"/>
                <w:szCs w:val="20"/>
              </w:rPr>
              <w:t>业绩比较基准</w:t>
            </w:r>
          </w:p>
        </w:tc>
        <w:tc>
          <w:tcPr>
            <w:tcW w:w="6517" w:type="dxa"/>
          </w:tcPr>
          <w:p w14:paraId="31958422">
            <w:pPr>
              <w:keepNext w:val="0"/>
              <w:keepLines w:val="0"/>
              <w:suppressLineNumbers w:val="0"/>
              <w:spacing w:before="0" w:beforeAutospacing="0" w:after="0" w:afterAutospacing="0"/>
              <w:ind w:left="0" w:right="0"/>
              <w:jc w:val="left"/>
              <w:rPr>
                <w:rFonts w:hint="default"/>
                <w:sz w:val="20"/>
                <w:szCs w:val="20"/>
              </w:rPr>
            </w:pPr>
            <w:r>
              <w:rPr>
                <w:rFonts w:hint="eastAsia" w:ascii="宋体" w:hAnsi="宋体" w:cs="宋体"/>
                <w:sz w:val="20"/>
                <w:szCs w:val="20"/>
              </w:rPr>
              <w:t>沪深300指数收益率×15%+恒生指数收益率×5%+中证综合债券指数收益率×80%</w:t>
            </w:r>
          </w:p>
        </w:tc>
      </w:tr>
      <w:tr w14:paraId="44C62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9" w:type="dxa"/>
          </w:tcPr>
          <w:p w14:paraId="42497FA3">
            <w:pPr>
              <w:keepNext w:val="0"/>
              <w:keepLines w:val="0"/>
              <w:suppressLineNumbers w:val="0"/>
              <w:spacing w:before="0" w:beforeAutospacing="0" w:after="0" w:afterAutospacing="0"/>
              <w:ind w:left="0" w:right="0"/>
              <w:rPr>
                <w:rFonts w:hint="default" w:ascii="宋体"/>
                <w:sz w:val="20"/>
                <w:szCs w:val="20"/>
              </w:rPr>
            </w:pPr>
            <w:r>
              <w:rPr>
                <w:rFonts w:hint="eastAsia" w:ascii="宋体" w:hAnsi="宋体"/>
                <w:sz w:val="20"/>
                <w:szCs w:val="20"/>
              </w:rPr>
              <w:t>风险收益特征</w:t>
            </w:r>
          </w:p>
        </w:tc>
        <w:tc>
          <w:tcPr>
            <w:tcW w:w="6517" w:type="dxa"/>
          </w:tcPr>
          <w:p w14:paraId="490A08C4">
            <w:pPr>
              <w:keepNext w:val="0"/>
              <w:keepLines w:val="0"/>
              <w:suppressLineNumbers w:val="0"/>
              <w:spacing w:before="0" w:beforeAutospacing="0" w:after="0" w:afterAutospacing="0"/>
              <w:ind w:left="0" w:right="0"/>
              <w:jc w:val="left"/>
              <w:rPr>
                <w:rFonts w:hint="default"/>
                <w:sz w:val="20"/>
                <w:szCs w:val="20"/>
              </w:rPr>
            </w:pPr>
            <w:r>
              <w:rPr>
                <w:rFonts w:hint="eastAsia" w:ascii="宋体" w:hAnsi="宋体" w:cs="宋体"/>
                <w:sz w:val="20"/>
                <w:szCs w:val="20"/>
              </w:rPr>
              <w:t>本基金是一只混合型基金，其预期风险和预期收益理论上高于债券型基金和货币市场基金，低于股票型基金。</w:t>
            </w:r>
            <w:r>
              <w:rPr>
                <w:rFonts w:hint="eastAsia" w:ascii="宋体" w:hAnsi="宋体" w:cs="宋体"/>
                <w:sz w:val="20"/>
                <w:szCs w:val="20"/>
              </w:rPr>
              <w:br w:type="textWrapping"/>
            </w:r>
            <w:r>
              <w:rPr>
                <w:rFonts w:hint="eastAsia" w:ascii="宋体" w:hAnsi="宋体" w:cs="宋体"/>
                <w:sz w:val="20"/>
                <w:szCs w:val="20"/>
              </w:rPr>
              <w:t>本基金可投资港股通标的股票，会面临港股通机制下因投资环境、投资标的、市场制度以及交易规则等差异带来的特有风险。</w:t>
            </w:r>
          </w:p>
        </w:tc>
      </w:tr>
    </w:tbl>
    <w:p w14:paraId="476AA6EA">
      <w:pPr>
        <w:rPr>
          <w:rFonts w:ascii="宋体"/>
        </w:rPr>
      </w:pPr>
    </w:p>
    <w:p w14:paraId="4F71A281">
      <w:pPr>
        <w:spacing w:after="312" w:afterLines="100"/>
        <w:rPr>
          <w:rStyle w:val="14"/>
        </w:rPr>
      </w:pPr>
      <w:r>
        <w:rPr>
          <w:rStyle w:val="14"/>
          <w:rFonts w:hint="eastAsia"/>
        </w:rPr>
        <w:t>三、财务会计报告</w:t>
      </w:r>
    </w:p>
    <w:p w14:paraId="4AD8EBFE">
      <w:pPr>
        <w:spacing w:after="156" w:afterLines="50"/>
        <w:rPr>
          <w:rFonts w:ascii="宋体"/>
          <w:b/>
        </w:rPr>
      </w:pPr>
      <w:r>
        <w:rPr>
          <w:rFonts w:hint="eastAsia" w:ascii="宋体" w:hAnsi="宋体"/>
          <w:b/>
        </w:rPr>
        <w:t>资产负债表（经审计）</w:t>
      </w:r>
    </w:p>
    <w:p w14:paraId="32CBC187">
      <w:pPr>
        <w:rPr>
          <w:rFonts w:ascii="宋体"/>
        </w:rPr>
      </w:pPr>
      <w:r>
        <w:rPr>
          <w:rFonts w:hint="eastAsia" w:ascii="宋体" w:hAnsi="宋体"/>
        </w:rPr>
        <w:t>会计主体：交银施罗德稳进回报六个月持有期混合型证券投资基金</w:t>
      </w:r>
    </w:p>
    <w:p w14:paraId="095944D9">
      <w:pPr>
        <w:rPr>
          <w:rFonts w:ascii="宋体" w:hAnsi="宋体"/>
        </w:rPr>
      </w:pPr>
      <w:r>
        <w:rPr>
          <w:rFonts w:hint="eastAsia" w:ascii="宋体" w:hAnsi="宋体"/>
        </w:rPr>
        <w:t>最后运作日：202</w:t>
      </w:r>
      <w:r>
        <w:rPr>
          <w:rFonts w:ascii="宋体" w:hAnsi="宋体"/>
        </w:rPr>
        <w:t>6</w:t>
      </w:r>
      <w:r>
        <w:rPr>
          <w:rFonts w:hint="eastAsia" w:ascii="宋体" w:hAnsi="宋体"/>
        </w:rPr>
        <w:t>年</w:t>
      </w:r>
      <w:r>
        <w:rPr>
          <w:rFonts w:ascii="宋体" w:hAnsi="宋体"/>
        </w:rPr>
        <w:t>4</w:t>
      </w:r>
      <w:r>
        <w:rPr>
          <w:rFonts w:hint="eastAsia" w:ascii="宋体" w:hAnsi="宋体"/>
        </w:rPr>
        <w:t>月</w:t>
      </w:r>
      <w:r>
        <w:rPr>
          <w:rFonts w:ascii="宋体" w:hAnsi="宋体"/>
        </w:rPr>
        <w:t>2</w:t>
      </w:r>
      <w:r>
        <w:rPr>
          <w:rFonts w:hint="eastAsia" w:ascii="宋体" w:hAnsi="宋体"/>
        </w:rPr>
        <w:t>日</w:t>
      </w:r>
    </w:p>
    <w:p w14:paraId="2695E9F8">
      <w:pPr>
        <w:rPr>
          <w:rFonts w:ascii="宋体" w:hAnsi="宋体"/>
        </w:rPr>
      </w:pPr>
      <w:r>
        <w:rPr>
          <w:rFonts w:hint="eastAsia" w:ascii="宋体" w:hAnsi="宋体"/>
        </w:rPr>
        <w:t>单位：人民币元</w:t>
      </w:r>
    </w:p>
    <w:tbl>
      <w:tblPr>
        <w:tblStyle w:val="11"/>
        <w:tblW w:w="5000" w:type="pct"/>
        <w:tblInd w:w="0" w:type="dxa"/>
        <w:tblLayout w:type="fixed"/>
        <w:tblCellMar>
          <w:top w:w="0" w:type="dxa"/>
          <w:left w:w="108" w:type="dxa"/>
          <w:bottom w:w="0" w:type="dxa"/>
          <w:right w:w="108" w:type="dxa"/>
        </w:tblCellMar>
      </w:tblPr>
      <w:tblGrid>
        <w:gridCol w:w="2606"/>
        <w:gridCol w:w="1744"/>
        <w:gridCol w:w="2631"/>
        <w:gridCol w:w="1541"/>
      </w:tblGrid>
      <w:tr w14:paraId="542C347D">
        <w:tblPrEx>
          <w:tblCellMar>
            <w:top w:w="0" w:type="dxa"/>
            <w:left w:w="108" w:type="dxa"/>
            <w:bottom w:w="0" w:type="dxa"/>
            <w:right w:w="108" w:type="dxa"/>
          </w:tblCellMar>
        </w:tblPrEx>
        <w:trPr>
          <w:trHeight w:val="300" w:hRule="atLeast"/>
        </w:trPr>
        <w:tc>
          <w:tcPr>
            <w:tcW w:w="1528" w:type="pct"/>
            <w:tcBorders>
              <w:top w:val="double" w:color="000000" w:sz="6" w:space="0"/>
              <w:left w:val="double" w:color="000000" w:sz="6" w:space="0"/>
              <w:bottom w:val="single" w:color="000000" w:sz="4" w:space="0"/>
              <w:right w:val="single" w:color="000000" w:sz="4" w:space="0"/>
            </w:tcBorders>
            <w:shd w:val="clear" w:color="000000" w:fill="FFFFFF"/>
            <w:noWrap/>
          </w:tcPr>
          <w:p w14:paraId="2581A707">
            <w:pPr>
              <w:keepNext w:val="0"/>
              <w:keepLines w:val="0"/>
              <w:widowControl/>
              <w:suppressLineNumbers w:val="0"/>
              <w:spacing w:before="0" w:beforeAutospacing="0" w:after="0" w:afterAutospacing="0"/>
              <w:ind w:left="0" w:right="0"/>
              <w:jc w:val="center"/>
              <w:rPr>
                <w:rFonts w:hint="default" w:cs="Arial" w:asciiTheme="minorEastAsia" w:hAnsiTheme="minorEastAsia" w:eastAsiaTheme="minorEastAsia"/>
                <w:color w:val="000000"/>
                <w:sz w:val="21"/>
                <w:szCs w:val="21"/>
              </w:rPr>
            </w:pPr>
            <w:r>
              <w:rPr>
                <w:rFonts w:hint="eastAsia"/>
                <w:sz w:val="20"/>
                <w:szCs w:val="20"/>
              </w:rPr>
              <w:t>资</w:t>
            </w:r>
            <w:r>
              <w:rPr>
                <w:rFonts w:hint="default"/>
                <w:sz w:val="20"/>
                <w:szCs w:val="20"/>
              </w:rPr>
              <w:t xml:space="preserve">     </w:t>
            </w:r>
            <w:r>
              <w:rPr>
                <w:rFonts w:hint="eastAsia"/>
                <w:sz w:val="20"/>
                <w:szCs w:val="20"/>
              </w:rPr>
              <w:t>产</w:t>
            </w:r>
          </w:p>
        </w:tc>
        <w:tc>
          <w:tcPr>
            <w:tcW w:w="1023" w:type="pct"/>
            <w:tcBorders>
              <w:top w:val="double" w:color="000000" w:sz="6" w:space="0"/>
              <w:left w:val="nil"/>
              <w:bottom w:val="single" w:color="000000" w:sz="4" w:space="0"/>
              <w:right w:val="single" w:color="000000" w:sz="4" w:space="0"/>
            </w:tcBorders>
            <w:shd w:val="clear" w:color="000000" w:fill="FFFFFF"/>
            <w:noWrap/>
          </w:tcPr>
          <w:p w14:paraId="6EDFFEFA">
            <w:pPr>
              <w:keepNext w:val="0"/>
              <w:keepLines w:val="0"/>
              <w:widowControl/>
              <w:suppressLineNumbers w:val="0"/>
              <w:spacing w:before="0" w:beforeAutospacing="0" w:after="0" w:afterAutospacing="0"/>
              <w:ind w:left="0" w:right="0"/>
              <w:jc w:val="center"/>
              <w:rPr>
                <w:rFonts w:hint="default" w:cs="Arial" w:asciiTheme="minorEastAsia" w:hAnsiTheme="minorEastAsia" w:eastAsiaTheme="minorEastAsia"/>
                <w:color w:val="000000"/>
                <w:sz w:val="21"/>
                <w:szCs w:val="21"/>
              </w:rPr>
            </w:pPr>
            <w:r>
              <w:rPr>
                <w:rFonts w:hint="eastAsia"/>
                <w:sz w:val="20"/>
                <w:szCs w:val="20"/>
              </w:rPr>
              <w:t>最后运作日</w:t>
            </w:r>
          </w:p>
        </w:tc>
        <w:tc>
          <w:tcPr>
            <w:tcW w:w="1543" w:type="pct"/>
            <w:tcBorders>
              <w:top w:val="double" w:color="000000" w:sz="6" w:space="0"/>
              <w:left w:val="nil"/>
              <w:bottom w:val="single" w:color="000000" w:sz="4" w:space="0"/>
              <w:right w:val="single" w:color="000000" w:sz="4" w:space="0"/>
            </w:tcBorders>
            <w:shd w:val="clear" w:color="000000" w:fill="FFFFFF"/>
            <w:noWrap/>
          </w:tcPr>
          <w:p w14:paraId="36C9064F">
            <w:pPr>
              <w:keepNext w:val="0"/>
              <w:keepLines w:val="0"/>
              <w:widowControl/>
              <w:suppressLineNumbers w:val="0"/>
              <w:spacing w:before="0" w:beforeAutospacing="0" w:after="0" w:afterAutospacing="0"/>
              <w:ind w:left="0" w:right="0"/>
              <w:jc w:val="center"/>
              <w:rPr>
                <w:rFonts w:hint="default" w:cs="Arial" w:asciiTheme="minorEastAsia" w:hAnsiTheme="minorEastAsia" w:eastAsiaTheme="minorEastAsia"/>
                <w:color w:val="000000"/>
                <w:sz w:val="21"/>
                <w:szCs w:val="21"/>
              </w:rPr>
            </w:pPr>
            <w:r>
              <w:rPr>
                <w:rFonts w:hint="eastAsia"/>
                <w:sz w:val="20"/>
                <w:szCs w:val="20"/>
              </w:rPr>
              <w:t>负债和所有者权益</w:t>
            </w:r>
          </w:p>
        </w:tc>
        <w:tc>
          <w:tcPr>
            <w:tcW w:w="904" w:type="pct"/>
            <w:tcBorders>
              <w:top w:val="double" w:color="000000" w:sz="6" w:space="0"/>
              <w:left w:val="nil"/>
              <w:bottom w:val="single" w:color="000000" w:sz="4" w:space="0"/>
              <w:right w:val="single" w:color="000000" w:sz="4" w:space="0"/>
            </w:tcBorders>
            <w:shd w:val="clear" w:color="000000" w:fill="FFFFFF"/>
            <w:noWrap/>
          </w:tcPr>
          <w:p w14:paraId="642819AF">
            <w:pPr>
              <w:keepNext w:val="0"/>
              <w:keepLines w:val="0"/>
              <w:widowControl/>
              <w:suppressLineNumbers w:val="0"/>
              <w:spacing w:before="0" w:beforeAutospacing="0" w:after="0" w:afterAutospacing="0"/>
              <w:ind w:left="0" w:right="0"/>
              <w:jc w:val="center"/>
              <w:rPr>
                <w:rFonts w:hint="default" w:cs="Arial" w:asciiTheme="minorEastAsia" w:hAnsiTheme="minorEastAsia" w:eastAsiaTheme="minorEastAsia"/>
                <w:color w:val="000000"/>
                <w:sz w:val="21"/>
                <w:szCs w:val="21"/>
              </w:rPr>
            </w:pPr>
            <w:r>
              <w:rPr>
                <w:rFonts w:hint="eastAsia"/>
                <w:sz w:val="20"/>
                <w:szCs w:val="20"/>
              </w:rPr>
              <w:t>最后运作日</w:t>
            </w:r>
          </w:p>
        </w:tc>
      </w:tr>
      <w:tr w14:paraId="00234B4F">
        <w:tblPrEx>
          <w:tblCellMar>
            <w:top w:w="0" w:type="dxa"/>
            <w:left w:w="108" w:type="dxa"/>
            <w:bottom w:w="0" w:type="dxa"/>
            <w:right w:w="108" w:type="dxa"/>
          </w:tblCellMar>
        </w:tblPrEx>
        <w:trPr>
          <w:trHeight w:val="288" w:hRule="atLeast"/>
        </w:trPr>
        <w:tc>
          <w:tcPr>
            <w:tcW w:w="1528" w:type="pct"/>
            <w:tcBorders>
              <w:top w:val="nil"/>
              <w:left w:val="double" w:color="000000" w:sz="6" w:space="0"/>
              <w:bottom w:val="single" w:color="000000" w:sz="4" w:space="0"/>
              <w:right w:val="single" w:color="000000" w:sz="4" w:space="0"/>
            </w:tcBorders>
            <w:shd w:val="clear" w:color="000000" w:fill="FFFFFF"/>
            <w:noWrap/>
          </w:tcPr>
          <w:p w14:paraId="61CDA4AE">
            <w:pPr>
              <w:keepNext w:val="0"/>
              <w:keepLines w:val="0"/>
              <w:widowControl/>
              <w:suppressLineNumbers w:val="0"/>
              <w:spacing w:before="0" w:beforeAutospacing="0" w:after="0" w:afterAutospacing="0"/>
              <w:ind w:left="0" w:right="0"/>
              <w:jc w:val="center"/>
              <w:rPr>
                <w:rFonts w:hint="default" w:cs="Arial" w:asciiTheme="minorEastAsia" w:hAnsiTheme="minorEastAsia" w:eastAsiaTheme="minorEastAsia"/>
                <w:color w:val="000000"/>
                <w:sz w:val="21"/>
                <w:szCs w:val="21"/>
              </w:rPr>
            </w:pPr>
          </w:p>
        </w:tc>
        <w:tc>
          <w:tcPr>
            <w:tcW w:w="1023" w:type="pct"/>
            <w:tcBorders>
              <w:top w:val="nil"/>
              <w:left w:val="nil"/>
              <w:bottom w:val="single" w:color="000000" w:sz="4" w:space="0"/>
              <w:right w:val="single" w:color="000000" w:sz="4" w:space="0"/>
            </w:tcBorders>
            <w:shd w:val="clear" w:color="000000" w:fill="FFFFFF"/>
            <w:noWrap/>
          </w:tcPr>
          <w:p w14:paraId="7AF25065">
            <w:pPr>
              <w:keepNext w:val="0"/>
              <w:keepLines w:val="0"/>
              <w:widowControl/>
              <w:suppressLineNumbers w:val="0"/>
              <w:spacing w:before="0" w:beforeAutospacing="0" w:after="0" w:afterAutospacing="0"/>
              <w:ind w:left="0" w:right="0"/>
              <w:jc w:val="center"/>
              <w:rPr>
                <w:rFonts w:hint="default" w:cs="Arial" w:asciiTheme="minorEastAsia" w:hAnsiTheme="minorEastAsia"/>
                <w:color w:val="000000"/>
                <w:sz w:val="21"/>
                <w:szCs w:val="21"/>
              </w:rPr>
            </w:pPr>
            <w:r>
              <w:rPr>
                <w:rFonts w:hint="default"/>
                <w:sz w:val="20"/>
                <w:szCs w:val="20"/>
              </w:rPr>
              <w:t>2026/4/2</w:t>
            </w:r>
          </w:p>
        </w:tc>
        <w:tc>
          <w:tcPr>
            <w:tcW w:w="1543" w:type="pct"/>
            <w:tcBorders>
              <w:top w:val="nil"/>
              <w:left w:val="nil"/>
              <w:bottom w:val="single" w:color="000000" w:sz="4" w:space="0"/>
              <w:right w:val="single" w:color="000000" w:sz="4" w:space="0"/>
            </w:tcBorders>
            <w:shd w:val="clear" w:color="000000" w:fill="FFFFFF"/>
            <w:noWrap/>
          </w:tcPr>
          <w:p w14:paraId="356C1B1B">
            <w:pPr>
              <w:keepNext w:val="0"/>
              <w:keepLines w:val="0"/>
              <w:widowControl/>
              <w:suppressLineNumbers w:val="0"/>
              <w:spacing w:before="0" w:beforeAutospacing="0" w:after="0" w:afterAutospacing="0"/>
              <w:ind w:left="0" w:right="0"/>
              <w:jc w:val="center"/>
              <w:rPr>
                <w:rFonts w:hint="default" w:cs="Arial" w:asciiTheme="minorEastAsia" w:hAnsiTheme="minorEastAsia" w:eastAsiaTheme="minorEastAsia"/>
                <w:color w:val="000000"/>
                <w:sz w:val="21"/>
                <w:szCs w:val="21"/>
              </w:rPr>
            </w:pPr>
          </w:p>
        </w:tc>
        <w:tc>
          <w:tcPr>
            <w:tcW w:w="904" w:type="pct"/>
            <w:tcBorders>
              <w:top w:val="nil"/>
              <w:left w:val="nil"/>
              <w:bottom w:val="single" w:color="000000" w:sz="4" w:space="0"/>
              <w:right w:val="single" w:color="000000" w:sz="4" w:space="0"/>
            </w:tcBorders>
            <w:shd w:val="clear" w:color="000000" w:fill="FFFFFF"/>
            <w:noWrap/>
          </w:tcPr>
          <w:p w14:paraId="1EF090C8">
            <w:pPr>
              <w:keepNext w:val="0"/>
              <w:keepLines w:val="0"/>
              <w:widowControl/>
              <w:suppressLineNumbers w:val="0"/>
              <w:spacing w:before="0" w:beforeAutospacing="0" w:after="0" w:afterAutospacing="0"/>
              <w:ind w:left="0" w:right="0"/>
              <w:jc w:val="center"/>
              <w:rPr>
                <w:rFonts w:hint="default" w:cs="Arial" w:asciiTheme="minorEastAsia" w:hAnsiTheme="minorEastAsia" w:eastAsiaTheme="minorEastAsia"/>
                <w:color w:val="000000"/>
                <w:sz w:val="21"/>
                <w:szCs w:val="21"/>
              </w:rPr>
            </w:pPr>
            <w:r>
              <w:rPr>
                <w:rFonts w:hint="default"/>
                <w:sz w:val="20"/>
                <w:szCs w:val="20"/>
              </w:rPr>
              <w:t>2026/4/2</w:t>
            </w:r>
          </w:p>
        </w:tc>
      </w:tr>
      <w:tr w14:paraId="62DE385B">
        <w:tblPrEx>
          <w:tblCellMar>
            <w:top w:w="0" w:type="dxa"/>
            <w:left w:w="108" w:type="dxa"/>
            <w:bottom w:w="0" w:type="dxa"/>
            <w:right w:w="108" w:type="dxa"/>
          </w:tblCellMar>
        </w:tblPrEx>
        <w:trPr>
          <w:trHeight w:val="288" w:hRule="atLeast"/>
        </w:trPr>
        <w:tc>
          <w:tcPr>
            <w:tcW w:w="1528" w:type="pct"/>
            <w:tcBorders>
              <w:top w:val="nil"/>
              <w:left w:val="double" w:color="000000" w:sz="6" w:space="0"/>
              <w:bottom w:val="single" w:color="000000" w:sz="4" w:space="0"/>
              <w:right w:val="single" w:color="000000" w:sz="4" w:space="0"/>
            </w:tcBorders>
            <w:shd w:val="clear" w:color="000000" w:fill="FFFFFF"/>
            <w:noWrap/>
          </w:tcPr>
          <w:p w14:paraId="7270EAC2">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b/>
                <w:bCs/>
                <w:color w:val="000000"/>
                <w:sz w:val="21"/>
                <w:szCs w:val="21"/>
              </w:rPr>
            </w:pPr>
            <w:r>
              <w:rPr>
                <w:rFonts w:hint="eastAsia"/>
                <w:sz w:val="20"/>
                <w:szCs w:val="20"/>
              </w:rPr>
              <w:t>资</w:t>
            </w:r>
            <w:r>
              <w:rPr>
                <w:rFonts w:hint="default"/>
                <w:sz w:val="20"/>
                <w:szCs w:val="20"/>
              </w:rPr>
              <w:t xml:space="preserve">  </w:t>
            </w:r>
            <w:r>
              <w:rPr>
                <w:rFonts w:hint="eastAsia"/>
                <w:sz w:val="20"/>
                <w:szCs w:val="20"/>
              </w:rPr>
              <w:t>产</w:t>
            </w:r>
            <w:r>
              <w:rPr>
                <w:rFonts w:hint="default"/>
                <w:sz w:val="20"/>
                <w:szCs w:val="20"/>
              </w:rPr>
              <w:t xml:space="preserve"> :</w:t>
            </w:r>
          </w:p>
        </w:tc>
        <w:tc>
          <w:tcPr>
            <w:tcW w:w="1023" w:type="pct"/>
            <w:tcBorders>
              <w:top w:val="nil"/>
              <w:left w:val="nil"/>
              <w:bottom w:val="single" w:color="000000" w:sz="4" w:space="0"/>
              <w:right w:val="single" w:color="000000" w:sz="4" w:space="0"/>
            </w:tcBorders>
            <w:shd w:val="clear" w:color="000000" w:fill="FFFFFF"/>
            <w:noWrap/>
          </w:tcPr>
          <w:p w14:paraId="6FAE5821">
            <w:pPr>
              <w:keepNext w:val="0"/>
              <w:keepLines w:val="0"/>
              <w:widowControl/>
              <w:suppressLineNumbers w:val="0"/>
              <w:spacing w:before="0" w:beforeAutospacing="0" w:after="0" w:afterAutospacing="0"/>
              <w:ind w:left="0" w:right="0"/>
              <w:jc w:val="right"/>
              <w:rPr>
                <w:rFonts w:hint="default" w:cs="宋体" w:asciiTheme="minorEastAsia" w:hAnsiTheme="minorEastAsia" w:eastAsiaTheme="minorEastAsia"/>
                <w:color w:val="000000"/>
                <w:sz w:val="21"/>
                <w:szCs w:val="21"/>
              </w:rPr>
            </w:pPr>
          </w:p>
        </w:tc>
        <w:tc>
          <w:tcPr>
            <w:tcW w:w="1543" w:type="pct"/>
            <w:tcBorders>
              <w:top w:val="nil"/>
              <w:left w:val="nil"/>
              <w:bottom w:val="single" w:color="000000" w:sz="4" w:space="0"/>
              <w:right w:val="single" w:color="000000" w:sz="4" w:space="0"/>
            </w:tcBorders>
            <w:shd w:val="clear" w:color="000000" w:fill="FFFFFF"/>
            <w:noWrap/>
          </w:tcPr>
          <w:p w14:paraId="22F33FE7">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b/>
                <w:bCs/>
                <w:color w:val="000000"/>
                <w:sz w:val="21"/>
                <w:szCs w:val="21"/>
              </w:rPr>
            </w:pPr>
            <w:r>
              <w:rPr>
                <w:rFonts w:hint="eastAsia"/>
                <w:sz w:val="20"/>
                <w:szCs w:val="20"/>
              </w:rPr>
              <w:t>负债</w:t>
            </w:r>
            <w:r>
              <w:rPr>
                <w:rFonts w:hint="default"/>
                <w:sz w:val="20"/>
                <w:szCs w:val="20"/>
              </w:rPr>
              <w:t>:</w:t>
            </w:r>
          </w:p>
        </w:tc>
        <w:tc>
          <w:tcPr>
            <w:tcW w:w="904" w:type="pct"/>
            <w:tcBorders>
              <w:top w:val="nil"/>
              <w:left w:val="nil"/>
              <w:bottom w:val="single" w:color="000000" w:sz="4" w:space="0"/>
              <w:right w:val="single" w:color="000000" w:sz="4" w:space="0"/>
            </w:tcBorders>
            <w:shd w:val="clear" w:color="000000" w:fill="FFFFFF"/>
            <w:noWrap/>
          </w:tcPr>
          <w:p w14:paraId="46D9DBE4">
            <w:pPr>
              <w:keepNext w:val="0"/>
              <w:keepLines w:val="0"/>
              <w:widowControl/>
              <w:suppressLineNumbers w:val="0"/>
              <w:spacing w:before="0" w:beforeAutospacing="0" w:after="0" w:afterAutospacing="0"/>
              <w:ind w:left="0" w:right="0"/>
              <w:jc w:val="right"/>
              <w:rPr>
                <w:rFonts w:hint="default" w:cs="宋体" w:asciiTheme="minorEastAsia" w:hAnsiTheme="minorEastAsia" w:eastAsiaTheme="minorEastAsia"/>
                <w:color w:val="000000"/>
                <w:sz w:val="21"/>
                <w:szCs w:val="21"/>
              </w:rPr>
            </w:pPr>
          </w:p>
        </w:tc>
      </w:tr>
      <w:tr w14:paraId="1096C1F0">
        <w:tblPrEx>
          <w:tblCellMar>
            <w:top w:w="0" w:type="dxa"/>
            <w:left w:w="108" w:type="dxa"/>
            <w:bottom w:w="0" w:type="dxa"/>
            <w:right w:w="108" w:type="dxa"/>
          </w:tblCellMar>
        </w:tblPrEx>
        <w:trPr>
          <w:trHeight w:val="288" w:hRule="atLeast"/>
        </w:trPr>
        <w:tc>
          <w:tcPr>
            <w:tcW w:w="1528" w:type="pct"/>
            <w:tcBorders>
              <w:top w:val="nil"/>
              <w:left w:val="double" w:color="000000" w:sz="6" w:space="0"/>
              <w:bottom w:val="single" w:color="000000" w:sz="4" w:space="0"/>
              <w:right w:val="single" w:color="000000" w:sz="4" w:space="0"/>
            </w:tcBorders>
            <w:shd w:val="clear" w:color="000000" w:fill="FFFFFF"/>
            <w:noWrap/>
          </w:tcPr>
          <w:p w14:paraId="2D64BC69">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sz w:val="21"/>
                <w:szCs w:val="21"/>
              </w:rPr>
            </w:pPr>
            <w:r>
              <w:rPr>
                <w:rFonts w:hint="eastAsia"/>
                <w:sz w:val="20"/>
                <w:szCs w:val="20"/>
              </w:rPr>
              <w:t>银行存款</w:t>
            </w:r>
          </w:p>
        </w:tc>
        <w:tc>
          <w:tcPr>
            <w:tcW w:w="1023" w:type="pct"/>
            <w:tcBorders>
              <w:top w:val="nil"/>
              <w:left w:val="nil"/>
              <w:bottom w:val="single" w:color="000000" w:sz="4" w:space="0"/>
              <w:right w:val="single" w:color="000000" w:sz="4" w:space="0"/>
            </w:tcBorders>
            <w:shd w:val="clear" w:color="000000" w:fill="FFFFFF"/>
            <w:noWrap/>
            <w:vAlign w:val="center"/>
          </w:tcPr>
          <w:p w14:paraId="6B921701">
            <w:pPr>
              <w:keepNext w:val="0"/>
              <w:keepLines w:val="0"/>
              <w:widowControl/>
              <w:suppressLineNumbers w:val="0"/>
              <w:spacing w:before="0" w:beforeAutospacing="0" w:after="0" w:afterAutospacing="0"/>
              <w:ind w:left="0" w:right="0"/>
              <w:jc w:val="right"/>
              <w:rPr>
                <w:rFonts w:hint="default"/>
                <w:sz w:val="20"/>
                <w:szCs w:val="20"/>
              </w:rPr>
            </w:pPr>
            <w:r>
              <w:rPr>
                <w:rFonts w:hint="default"/>
                <w:sz w:val="20"/>
                <w:szCs w:val="20"/>
              </w:rPr>
              <w:t>4,039,813.64</w:t>
            </w:r>
          </w:p>
        </w:tc>
        <w:tc>
          <w:tcPr>
            <w:tcW w:w="1543" w:type="pct"/>
            <w:tcBorders>
              <w:top w:val="nil"/>
              <w:left w:val="nil"/>
              <w:bottom w:val="single" w:color="000000" w:sz="4" w:space="0"/>
              <w:right w:val="single" w:color="000000" w:sz="4" w:space="0"/>
            </w:tcBorders>
            <w:shd w:val="clear" w:color="000000" w:fill="FFFFFF"/>
            <w:noWrap/>
          </w:tcPr>
          <w:p w14:paraId="2C3AE862">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sz w:val="21"/>
                <w:szCs w:val="21"/>
              </w:rPr>
            </w:pPr>
            <w:r>
              <w:rPr>
                <w:rFonts w:hint="default"/>
                <w:sz w:val="20"/>
                <w:szCs w:val="20"/>
              </w:rPr>
              <w:t xml:space="preserve"> </w:t>
            </w:r>
            <w:r>
              <w:rPr>
                <w:rFonts w:hint="eastAsia"/>
                <w:sz w:val="20"/>
                <w:szCs w:val="20"/>
              </w:rPr>
              <w:t>短期借款</w:t>
            </w:r>
            <w:r>
              <w:rPr>
                <w:rFonts w:hint="default"/>
                <w:sz w:val="20"/>
                <w:szCs w:val="20"/>
              </w:rPr>
              <w:t xml:space="preserve"> </w:t>
            </w:r>
          </w:p>
        </w:tc>
        <w:tc>
          <w:tcPr>
            <w:tcW w:w="904" w:type="pct"/>
            <w:tcBorders>
              <w:top w:val="nil"/>
              <w:left w:val="nil"/>
              <w:bottom w:val="single" w:color="000000" w:sz="4" w:space="0"/>
              <w:right w:val="single" w:color="000000" w:sz="4" w:space="0"/>
            </w:tcBorders>
            <w:shd w:val="clear" w:color="000000" w:fill="FFFFFF"/>
            <w:noWrap/>
          </w:tcPr>
          <w:p w14:paraId="6DD5C116">
            <w:pPr>
              <w:keepNext w:val="0"/>
              <w:keepLines w:val="0"/>
              <w:widowControl/>
              <w:suppressLineNumbers w:val="0"/>
              <w:spacing w:before="0" w:beforeAutospacing="0" w:after="0" w:afterAutospacing="0"/>
              <w:ind w:left="0" w:right="0"/>
              <w:jc w:val="right"/>
              <w:rPr>
                <w:rFonts w:hint="default" w:cs="宋体" w:asciiTheme="minorEastAsia" w:hAnsiTheme="minorEastAsia" w:eastAsiaTheme="minorEastAsia"/>
                <w:color w:val="000000"/>
                <w:sz w:val="21"/>
                <w:szCs w:val="21"/>
              </w:rPr>
            </w:pPr>
            <w:r>
              <w:rPr>
                <w:rFonts w:hint="default"/>
                <w:sz w:val="20"/>
                <w:szCs w:val="20"/>
              </w:rPr>
              <w:t xml:space="preserve"> -</w:t>
            </w:r>
            <w:r>
              <w:rPr>
                <w:rFonts w:hint="eastAsia"/>
                <w:sz w:val="20"/>
                <w:szCs w:val="20"/>
              </w:rPr>
              <w:t>　</w:t>
            </w:r>
            <w:r>
              <w:rPr>
                <w:rFonts w:hint="default"/>
                <w:sz w:val="20"/>
                <w:szCs w:val="20"/>
              </w:rPr>
              <w:t xml:space="preserve"> </w:t>
            </w:r>
          </w:p>
        </w:tc>
      </w:tr>
      <w:tr w14:paraId="14BC9790">
        <w:tblPrEx>
          <w:tblCellMar>
            <w:top w:w="0" w:type="dxa"/>
            <w:left w:w="108" w:type="dxa"/>
            <w:bottom w:w="0" w:type="dxa"/>
            <w:right w:w="108" w:type="dxa"/>
          </w:tblCellMar>
        </w:tblPrEx>
        <w:trPr>
          <w:trHeight w:val="288" w:hRule="atLeast"/>
        </w:trPr>
        <w:tc>
          <w:tcPr>
            <w:tcW w:w="1528" w:type="pct"/>
            <w:tcBorders>
              <w:top w:val="nil"/>
              <w:left w:val="double" w:color="000000" w:sz="6" w:space="0"/>
              <w:bottom w:val="single" w:color="000000" w:sz="4" w:space="0"/>
              <w:right w:val="single" w:color="000000" w:sz="4" w:space="0"/>
            </w:tcBorders>
            <w:shd w:val="clear" w:color="000000" w:fill="FFFFFF"/>
            <w:noWrap/>
          </w:tcPr>
          <w:p w14:paraId="4686B72D">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sz w:val="21"/>
                <w:szCs w:val="21"/>
              </w:rPr>
            </w:pPr>
            <w:r>
              <w:rPr>
                <w:rFonts w:hint="eastAsia"/>
                <w:sz w:val="20"/>
                <w:szCs w:val="20"/>
              </w:rPr>
              <w:t>结算备付金</w:t>
            </w:r>
          </w:p>
        </w:tc>
        <w:tc>
          <w:tcPr>
            <w:tcW w:w="1023" w:type="pct"/>
            <w:tcBorders>
              <w:top w:val="nil"/>
              <w:left w:val="nil"/>
              <w:bottom w:val="single" w:color="000000" w:sz="4" w:space="0"/>
              <w:right w:val="single" w:color="000000" w:sz="4" w:space="0"/>
            </w:tcBorders>
            <w:shd w:val="clear" w:color="000000" w:fill="FFFFFF"/>
            <w:noWrap/>
          </w:tcPr>
          <w:p w14:paraId="1B93E3C0">
            <w:pPr>
              <w:keepNext w:val="0"/>
              <w:keepLines w:val="0"/>
              <w:widowControl/>
              <w:suppressLineNumbers w:val="0"/>
              <w:spacing w:before="0" w:beforeAutospacing="0" w:after="0" w:afterAutospacing="0"/>
              <w:ind w:left="0" w:right="0"/>
              <w:jc w:val="right"/>
              <w:rPr>
                <w:rFonts w:hint="default"/>
                <w:sz w:val="20"/>
                <w:szCs w:val="20"/>
              </w:rPr>
            </w:pPr>
            <w:r>
              <w:rPr>
                <w:rFonts w:hint="default"/>
                <w:sz w:val="20"/>
                <w:szCs w:val="20"/>
              </w:rPr>
              <w:t>2,138,797.89</w:t>
            </w:r>
            <w:r>
              <w:rPr>
                <w:rFonts w:hint="eastAsia"/>
                <w:sz w:val="20"/>
                <w:szCs w:val="20"/>
              </w:rPr>
              <w:t xml:space="preserve">　 </w:t>
            </w:r>
          </w:p>
        </w:tc>
        <w:tc>
          <w:tcPr>
            <w:tcW w:w="1543" w:type="pct"/>
            <w:tcBorders>
              <w:top w:val="nil"/>
              <w:left w:val="nil"/>
              <w:bottom w:val="single" w:color="000000" w:sz="4" w:space="0"/>
              <w:right w:val="single" w:color="000000" w:sz="4" w:space="0"/>
            </w:tcBorders>
            <w:shd w:val="clear" w:color="000000" w:fill="FFFFFF"/>
            <w:noWrap/>
          </w:tcPr>
          <w:p w14:paraId="21412F69">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sz w:val="21"/>
                <w:szCs w:val="21"/>
              </w:rPr>
            </w:pPr>
            <w:r>
              <w:rPr>
                <w:rFonts w:hint="default"/>
                <w:sz w:val="20"/>
                <w:szCs w:val="20"/>
              </w:rPr>
              <w:t xml:space="preserve"> </w:t>
            </w:r>
            <w:r>
              <w:rPr>
                <w:rFonts w:hint="eastAsia"/>
                <w:sz w:val="20"/>
                <w:szCs w:val="20"/>
              </w:rPr>
              <w:t>交易性金融负债</w:t>
            </w:r>
            <w:r>
              <w:rPr>
                <w:rFonts w:hint="default"/>
                <w:sz w:val="20"/>
                <w:szCs w:val="20"/>
              </w:rPr>
              <w:t xml:space="preserve"> </w:t>
            </w:r>
          </w:p>
        </w:tc>
        <w:tc>
          <w:tcPr>
            <w:tcW w:w="904" w:type="pct"/>
            <w:tcBorders>
              <w:top w:val="nil"/>
              <w:left w:val="nil"/>
              <w:bottom w:val="single" w:color="000000" w:sz="4" w:space="0"/>
              <w:right w:val="single" w:color="000000" w:sz="4" w:space="0"/>
            </w:tcBorders>
            <w:shd w:val="clear" w:color="000000" w:fill="FFFFFF"/>
            <w:noWrap/>
          </w:tcPr>
          <w:p w14:paraId="4354A7D8">
            <w:pPr>
              <w:keepNext w:val="0"/>
              <w:keepLines w:val="0"/>
              <w:widowControl/>
              <w:suppressLineNumbers w:val="0"/>
              <w:spacing w:before="0" w:beforeAutospacing="0" w:after="0" w:afterAutospacing="0"/>
              <w:ind w:left="0" w:right="0"/>
              <w:jc w:val="right"/>
              <w:rPr>
                <w:rFonts w:hint="default" w:cs="宋体" w:asciiTheme="minorEastAsia" w:hAnsiTheme="minorEastAsia" w:eastAsiaTheme="minorEastAsia"/>
                <w:color w:val="000000"/>
                <w:sz w:val="21"/>
                <w:szCs w:val="21"/>
              </w:rPr>
            </w:pPr>
            <w:r>
              <w:rPr>
                <w:rFonts w:hint="default"/>
                <w:sz w:val="20"/>
                <w:szCs w:val="20"/>
              </w:rPr>
              <w:t xml:space="preserve"> -</w:t>
            </w:r>
            <w:r>
              <w:rPr>
                <w:rFonts w:hint="eastAsia"/>
                <w:sz w:val="20"/>
                <w:szCs w:val="20"/>
              </w:rPr>
              <w:t>　</w:t>
            </w:r>
            <w:r>
              <w:rPr>
                <w:rFonts w:hint="default"/>
                <w:sz w:val="20"/>
                <w:szCs w:val="20"/>
              </w:rPr>
              <w:t xml:space="preserve"> </w:t>
            </w:r>
          </w:p>
        </w:tc>
      </w:tr>
      <w:tr w14:paraId="1BBC5CC0">
        <w:tblPrEx>
          <w:tblCellMar>
            <w:top w:w="0" w:type="dxa"/>
            <w:left w:w="108" w:type="dxa"/>
            <w:bottom w:w="0" w:type="dxa"/>
            <w:right w:w="108" w:type="dxa"/>
          </w:tblCellMar>
        </w:tblPrEx>
        <w:trPr>
          <w:trHeight w:val="288" w:hRule="atLeast"/>
        </w:trPr>
        <w:tc>
          <w:tcPr>
            <w:tcW w:w="1528" w:type="pct"/>
            <w:tcBorders>
              <w:top w:val="nil"/>
              <w:left w:val="double" w:color="000000" w:sz="6" w:space="0"/>
              <w:bottom w:val="single" w:color="000000" w:sz="4" w:space="0"/>
              <w:right w:val="single" w:color="000000" w:sz="4" w:space="0"/>
            </w:tcBorders>
            <w:shd w:val="clear" w:color="000000" w:fill="FFFFFF"/>
            <w:noWrap/>
          </w:tcPr>
          <w:p w14:paraId="50EB4502">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sz w:val="21"/>
                <w:szCs w:val="21"/>
              </w:rPr>
            </w:pPr>
            <w:r>
              <w:rPr>
                <w:rFonts w:hint="eastAsia"/>
                <w:sz w:val="20"/>
                <w:szCs w:val="20"/>
              </w:rPr>
              <w:t>存出保证金</w:t>
            </w:r>
          </w:p>
        </w:tc>
        <w:tc>
          <w:tcPr>
            <w:tcW w:w="1023" w:type="pct"/>
            <w:tcBorders>
              <w:top w:val="nil"/>
              <w:left w:val="nil"/>
              <w:bottom w:val="single" w:color="000000" w:sz="4" w:space="0"/>
              <w:right w:val="single" w:color="000000" w:sz="4" w:space="0"/>
            </w:tcBorders>
            <w:shd w:val="clear" w:color="000000" w:fill="FFFFFF"/>
            <w:noWrap/>
          </w:tcPr>
          <w:p w14:paraId="27340F16">
            <w:pPr>
              <w:keepNext w:val="0"/>
              <w:keepLines w:val="0"/>
              <w:widowControl/>
              <w:suppressLineNumbers w:val="0"/>
              <w:spacing w:before="0" w:beforeAutospacing="0" w:after="0" w:afterAutospacing="0"/>
              <w:ind w:left="0" w:right="0"/>
              <w:jc w:val="right"/>
              <w:rPr>
                <w:rFonts w:hint="default"/>
                <w:sz w:val="20"/>
                <w:szCs w:val="20"/>
              </w:rPr>
            </w:pPr>
            <w:r>
              <w:rPr>
                <w:rFonts w:hint="default"/>
                <w:sz w:val="20"/>
                <w:szCs w:val="20"/>
              </w:rPr>
              <w:t>4,339.06</w:t>
            </w:r>
            <w:r>
              <w:rPr>
                <w:rFonts w:hint="eastAsia"/>
                <w:sz w:val="20"/>
                <w:szCs w:val="20"/>
              </w:rPr>
              <w:t xml:space="preserve">　 </w:t>
            </w:r>
          </w:p>
        </w:tc>
        <w:tc>
          <w:tcPr>
            <w:tcW w:w="1543" w:type="pct"/>
            <w:tcBorders>
              <w:top w:val="nil"/>
              <w:left w:val="nil"/>
              <w:bottom w:val="single" w:color="000000" w:sz="4" w:space="0"/>
              <w:right w:val="single" w:color="000000" w:sz="4" w:space="0"/>
            </w:tcBorders>
            <w:shd w:val="clear" w:color="000000" w:fill="FFFFFF"/>
            <w:noWrap/>
          </w:tcPr>
          <w:p w14:paraId="32E5F874">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sz w:val="21"/>
                <w:szCs w:val="21"/>
              </w:rPr>
            </w:pPr>
            <w:r>
              <w:rPr>
                <w:rFonts w:hint="default"/>
                <w:sz w:val="20"/>
                <w:szCs w:val="20"/>
              </w:rPr>
              <w:t xml:space="preserve"> </w:t>
            </w:r>
            <w:r>
              <w:rPr>
                <w:rFonts w:hint="eastAsia"/>
                <w:sz w:val="20"/>
                <w:szCs w:val="20"/>
              </w:rPr>
              <w:t>衍生金融负债</w:t>
            </w:r>
            <w:r>
              <w:rPr>
                <w:rFonts w:hint="default"/>
                <w:sz w:val="20"/>
                <w:szCs w:val="20"/>
              </w:rPr>
              <w:t xml:space="preserve"> </w:t>
            </w:r>
          </w:p>
        </w:tc>
        <w:tc>
          <w:tcPr>
            <w:tcW w:w="904" w:type="pct"/>
            <w:tcBorders>
              <w:top w:val="nil"/>
              <w:left w:val="nil"/>
              <w:bottom w:val="single" w:color="000000" w:sz="4" w:space="0"/>
              <w:right w:val="single" w:color="000000" w:sz="4" w:space="0"/>
            </w:tcBorders>
            <w:shd w:val="clear" w:color="000000" w:fill="FFFFFF"/>
            <w:noWrap/>
          </w:tcPr>
          <w:p w14:paraId="179B490F">
            <w:pPr>
              <w:keepNext w:val="0"/>
              <w:keepLines w:val="0"/>
              <w:widowControl/>
              <w:suppressLineNumbers w:val="0"/>
              <w:spacing w:before="0" w:beforeAutospacing="0" w:after="0" w:afterAutospacing="0"/>
              <w:ind w:left="0" w:right="0"/>
              <w:jc w:val="right"/>
              <w:rPr>
                <w:rFonts w:hint="default" w:cs="宋体" w:asciiTheme="minorEastAsia" w:hAnsiTheme="minorEastAsia" w:eastAsiaTheme="minorEastAsia"/>
                <w:color w:val="000000"/>
                <w:sz w:val="21"/>
                <w:szCs w:val="21"/>
              </w:rPr>
            </w:pPr>
            <w:r>
              <w:rPr>
                <w:rFonts w:hint="default"/>
                <w:sz w:val="20"/>
                <w:szCs w:val="20"/>
              </w:rPr>
              <w:t xml:space="preserve"> -</w:t>
            </w:r>
            <w:r>
              <w:rPr>
                <w:rFonts w:hint="eastAsia"/>
                <w:sz w:val="20"/>
                <w:szCs w:val="20"/>
              </w:rPr>
              <w:t>　</w:t>
            </w:r>
            <w:r>
              <w:rPr>
                <w:rFonts w:hint="default"/>
                <w:sz w:val="20"/>
                <w:szCs w:val="20"/>
              </w:rPr>
              <w:t xml:space="preserve"> </w:t>
            </w:r>
          </w:p>
        </w:tc>
      </w:tr>
      <w:tr w14:paraId="423B2849">
        <w:tblPrEx>
          <w:tblCellMar>
            <w:top w:w="0" w:type="dxa"/>
            <w:left w:w="108" w:type="dxa"/>
            <w:bottom w:w="0" w:type="dxa"/>
            <w:right w:w="108" w:type="dxa"/>
          </w:tblCellMar>
        </w:tblPrEx>
        <w:trPr>
          <w:trHeight w:val="288" w:hRule="atLeast"/>
        </w:trPr>
        <w:tc>
          <w:tcPr>
            <w:tcW w:w="1528" w:type="pct"/>
            <w:tcBorders>
              <w:top w:val="nil"/>
              <w:left w:val="double" w:color="000000" w:sz="6" w:space="0"/>
              <w:bottom w:val="single" w:color="000000" w:sz="4" w:space="0"/>
              <w:right w:val="single" w:color="000000" w:sz="4" w:space="0"/>
            </w:tcBorders>
            <w:shd w:val="clear" w:color="000000" w:fill="FFFFFF"/>
            <w:noWrap/>
          </w:tcPr>
          <w:p w14:paraId="573A3FB6">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sz w:val="21"/>
                <w:szCs w:val="21"/>
              </w:rPr>
            </w:pPr>
            <w:r>
              <w:rPr>
                <w:rFonts w:hint="eastAsia"/>
                <w:sz w:val="20"/>
                <w:szCs w:val="20"/>
              </w:rPr>
              <w:t>交易性金融资产</w:t>
            </w:r>
          </w:p>
        </w:tc>
        <w:tc>
          <w:tcPr>
            <w:tcW w:w="1023" w:type="pct"/>
            <w:tcBorders>
              <w:top w:val="nil"/>
              <w:left w:val="nil"/>
              <w:bottom w:val="single" w:color="000000" w:sz="4" w:space="0"/>
              <w:right w:val="single" w:color="000000" w:sz="4" w:space="0"/>
            </w:tcBorders>
            <w:shd w:val="clear" w:color="000000" w:fill="FFFFFF"/>
            <w:noWrap/>
            <w:vAlign w:val="center"/>
          </w:tcPr>
          <w:p w14:paraId="780289B7">
            <w:pPr>
              <w:keepNext w:val="0"/>
              <w:keepLines w:val="0"/>
              <w:widowControl/>
              <w:suppressLineNumbers w:val="0"/>
              <w:spacing w:before="0" w:beforeAutospacing="0" w:after="0" w:afterAutospacing="0"/>
              <w:ind w:left="0" w:right="0"/>
              <w:jc w:val="right"/>
              <w:rPr>
                <w:rFonts w:hint="default"/>
                <w:sz w:val="20"/>
                <w:szCs w:val="20"/>
              </w:rPr>
            </w:pPr>
            <w:r>
              <w:rPr>
                <w:rFonts w:hint="default"/>
                <w:sz w:val="20"/>
                <w:szCs w:val="20"/>
              </w:rPr>
              <w:t>6,503,836.01</w:t>
            </w:r>
          </w:p>
        </w:tc>
        <w:tc>
          <w:tcPr>
            <w:tcW w:w="1543" w:type="pct"/>
            <w:tcBorders>
              <w:top w:val="nil"/>
              <w:left w:val="nil"/>
              <w:bottom w:val="single" w:color="000000" w:sz="4" w:space="0"/>
              <w:right w:val="single" w:color="000000" w:sz="4" w:space="0"/>
            </w:tcBorders>
            <w:shd w:val="clear" w:color="000000" w:fill="FFFFFF"/>
            <w:noWrap/>
          </w:tcPr>
          <w:p w14:paraId="4DA08C4D">
            <w:pPr>
              <w:keepNext w:val="0"/>
              <w:keepLines w:val="0"/>
              <w:widowControl/>
              <w:suppressLineNumbers w:val="0"/>
              <w:spacing w:before="0" w:beforeAutospacing="0" w:after="0" w:afterAutospacing="0"/>
              <w:ind w:left="0" w:right="0"/>
              <w:jc w:val="left"/>
              <w:rPr>
                <w:rFonts w:hint="default"/>
                <w:sz w:val="20"/>
                <w:szCs w:val="20"/>
              </w:rPr>
            </w:pPr>
            <w:r>
              <w:rPr>
                <w:rFonts w:hint="default"/>
                <w:sz w:val="20"/>
                <w:szCs w:val="20"/>
              </w:rPr>
              <w:t xml:space="preserve"> </w:t>
            </w:r>
            <w:r>
              <w:rPr>
                <w:rFonts w:hint="eastAsia"/>
                <w:sz w:val="20"/>
                <w:szCs w:val="20"/>
              </w:rPr>
              <w:t>卖出回购金融资产款</w:t>
            </w:r>
            <w:r>
              <w:rPr>
                <w:rFonts w:hint="default"/>
                <w:sz w:val="20"/>
                <w:szCs w:val="20"/>
              </w:rPr>
              <w:t xml:space="preserve"> </w:t>
            </w:r>
          </w:p>
        </w:tc>
        <w:tc>
          <w:tcPr>
            <w:tcW w:w="904" w:type="pct"/>
            <w:tcBorders>
              <w:top w:val="nil"/>
              <w:left w:val="nil"/>
              <w:bottom w:val="single" w:color="000000" w:sz="4" w:space="0"/>
              <w:right w:val="single" w:color="000000" w:sz="4" w:space="0"/>
            </w:tcBorders>
            <w:shd w:val="clear" w:color="000000" w:fill="FFFFFF"/>
            <w:noWrap/>
          </w:tcPr>
          <w:p w14:paraId="22DCBBCE">
            <w:pPr>
              <w:keepNext w:val="0"/>
              <w:keepLines w:val="0"/>
              <w:widowControl/>
              <w:suppressLineNumbers w:val="0"/>
              <w:spacing w:before="0" w:beforeAutospacing="0" w:after="0" w:afterAutospacing="0"/>
              <w:ind w:left="0" w:right="0"/>
              <w:jc w:val="right"/>
              <w:rPr>
                <w:rFonts w:hint="default" w:cs="宋体" w:asciiTheme="minorEastAsia" w:hAnsiTheme="minorEastAsia" w:eastAsiaTheme="minorEastAsia"/>
                <w:color w:val="000000"/>
                <w:sz w:val="21"/>
                <w:szCs w:val="21"/>
              </w:rPr>
            </w:pPr>
            <w:r>
              <w:rPr>
                <w:rFonts w:hint="default"/>
                <w:sz w:val="20"/>
                <w:szCs w:val="20"/>
              </w:rPr>
              <w:t xml:space="preserve"> - </w:t>
            </w:r>
          </w:p>
        </w:tc>
      </w:tr>
      <w:tr w14:paraId="12282568">
        <w:tblPrEx>
          <w:tblCellMar>
            <w:top w:w="0" w:type="dxa"/>
            <w:left w:w="108" w:type="dxa"/>
            <w:bottom w:w="0" w:type="dxa"/>
            <w:right w:w="108" w:type="dxa"/>
          </w:tblCellMar>
        </w:tblPrEx>
        <w:trPr>
          <w:trHeight w:val="288" w:hRule="atLeast"/>
        </w:trPr>
        <w:tc>
          <w:tcPr>
            <w:tcW w:w="1528" w:type="pct"/>
            <w:tcBorders>
              <w:top w:val="nil"/>
              <w:left w:val="double" w:color="000000" w:sz="6" w:space="0"/>
              <w:bottom w:val="single" w:color="000000" w:sz="4" w:space="0"/>
              <w:right w:val="single" w:color="000000" w:sz="4" w:space="0"/>
            </w:tcBorders>
            <w:shd w:val="clear" w:color="000000" w:fill="FFFFFF"/>
            <w:noWrap/>
          </w:tcPr>
          <w:p w14:paraId="76D71801">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sz w:val="21"/>
                <w:szCs w:val="21"/>
              </w:rPr>
            </w:pPr>
            <w:r>
              <w:rPr>
                <w:rFonts w:hint="eastAsia"/>
                <w:sz w:val="20"/>
                <w:szCs w:val="20"/>
              </w:rPr>
              <w:t>其中：股票投资</w:t>
            </w:r>
          </w:p>
        </w:tc>
        <w:tc>
          <w:tcPr>
            <w:tcW w:w="1023" w:type="pct"/>
            <w:tcBorders>
              <w:top w:val="nil"/>
              <w:left w:val="nil"/>
              <w:bottom w:val="single" w:color="000000" w:sz="4" w:space="0"/>
              <w:right w:val="single" w:color="000000" w:sz="4" w:space="0"/>
            </w:tcBorders>
            <w:shd w:val="clear" w:color="000000" w:fill="FFFFFF"/>
            <w:noWrap/>
          </w:tcPr>
          <w:p w14:paraId="5F41A152">
            <w:pPr>
              <w:keepNext w:val="0"/>
              <w:keepLines w:val="0"/>
              <w:widowControl/>
              <w:suppressLineNumbers w:val="0"/>
              <w:spacing w:before="0" w:beforeAutospacing="0" w:after="0" w:afterAutospacing="0"/>
              <w:ind w:left="0" w:right="0"/>
              <w:jc w:val="right"/>
              <w:rPr>
                <w:rFonts w:hint="default"/>
                <w:sz w:val="20"/>
                <w:szCs w:val="20"/>
              </w:rPr>
            </w:pPr>
            <w:r>
              <w:rPr>
                <w:rFonts w:hint="default"/>
                <w:sz w:val="20"/>
                <w:szCs w:val="20"/>
              </w:rPr>
              <w:t>3,980,129.85</w:t>
            </w:r>
            <w:r>
              <w:rPr>
                <w:rFonts w:hint="eastAsia"/>
                <w:sz w:val="20"/>
                <w:szCs w:val="20"/>
              </w:rPr>
              <w:t xml:space="preserve"> </w:t>
            </w:r>
          </w:p>
        </w:tc>
        <w:tc>
          <w:tcPr>
            <w:tcW w:w="1543" w:type="pct"/>
            <w:tcBorders>
              <w:top w:val="nil"/>
              <w:left w:val="nil"/>
              <w:bottom w:val="single" w:color="000000" w:sz="4" w:space="0"/>
              <w:right w:val="single" w:color="000000" w:sz="4" w:space="0"/>
            </w:tcBorders>
            <w:shd w:val="clear" w:color="000000" w:fill="FFFFFF"/>
            <w:noWrap/>
          </w:tcPr>
          <w:p w14:paraId="778E20FD">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sz w:val="21"/>
                <w:szCs w:val="21"/>
              </w:rPr>
            </w:pPr>
            <w:r>
              <w:rPr>
                <w:rFonts w:hint="default"/>
                <w:sz w:val="20"/>
                <w:szCs w:val="20"/>
              </w:rPr>
              <w:t xml:space="preserve"> </w:t>
            </w:r>
            <w:r>
              <w:rPr>
                <w:rFonts w:hint="eastAsia"/>
                <w:sz w:val="20"/>
                <w:szCs w:val="20"/>
              </w:rPr>
              <w:t>应付证券清算款</w:t>
            </w:r>
            <w:r>
              <w:rPr>
                <w:rFonts w:hint="default"/>
                <w:sz w:val="20"/>
                <w:szCs w:val="20"/>
              </w:rPr>
              <w:t xml:space="preserve"> </w:t>
            </w:r>
          </w:p>
        </w:tc>
        <w:tc>
          <w:tcPr>
            <w:tcW w:w="904" w:type="pct"/>
            <w:tcBorders>
              <w:top w:val="nil"/>
              <w:left w:val="nil"/>
              <w:bottom w:val="single" w:color="000000" w:sz="4" w:space="0"/>
              <w:right w:val="single" w:color="000000" w:sz="4" w:space="0"/>
            </w:tcBorders>
            <w:shd w:val="clear" w:color="000000" w:fill="FFFFFF"/>
            <w:noWrap/>
          </w:tcPr>
          <w:p w14:paraId="5DA02EC4">
            <w:pPr>
              <w:keepNext w:val="0"/>
              <w:keepLines w:val="0"/>
              <w:widowControl/>
              <w:suppressLineNumbers w:val="0"/>
              <w:spacing w:before="0" w:beforeAutospacing="0" w:after="0" w:afterAutospacing="0"/>
              <w:ind w:left="0" w:right="0"/>
              <w:jc w:val="right"/>
              <w:rPr>
                <w:rFonts w:hint="default" w:cs="宋体" w:asciiTheme="minorEastAsia" w:hAnsiTheme="minorEastAsia" w:eastAsiaTheme="minorEastAsia"/>
                <w:color w:val="000000"/>
                <w:sz w:val="21"/>
                <w:szCs w:val="21"/>
              </w:rPr>
            </w:pPr>
            <w:r>
              <w:rPr>
                <w:rFonts w:hint="default"/>
                <w:sz w:val="20"/>
                <w:szCs w:val="20"/>
              </w:rPr>
              <w:t xml:space="preserve">3,551,847.16 </w:t>
            </w:r>
          </w:p>
        </w:tc>
      </w:tr>
      <w:tr w14:paraId="2EDBA497">
        <w:tblPrEx>
          <w:tblCellMar>
            <w:top w:w="0" w:type="dxa"/>
            <w:left w:w="108" w:type="dxa"/>
            <w:bottom w:w="0" w:type="dxa"/>
            <w:right w:w="108" w:type="dxa"/>
          </w:tblCellMar>
        </w:tblPrEx>
        <w:trPr>
          <w:trHeight w:val="288" w:hRule="atLeast"/>
        </w:trPr>
        <w:tc>
          <w:tcPr>
            <w:tcW w:w="1528" w:type="pct"/>
            <w:tcBorders>
              <w:top w:val="nil"/>
              <w:left w:val="double" w:color="000000" w:sz="6" w:space="0"/>
              <w:bottom w:val="single" w:color="000000" w:sz="4" w:space="0"/>
              <w:right w:val="single" w:color="000000" w:sz="4" w:space="0"/>
            </w:tcBorders>
            <w:shd w:val="clear" w:color="000000" w:fill="FFFFFF"/>
            <w:noWrap/>
          </w:tcPr>
          <w:p w14:paraId="30342874">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sz w:val="21"/>
                <w:szCs w:val="21"/>
              </w:rPr>
            </w:pPr>
            <w:r>
              <w:rPr>
                <w:rFonts w:hint="default"/>
                <w:sz w:val="20"/>
                <w:szCs w:val="20"/>
              </w:rPr>
              <w:t xml:space="preserve">      </w:t>
            </w:r>
            <w:r>
              <w:rPr>
                <w:rFonts w:hint="eastAsia"/>
                <w:sz w:val="20"/>
                <w:szCs w:val="20"/>
              </w:rPr>
              <w:t>债券投资</w:t>
            </w:r>
          </w:p>
        </w:tc>
        <w:tc>
          <w:tcPr>
            <w:tcW w:w="1023" w:type="pct"/>
            <w:tcBorders>
              <w:top w:val="nil"/>
              <w:left w:val="nil"/>
              <w:bottom w:val="single" w:color="000000" w:sz="4" w:space="0"/>
              <w:right w:val="single" w:color="000000" w:sz="4" w:space="0"/>
            </w:tcBorders>
            <w:shd w:val="clear" w:color="000000" w:fill="FFFFFF"/>
            <w:noWrap/>
            <w:vAlign w:val="center"/>
          </w:tcPr>
          <w:p w14:paraId="56A15553">
            <w:pPr>
              <w:keepNext w:val="0"/>
              <w:keepLines w:val="0"/>
              <w:widowControl/>
              <w:suppressLineNumbers w:val="0"/>
              <w:spacing w:before="0" w:beforeAutospacing="0" w:after="0" w:afterAutospacing="0"/>
              <w:ind w:left="0" w:right="0"/>
              <w:jc w:val="right"/>
              <w:rPr>
                <w:rFonts w:hint="default"/>
                <w:sz w:val="20"/>
                <w:szCs w:val="20"/>
              </w:rPr>
            </w:pPr>
            <w:r>
              <w:rPr>
                <w:rFonts w:hint="default"/>
                <w:sz w:val="20"/>
                <w:szCs w:val="20"/>
              </w:rPr>
              <w:t>2,523,706.16</w:t>
            </w:r>
          </w:p>
        </w:tc>
        <w:tc>
          <w:tcPr>
            <w:tcW w:w="1543" w:type="pct"/>
            <w:tcBorders>
              <w:top w:val="nil"/>
              <w:left w:val="nil"/>
              <w:bottom w:val="single" w:color="000000" w:sz="4" w:space="0"/>
              <w:right w:val="single" w:color="000000" w:sz="4" w:space="0"/>
            </w:tcBorders>
            <w:shd w:val="clear" w:color="000000" w:fill="FFFFFF"/>
            <w:noWrap/>
          </w:tcPr>
          <w:p w14:paraId="7A221C88">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sz w:val="21"/>
                <w:szCs w:val="21"/>
              </w:rPr>
            </w:pPr>
            <w:r>
              <w:rPr>
                <w:rFonts w:hint="default"/>
                <w:sz w:val="20"/>
                <w:szCs w:val="20"/>
              </w:rPr>
              <w:t xml:space="preserve"> </w:t>
            </w:r>
            <w:r>
              <w:rPr>
                <w:rFonts w:hint="eastAsia"/>
                <w:sz w:val="20"/>
                <w:szCs w:val="20"/>
              </w:rPr>
              <w:t>应付赎回款</w:t>
            </w:r>
            <w:r>
              <w:rPr>
                <w:rFonts w:hint="default"/>
                <w:sz w:val="20"/>
                <w:szCs w:val="20"/>
              </w:rPr>
              <w:t xml:space="preserve"> </w:t>
            </w:r>
          </w:p>
        </w:tc>
        <w:tc>
          <w:tcPr>
            <w:tcW w:w="904" w:type="pct"/>
            <w:tcBorders>
              <w:top w:val="nil"/>
              <w:left w:val="nil"/>
              <w:bottom w:val="single" w:color="000000" w:sz="4" w:space="0"/>
              <w:right w:val="single" w:color="000000" w:sz="4" w:space="0"/>
            </w:tcBorders>
            <w:shd w:val="clear" w:color="000000" w:fill="FFFFFF"/>
            <w:noWrap/>
          </w:tcPr>
          <w:p w14:paraId="40D4AF76">
            <w:pPr>
              <w:keepNext w:val="0"/>
              <w:keepLines w:val="0"/>
              <w:widowControl/>
              <w:suppressLineNumbers w:val="0"/>
              <w:spacing w:before="0" w:beforeAutospacing="0" w:after="0" w:afterAutospacing="0"/>
              <w:ind w:left="0" w:right="0"/>
              <w:jc w:val="right"/>
              <w:rPr>
                <w:rFonts w:hint="default" w:cs="宋体" w:asciiTheme="minorEastAsia" w:hAnsiTheme="minorEastAsia" w:eastAsiaTheme="minorEastAsia"/>
                <w:color w:val="000000"/>
                <w:sz w:val="21"/>
                <w:szCs w:val="21"/>
              </w:rPr>
            </w:pPr>
            <w:r>
              <w:rPr>
                <w:rFonts w:hint="default"/>
                <w:sz w:val="20"/>
                <w:szCs w:val="20"/>
              </w:rPr>
              <w:t xml:space="preserve">1,402,504.21 </w:t>
            </w:r>
          </w:p>
        </w:tc>
      </w:tr>
      <w:tr w14:paraId="1AF5A31F">
        <w:tblPrEx>
          <w:tblCellMar>
            <w:top w:w="0" w:type="dxa"/>
            <w:left w:w="108" w:type="dxa"/>
            <w:bottom w:w="0" w:type="dxa"/>
            <w:right w:w="108" w:type="dxa"/>
          </w:tblCellMar>
        </w:tblPrEx>
        <w:trPr>
          <w:trHeight w:val="288" w:hRule="atLeast"/>
        </w:trPr>
        <w:tc>
          <w:tcPr>
            <w:tcW w:w="1528" w:type="pct"/>
            <w:tcBorders>
              <w:top w:val="nil"/>
              <w:left w:val="double" w:color="000000" w:sz="6" w:space="0"/>
              <w:bottom w:val="single" w:color="000000" w:sz="4" w:space="0"/>
              <w:right w:val="single" w:color="000000" w:sz="4" w:space="0"/>
            </w:tcBorders>
            <w:shd w:val="clear" w:color="000000" w:fill="FFFFFF"/>
            <w:noWrap/>
          </w:tcPr>
          <w:p w14:paraId="085186C9">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sz w:val="21"/>
                <w:szCs w:val="21"/>
              </w:rPr>
            </w:pPr>
            <w:r>
              <w:rPr>
                <w:rFonts w:hint="default"/>
                <w:sz w:val="20"/>
                <w:szCs w:val="20"/>
              </w:rPr>
              <w:t xml:space="preserve">      </w:t>
            </w:r>
            <w:r>
              <w:rPr>
                <w:rFonts w:hint="eastAsia"/>
                <w:sz w:val="20"/>
                <w:szCs w:val="20"/>
              </w:rPr>
              <w:t>资产支持证券投资</w:t>
            </w:r>
          </w:p>
        </w:tc>
        <w:tc>
          <w:tcPr>
            <w:tcW w:w="1023" w:type="pct"/>
            <w:tcBorders>
              <w:top w:val="nil"/>
              <w:left w:val="nil"/>
              <w:bottom w:val="single" w:color="000000" w:sz="4" w:space="0"/>
              <w:right w:val="single" w:color="000000" w:sz="4" w:space="0"/>
            </w:tcBorders>
            <w:shd w:val="clear" w:color="000000" w:fill="FFFFFF"/>
            <w:noWrap/>
          </w:tcPr>
          <w:p w14:paraId="3CCE2863">
            <w:pPr>
              <w:keepNext w:val="0"/>
              <w:keepLines w:val="0"/>
              <w:widowControl/>
              <w:suppressLineNumbers w:val="0"/>
              <w:spacing w:before="0" w:beforeAutospacing="0" w:after="0" w:afterAutospacing="0"/>
              <w:ind w:left="0" w:right="0"/>
              <w:jc w:val="right"/>
              <w:rPr>
                <w:rFonts w:hint="default"/>
                <w:sz w:val="20"/>
                <w:szCs w:val="20"/>
              </w:rPr>
            </w:pPr>
            <w:r>
              <w:rPr>
                <w:rFonts w:hint="eastAsia"/>
                <w:sz w:val="20"/>
                <w:szCs w:val="20"/>
              </w:rPr>
              <w:t xml:space="preserve"> -　 </w:t>
            </w:r>
          </w:p>
        </w:tc>
        <w:tc>
          <w:tcPr>
            <w:tcW w:w="1543" w:type="pct"/>
            <w:tcBorders>
              <w:top w:val="nil"/>
              <w:left w:val="nil"/>
              <w:bottom w:val="single" w:color="000000" w:sz="4" w:space="0"/>
              <w:right w:val="single" w:color="000000" w:sz="4" w:space="0"/>
            </w:tcBorders>
            <w:shd w:val="clear" w:color="000000" w:fill="FFFFFF"/>
            <w:noWrap/>
          </w:tcPr>
          <w:p w14:paraId="366936B4">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sz w:val="21"/>
                <w:szCs w:val="21"/>
              </w:rPr>
            </w:pPr>
            <w:r>
              <w:rPr>
                <w:rFonts w:hint="default"/>
                <w:sz w:val="20"/>
                <w:szCs w:val="20"/>
              </w:rPr>
              <w:t xml:space="preserve"> </w:t>
            </w:r>
            <w:r>
              <w:rPr>
                <w:rFonts w:hint="eastAsia"/>
                <w:sz w:val="20"/>
                <w:szCs w:val="20"/>
              </w:rPr>
              <w:t>应付管理人报酬</w:t>
            </w:r>
            <w:r>
              <w:rPr>
                <w:rFonts w:hint="default"/>
                <w:sz w:val="20"/>
                <w:szCs w:val="20"/>
              </w:rPr>
              <w:t xml:space="preserve"> </w:t>
            </w:r>
          </w:p>
        </w:tc>
        <w:tc>
          <w:tcPr>
            <w:tcW w:w="904" w:type="pct"/>
            <w:tcBorders>
              <w:top w:val="nil"/>
              <w:left w:val="nil"/>
              <w:bottom w:val="single" w:color="000000" w:sz="4" w:space="0"/>
              <w:right w:val="single" w:color="000000" w:sz="4" w:space="0"/>
            </w:tcBorders>
            <w:shd w:val="clear" w:color="000000" w:fill="FFFFFF"/>
            <w:noWrap/>
            <w:vAlign w:val="center"/>
          </w:tcPr>
          <w:p w14:paraId="5891CA11">
            <w:pPr>
              <w:keepNext w:val="0"/>
              <w:keepLines w:val="0"/>
              <w:widowControl/>
              <w:suppressLineNumbers w:val="0"/>
              <w:spacing w:before="0" w:beforeAutospacing="0" w:after="0" w:afterAutospacing="0"/>
              <w:ind w:left="0" w:right="0"/>
              <w:jc w:val="right"/>
              <w:rPr>
                <w:rFonts w:hint="default"/>
                <w:sz w:val="20"/>
                <w:szCs w:val="20"/>
              </w:rPr>
            </w:pPr>
            <w:r>
              <w:rPr>
                <w:rFonts w:hint="default"/>
                <w:sz w:val="20"/>
                <w:szCs w:val="20"/>
              </w:rPr>
              <w:t>33,235.99</w:t>
            </w:r>
          </w:p>
        </w:tc>
      </w:tr>
      <w:tr w14:paraId="09873D67">
        <w:tblPrEx>
          <w:tblCellMar>
            <w:top w:w="0" w:type="dxa"/>
            <w:left w:w="108" w:type="dxa"/>
            <w:bottom w:w="0" w:type="dxa"/>
            <w:right w:w="108" w:type="dxa"/>
          </w:tblCellMar>
        </w:tblPrEx>
        <w:trPr>
          <w:trHeight w:val="288" w:hRule="atLeast"/>
        </w:trPr>
        <w:tc>
          <w:tcPr>
            <w:tcW w:w="1528" w:type="pct"/>
            <w:tcBorders>
              <w:top w:val="nil"/>
              <w:left w:val="double" w:color="000000" w:sz="6" w:space="0"/>
              <w:bottom w:val="single" w:color="000000" w:sz="4" w:space="0"/>
              <w:right w:val="single" w:color="000000" w:sz="4" w:space="0"/>
            </w:tcBorders>
            <w:shd w:val="clear" w:color="000000" w:fill="FFFFFF"/>
            <w:noWrap/>
          </w:tcPr>
          <w:p w14:paraId="0A45D7C1">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sz w:val="21"/>
                <w:szCs w:val="21"/>
              </w:rPr>
            </w:pPr>
            <w:r>
              <w:rPr>
                <w:rFonts w:hint="default"/>
                <w:sz w:val="20"/>
                <w:szCs w:val="20"/>
              </w:rPr>
              <w:t xml:space="preserve">      </w:t>
            </w:r>
            <w:r>
              <w:rPr>
                <w:rFonts w:hint="eastAsia"/>
                <w:sz w:val="20"/>
                <w:szCs w:val="20"/>
              </w:rPr>
              <w:t>基金投资</w:t>
            </w:r>
          </w:p>
        </w:tc>
        <w:tc>
          <w:tcPr>
            <w:tcW w:w="1023" w:type="pct"/>
            <w:tcBorders>
              <w:top w:val="nil"/>
              <w:left w:val="nil"/>
              <w:bottom w:val="single" w:color="000000" w:sz="4" w:space="0"/>
              <w:right w:val="single" w:color="000000" w:sz="4" w:space="0"/>
            </w:tcBorders>
            <w:shd w:val="clear" w:color="000000" w:fill="FFFFFF"/>
            <w:noWrap/>
          </w:tcPr>
          <w:p w14:paraId="3B8FCC44">
            <w:pPr>
              <w:keepNext w:val="0"/>
              <w:keepLines w:val="0"/>
              <w:widowControl/>
              <w:suppressLineNumbers w:val="0"/>
              <w:spacing w:before="0" w:beforeAutospacing="0" w:after="0" w:afterAutospacing="0"/>
              <w:ind w:left="0" w:right="0"/>
              <w:jc w:val="right"/>
              <w:rPr>
                <w:rFonts w:hint="default"/>
                <w:sz w:val="20"/>
                <w:szCs w:val="20"/>
              </w:rPr>
            </w:pPr>
            <w:r>
              <w:rPr>
                <w:rFonts w:hint="eastAsia"/>
                <w:sz w:val="20"/>
                <w:szCs w:val="20"/>
              </w:rPr>
              <w:t xml:space="preserve"> -　 </w:t>
            </w:r>
          </w:p>
        </w:tc>
        <w:tc>
          <w:tcPr>
            <w:tcW w:w="1543" w:type="pct"/>
            <w:tcBorders>
              <w:top w:val="nil"/>
              <w:left w:val="nil"/>
              <w:bottom w:val="single" w:color="000000" w:sz="4" w:space="0"/>
              <w:right w:val="single" w:color="000000" w:sz="4" w:space="0"/>
            </w:tcBorders>
            <w:shd w:val="clear" w:color="000000" w:fill="FFFFFF"/>
            <w:noWrap/>
          </w:tcPr>
          <w:p w14:paraId="69D28E82">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sz w:val="21"/>
                <w:szCs w:val="21"/>
              </w:rPr>
            </w:pPr>
            <w:r>
              <w:rPr>
                <w:rFonts w:hint="default"/>
                <w:sz w:val="20"/>
                <w:szCs w:val="20"/>
              </w:rPr>
              <w:t xml:space="preserve"> </w:t>
            </w:r>
            <w:r>
              <w:rPr>
                <w:rFonts w:hint="eastAsia"/>
                <w:sz w:val="20"/>
                <w:szCs w:val="20"/>
              </w:rPr>
              <w:t>应付托管费</w:t>
            </w:r>
            <w:r>
              <w:rPr>
                <w:rFonts w:hint="default"/>
                <w:sz w:val="20"/>
                <w:szCs w:val="20"/>
              </w:rPr>
              <w:t xml:space="preserve"> </w:t>
            </w:r>
          </w:p>
        </w:tc>
        <w:tc>
          <w:tcPr>
            <w:tcW w:w="904" w:type="pct"/>
            <w:tcBorders>
              <w:top w:val="nil"/>
              <w:left w:val="nil"/>
              <w:bottom w:val="single" w:color="000000" w:sz="4" w:space="0"/>
              <w:right w:val="single" w:color="000000" w:sz="4" w:space="0"/>
            </w:tcBorders>
            <w:shd w:val="clear" w:color="000000" w:fill="FFFFFF"/>
            <w:noWrap/>
            <w:vAlign w:val="center"/>
          </w:tcPr>
          <w:p w14:paraId="2E8EE9A3">
            <w:pPr>
              <w:keepNext w:val="0"/>
              <w:keepLines w:val="0"/>
              <w:widowControl/>
              <w:suppressLineNumbers w:val="0"/>
              <w:spacing w:before="0" w:beforeAutospacing="0" w:after="0" w:afterAutospacing="0"/>
              <w:ind w:left="0" w:right="0"/>
              <w:jc w:val="right"/>
              <w:rPr>
                <w:rFonts w:hint="default"/>
                <w:sz w:val="20"/>
                <w:szCs w:val="20"/>
              </w:rPr>
            </w:pPr>
            <w:r>
              <w:rPr>
                <w:rFonts w:hint="default"/>
                <w:sz w:val="20"/>
                <w:szCs w:val="20"/>
              </w:rPr>
              <w:t>8,308.98</w:t>
            </w:r>
          </w:p>
        </w:tc>
      </w:tr>
      <w:tr w14:paraId="05E86CD3">
        <w:tblPrEx>
          <w:tblCellMar>
            <w:top w:w="0" w:type="dxa"/>
            <w:left w:w="108" w:type="dxa"/>
            <w:bottom w:w="0" w:type="dxa"/>
            <w:right w:w="108" w:type="dxa"/>
          </w:tblCellMar>
        </w:tblPrEx>
        <w:trPr>
          <w:trHeight w:val="288" w:hRule="atLeast"/>
        </w:trPr>
        <w:tc>
          <w:tcPr>
            <w:tcW w:w="1528" w:type="pct"/>
            <w:tcBorders>
              <w:top w:val="nil"/>
              <w:left w:val="double" w:color="000000" w:sz="6" w:space="0"/>
              <w:bottom w:val="single" w:color="000000" w:sz="4" w:space="0"/>
              <w:right w:val="single" w:color="000000" w:sz="4" w:space="0"/>
            </w:tcBorders>
            <w:shd w:val="clear" w:color="000000" w:fill="FFFFFF"/>
            <w:noWrap/>
          </w:tcPr>
          <w:p w14:paraId="52B51B5D">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sz w:val="21"/>
                <w:szCs w:val="21"/>
              </w:rPr>
            </w:pPr>
            <w:r>
              <w:rPr>
                <w:rFonts w:hint="eastAsia"/>
                <w:sz w:val="20"/>
                <w:szCs w:val="20"/>
              </w:rPr>
              <w:t>衍生金融资产</w:t>
            </w:r>
          </w:p>
        </w:tc>
        <w:tc>
          <w:tcPr>
            <w:tcW w:w="1023" w:type="pct"/>
            <w:tcBorders>
              <w:top w:val="nil"/>
              <w:left w:val="nil"/>
              <w:bottom w:val="single" w:color="000000" w:sz="4" w:space="0"/>
              <w:right w:val="single" w:color="000000" w:sz="4" w:space="0"/>
            </w:tcBorders>
            <w:shd w:val="clear" w:color="000000" w:fill="FFFFFF"/>
            <w:noWrap/>
          </w:tcPr>
          <w:p w14:paraId="2588914C">
            <w:pPr>
              <w:keepNext w:val="0"/>
              <w:keepLines w:val="0"/>
              <w:widowControl/>
              <w:suppressLineNumbers w:val="0"/>
              <w:spacing w:before="0" w:beforeAutospacing="0" w:after="0" w:afterAutospacing="0"/>
              <w:ind w:left="0" w:right="0"/>
              <w:jc w:val="right"/>
              <w:rPr>
                <w:rFonts w:hint="default"/>
                <w:sz w:val="20"/>
                <w:szCs w:val="20"/>
              </w:rPr>
            </w:pPr>
            <w:r>
              <w:rPr>
                <w:rFonts w:hint="eastAsia"/>
                <w:sz w:val="20"/>
                <w:szCs w:val="20"/>
              </w:rPr>
              <w:t xml:space="preserve"> -　 </w:t>
            </w:r>
          </w:p>
        </w:tc>
        <w:tc>
          <w:tcPr>
            <w:tcW w:w="1543" w:type="pct"/>
            <w:tcBorders>
              <w:top w:val="nil"/>
              <w:left w:val="nil"/>
              <w:bottom w:val="single" w:color="000000" w:sz="4" w:space="0"/>
              <w:right w:val="single" w:color="000000" w:sz="4" w:space="0"/>
            </w:tcBorders>
            <w:shd w:val="clear" w:color="000000" w:fill="FFFFFF"/>
            <w:noWrap/>
          </w:tcPr>
          <w:p w14:paraId="16D56F5F">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sz w:val="21"/>
                <w:szCs w:val="21"/>
              </w:rPr>
            </w:pPr>
            <w:r>
              <w:rPr>
                <w:rFonts w:hint="default"/>
                <w:sz w:val="20"/>
                <w:szCs w:val="20"/>
              </w:rPr>
              <w:t xml:space="preserve"> </w:t>
            </w:r>
            <w:r>
              <w:rPr>
                <w:rFonts w:hint="eastAsia"/>
                <w:sz w:val="20"/>
                <w:szCs w:val="20"/>
              </w:rPr>
              <w:t>应付销售服务费</w:t>
            </w:r>
            <w:r>
              <w:rPr>
                <w:rFonts w:hint="default"/>
                <w:sz w:val="20"/>
                <w:szCs w:val="20"/>
              </w:rPr>
              <w:t xml:space="preserve"> </w:t>
            </w:r>
          </w:p>
        </w:tc>
        <w:tc>
          <w:tcPr>
            <w:tcW w:w="904" w:type="pct"/>
            <w:tcBorders>
              <w:top w:val="nil"/>
              <w:left w:val="nil"/>
              <w:bottom w:val="single" w:color="000000" w:sz="4" w:space="0"/>
              <w:right w:val="single" w:color="000000" w:sz="4" w:space="0"/>
            </w:tcBorders>
            <w:shd w:val="clear" w:color="000000" w:fill="FFFFFF"/>
            <w:noWrap/>
            <w:vAlign w:val="center"/>
          </w:tcPr>
          <w:p w14:paraId="7F8AE994">
            <w:pPr>
              <w:keepNext w:val="0"/>
              <w:keepLines w:val="0"/>
              <w:widowControl/>
              <w:suppressLineNumbers w:val="0"/>
              <w:spacing w:before="0" w:beforeAutospacing="0" w:after="0" w:afterAutospacing="0"/>
              <w:ind w:left="0" w:right="0"/>
              <w:jc w:val="right"/>
              <w:rPr>
                <w:rFonts w:hint="default"/>
                <w:sz w:val="20"/>
                <w:szCs w:val="20"/>
              </w:rPr>
            </w:pPr>
            <w:r>
              <w:rPr>
                <w:rFonts w:hint="default"/>
                <w:sz w:val="20"/>
                <w:szCs w:val="20"/>
              </w:rPr>
              <w:t>9,209.20</w:t>
            </w:r>
          </w:p>
        </w:tc>
      </w:tr>
      <w:tr w14:paraId="2D95A571">
        <w:tblPrEx>
          <w:tblCellMar>
            <w:top w:w="0" w:type="dxa"/>
            <w:left w:w="108" w:type="dxa"/>
            <w:bottom w:w="0" w:type="dxa"/>
            <w:right w:w="108" w:type="dxa"/>
          </w:tblCellMar>
        </w:tblPrEx>
        <w:trPr>
          <w:trHeight w:val="288" w:hRule="atLeast"/>
        </w:trPr>
        <w:tc>
          <w:tcPr>
            <w:tcW w:w="1528" w:type="pct"/>
            <w:tcBorders>
              <w:top w:val="nil"/>
              <w:left w:val="double" w:color="000000" w:sz="6" w:space="0"/>
              <w:bottom w:val="single" w:color="000000" w:sz="4" w:space="0"/>
              <w:right w:val="single" w:color="000000" w:sz="4" w:space="0"/>
            </w:tcBorders>
            <w:shd w:val="clear" w:color="000000" w:fill="FFFFFF"/>
            <w:noWrap/>
          </w:tcPr>
          <w:p w14:paraId="1ED09A93">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sz w:val="21"/>
                <w:szCs w:val="21"/>
              </w:rPr>
            </w:pPr>
            <w:r>
              <w:rPr>
                <w:rFonts w:hint="eastAsia"/>
                <w:sz w:val="20"/>
                <w:szCs w:val="20"/>
              </w:rPr>
              <w:t>买入返售金融资产</w:t>
            </w:r>
          </w:p>
        </w:tc>
        <w:tc>
          <w:tcPr>
            <w:tcW w:w="1023" w:type="pct"/>
            <w:tcBorders>
              <w:top w:val="nil"/>
              <w:left w:val="nil"/>
              <w:bottom w:val="single" w:color="000000" w:sz="4" w:space="0"/>
              <w:right w:val="single" w:color="000000" w:sz="4" w:space="0"/>
            </w:tcBorders>
            <w:shd w:val="clear" w:color="000000" w:fill="FFFFFF"/>
            <w:noWrap/>
          </w:tcPr>
          <w:p w14:paraId="19C003A1">
            <w:pPr>
              <w:keepNext w:val="0"/>
              <w:keepLines w:val="0"/>
              <w:widowControl/>
              <w:suppressLineNumbers w:val="0"/>
              <w:spacing w:before="0" w:beforeAutospacing="0" w:after="0" w:afterAutospacing="0"/>
              <w:ind w:left="0" w:right="0"/>
              <w:jc w:val="right"/>
              <w:rPr>
                <w:rFonts w:hint="default"/>
                <w:sz w:val="20"/>
                <w:szCs w:val="20"/>
              </w:rPr>
            </w:pPr>
            <w:r>
              <w:rPr>
                <w:rFonts w:hint="default"/>
                <w:sz w:val="20"/>
                <w:szCs w:val="20"/>
              </w:rPr>
              <w:t>16,500,000.00</w:t>
            </w:r>
            <w:r>
              <w:rPr>
                <w:rFonts w:hint="eastAsia"/>
                <w:sz w:val="20"/>
                <w:szCs w:val="20"/>
              </w:rPr>
              <w:t xml:space="preserve">　 </w:t>
            </w:r>
          </w:p>
        </w:tc>
        <w:tc>
          <w:tcPr>
            <w:tcW w:w="1543" w:type="pct"/>
            <w:tcBorders>
              <w:top w:val="nil"/>
              <w:left w:val="nil"/>
              <w:bottom w:val="single" w:color="000000" w:sz="4" w:space="0"/>
              <w:right w:val="single" w:color="000000" w:sz="4" w:space="0"/>
            </w:tcBorders>
            <w:shd w:val="clear" w:color="000000" w:fill="FFFFFF"/>
            <w:noWrap/>
          </w:tcPr>
          <w:p w14:paraId="7456FD8A">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sz w:val="21"/>
                <w:szCs w:val="21"/>
              </w:rPr>
            </w:pPr>
            <w:r>
              <w:rPr>
                <w:rFonts w:hint="default"/>
                <w:sz w:val="20"/>
                <w:szCs w:val="20"/>
              </w:rPr>
              <w:t xml:space="preserve"> </w:t>
            </w:r>
            <w:r>
              <w:rPr>
                <w:rFonts w:hint="eastAsia"/>
                <w:sz w:val="20"/>
                <w:szCs w:val="20"/>
              </w:rPr>
              <w:t>应付交易费用</w:t>
            </w:r>
            <w:r>
              <w:rPr>
                <w:rFonts w:hint="default"/>
                <w:sz w:val="20"/>
                <w:szCs w:val="20"/>
              </w:rPr>
              <w:t xml:space="preserve"> </w:t>
            </w:r>
          </w:p>
        </w:tc>
        <w:tc>
          <w:tcPr>
            <w:tcW w:w="904" w:type="pct"/>
            <w:tcBorders>
              <w:top w:val="nil"/>
              <w:left w:val="nil"/>
              <w:bottom w:val="single" w:color="000000" w:sz="4" w:space="0"/>
              <w:right w:val="single" w:color="000000" w:sz="4" w:space="0"/>
            </w:tcBorders>
            <w:shd w:val="clear" w:color="000000" w:fill="FFFFFF"/>
            <w:noWrap/>
          </w:tcPr>
          <w:p w14:paraId="083D5AA2">
            <w:pPr>
              <w:keepNext w:val="0"/>
              <w:keepLines w:val="0"/>
              <w:widowControl/>
              <w:suppressLineNumbers w:val="0"/>
              <w:spacing w:before="0" w:beforeAutospacing="0" w:after="0" w:afterAutospacing="0"/>
              <w:ind w:left="0" w:right="0"/>
              <w:jc w:val="right"/>
              <w:rPr>
                <w:rFonts w:hint="default"/>
                <w:sz w:val="20"/>
                <w:szCs w:val="20"/>
              </w:rPr>
            </w:pPr>
            <w:r>
              <w:rPr>
                <w:rFonts w:hint="default"/>
                <w:sz w:val="20"/>
                <w:szCs w:val="20"/>
              </w:rPr>
              <w:t>-</w:t>
            </w:r>
            <w:r>
              <w:rPr>
                <w:rFonts w:hint="eastAsia"/>
                <w:sz w:val="20"/>
                <w:szCs w:val="20"/>
              </w:rPr>
              <w:t xml:space="preserve"> </w:t>
            </w:r>
          </w:p>
        </w:tc>
      </w:tr>
      <w:tr w14:paraId="0188E6E4">
        <w:tblPrEx>
          <w:tblCellMar>
            <w:top w:w="0" w:type="dxa"/>
            <w:left w:w="108" w:type="dxa"/>
            <w:bottom w:w="0" w:type="dxa"/>
            <w:right w:w="108" w:type="dxa"/>
          </w:tblCellMar>
        </w:tblPrEx>
        <w:trPr>
          <w:trHeight w:val="288" w:hRule="atLeast"/>
        </w:trPr>
        <w:tc>
          <w:tcPr>
            <w:tcW w:w="1528" w:type="pct"/>
            <w:tcBorders>
              <w:top w:val="nil"/>
              <w:left w:val="double" w:color="000000" w:sz="6" w:space="0"/>
              <w:bottom w:val="single" w:color="000000" w:sz="4" w:space="0"/>
              <w:right w:val="single" w:color="000000" w:sz="4" w:space="0"/>
            </w:tcBorders>
            <w:shd w:val="clear" w:color="000000" w:fill="FFFFFF"/>
            <w:noWrap/>
          </w:tcPr>
          <w:p w14:paraId="655518EF">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sz w:val="21"/>
                <w:szCs w:val="21"/>
              </w:rPr>
            </w:pPr>
            <w:r>
              <w:rPr>
                <w:rFonts w:hint="eastAsia"/>
                <w:sz w:val="20"/>
                <w:szCs w:val="20"/>
              </w:rPr>
              <w:t>应收证券清算款</w:t>
            </w:r>
          </w:p>
        </w:tc>
        <w:tc>
          <w:tcPr>
            <w:tcW w:w="1023" w:type="pct"/>
            <w:tcBorders>
              <w:top w:val="nil"/>
              <w:left w:val="nil"/>
              <w:bottom w:val="single" w:color="000000" w:sz="4" w:space="0"/>
              <w:right w:val="single" w:color="000000" w:sz="4" w:space="0"/>
            </w:tcBorders>
            <w:shd w:val="clear" w:color="000000" w:fill="FFFFFF"/>
            <w:noWrap/>
          </w:tcPr>
          <w:p w14:paraId="30111CAF">
            <w:pPr>
              <w:keepNext w:val="0"/>
              <w:keepLines w:val="0"/>
              <w:widowControl/>
              <w:suppressLineNumbers w:val="0"/>
              <w:spacing w:before="0" w:beforeAutospacing="0" w:after="0" w:afterAutospacing="0"/>
              <w:ind w:left="0" w:right="0"/>
              <w:jc w:val="right"/>
              <w:rPr>
                <w:rFonts w:hint="default"/>
                <w:sz w:val="20"/>
                <w:szCs w:val="20"/>
              </w:rPr>
            </w:pPr>
            <w:r>
              <w:rPr>
                <w:rFonts w:hint="default"/>
                <w:sz w:val="20"/>
                <w:szCs w:val="20"/>
              </w:rPr>
              <w:t>16,001,571.19</w:t>
            </w:r>
            <w:r>
              <w:rPr>
                <w:rFonts w:hint="eastAsia"/>
                <w:sz w:val="20"/>
                <w:szCs w:val="20"/>
              </w:rPr>
              <w:t xml:space="preserve">　 </w:t>
            </w:r>
          </w:p>
        </w:tc>
        <w:tc>
          <w:tcPr>
            <w:tcW w:w="1543" w:type="pct"/>
            <w:tcBorders>
              <w:top w:val="nil"/>
              <w:left w:val="nil"/>
              <w:bottom w:val="single" w:color="000000" w:sz="4" w:space="0"/>
              <w:right w:val="single" w:color="000000" w:sz="4" w:space="0"/>
            </w:tcBorders>
            <w:shd w:val="clear" w:color="000000" w:fill="FFFFFF"/>
            <w:noWrap/>
          </w:tcPr>
          <w:p w14:paraId="6E4FF2A0">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sz w:val="21"/>
                <w:szCs w:val="21"/>
              </w:rPr>
            </w:pPr>
            <w:r>
              <w:rPr>
                <w:rFonts w:hint="default"/>
                <w:sz w:val="20"/>
                <w:szCs w:val="20"/>
              </w:rPr>
              <w:t xml:space="preserve"> </w:t>
            </w:r>
            <w:r>
              <w:rPr>
                <w:rFonts w:hint="eastAsia"/>
                <w:sz w:val="20"/>
                <w:szCs w:val="20"/>
              </w:rPr>
              <w:t>应付税费</w:t>
            </w:r>
            <w:r>
              <w:rPr>
                <w:rFonts w:hint="default"/>
                <w:sz w:val="20"/>
                <w:szCs w:val="20"/>
              </w:rPr>
              <w:t xml:space="preserve"> </w:t>
            </w:r>
          </w:p>
        </w:tc>
        <w:tc>
          <w:tcPr>
            <w:tcW w:w="904" w:type="pct"/>
            <w:tcBorders>
              <w:top w:val="nil"/>
              <w:left w:val="nil"/>
              <w:bottom w:val="single" w:color="000000" w:sz="4" w:space="0"/>
              <w:right w:val="single" w:color="000000" w:sz="4" w:space="0"/>
            </w:tcBorders>
            <w:shd w:val="clear" w:color="000000" w:fill="FFFFFF"/>
            <w:noWrap/>
          </w:tcPr>
          <w:p w14:paraId="265C77EE">
            <w:pPr>
              <w:keepNext w:val="0"/>
              <w:keepLines w:val="0"/>
              <w:widowControl/>
              <w:suppressLineNumbers w:val="0"/>
              <w:spacing w:before="0" w:beforeAutospacing="0" w:after="0" w:afterAutospacing="0"/>
              <w:ind w:left="0" w:right="0"/>
              <w:jc w:val="right"/>
              <w:rPr>
                <w:rFonts w:hint="default"/>
                <w:sz w:val="20"/>
                <w:szCs w:val="20"/>
              </w:rPr>
            </w:pPr>
            <w:r>
              <w:rPr>
                <w:rFonts w:hint="default"/>
                <w:sz w:val="20"/>
                <w:szCs w:val="20"/>
              </w:rPr>
              <w:t>1,098.36</w:t>
            </w:r>
            <w:r>
              <w:rPr>
                <w:rFonts w:hint="eastAsia"/>
                <w:sz w:val="20"/>
                <w:szCs w:val="20"/>
              </w:rPr>
              <w:t xml:space="preserve"> </w:t>
            </w:r>
          </w:p>
        </w:tc>
      </w:tr>
      <w:tr w14:paraId="73AF1220">
        <w:tblPrEx>
          <w:tblCellMar>
            <w:top w:w="0" w:type="dxa"/>
            <w:left w:w="108" w:type="dxa"/>
            <w:bottom w:w="0" w:type="dxa"/>
            <w:right w:w="108" w:type="dxa"/>
          </w:tblCellMar>
        </w:tblPrEx>
        <w:trPr>
          <w:trHeight w:val="288" w:hRule="atLeast"/>
        </w:trPr>
        <w:tc>
          <w:tcPr>
            <w:tcW w:w="1528" w:type="pct"/>
            <w:tcBorders>
              <w:top w:val="nil"/>
              <w:left w:val="double" w:color="000000" w:sz="6" w:space="0"/>
              <w:bottom w:val="single" w:color="000000" w:sz="4" w:space="0"/>
              <w:right w:val="single" w:color="000000" w:sz="4" w:space="0"/>
            </w:tcBorders>
            <w:shd w:val="clear" w:color="000000" w:fill="FFFFFF"/>
            <w:noWrap/>
          </w:tcPr>
          <w:p w14:paraId="7D083B94">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sz w:val="21"/>
                <w:szCs w:val="21"/>
              </w:rPr>
            </w:pPr>
            <w:r>
              <w:rPr>
                <w:rFonts w:hint="eastAsia"/>
                <w:sz w:val="20"/>
                <w:szCs w:val="20"/>
              </w:rPr>
              <w:t>应收利息</w:t>
            </w:r>
          </w:p>
        </w:tc>
        <w:tc>
          <w:tcPr>
            <w:tcW w:w="1023" w:type="pct"/>
            <w:tcBorders>
              <w:top w:val="nil"/>
              <w:left w:val="nil"/>
              <w:bottom w:val="single" w:color="000000" w:sz="4" w:space="0"/>
              <w:right w:val="single" w:color="000000" w:sz="4" w:space="0"/>
            </w:tcBorders>
            <w:shd w:val="clear" w:color="000000" w:fill="FFFFFF"/>
            <w:noWrap/>
          </w:tcPr>
          <w:p w14:paraId="10EF0702">
            <w:pPr>
              <w:keepNext w:val="0"/>
              <w:keepLines w:val="0"/>
              <w:widowControl/>
              <w:suppressLineNumbers w:val="0"/>
              <w:spacing w:before="0" w:beforeAutospacing="0" w:after="0" w:afterAutospacing="0"/>
              <w:ind w:left="0" w:right="0"/>
              <w:jc w:val="right"/>
              <w:rPr>
                <w:rFonts w:hint="default"/>
                <w:sz w:val="20"/>
                <w:szCs w:val="20"/>
              </w:rPr>
            </w:pPr>
            <w:r>
              <w:rPr>
                <w:rFonts w:hint="eastAsia"/>
                <w:sz w:val="20"/>
                <w:szCs w:val="20"/>
              </w:rPr>
              <w:t xml:space="preserve"> -　 </w:t>
            </w:r>
          </w:p>
        </w:tc>
        <w:tc>
          <w:tcPr>
            <w:tcW w:w="1543" w:type="pct"/>
            <w:tcBorders>
              <w:top w:val="nil"/>
              <w:left w:val="nil"/>
              <w:bottom w:val="single" w:color="000000" w:sz="4" w:space="0"/>
              <w:right w:val="single" w:color="000000" w:sz="4" w:space="0"/>
            </w:tcBorders>
            <w:shd w:val="clear" w:color="000000" w:fill="FFFFFF"/>
            <w:noWrap/>
          </w:tcPr>
          <w:p w14:paraId="0839C06F">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sz w:val="21"/>
                <w:szCs w:val="21"/>
              </w:rPr>
            </w:pPr>
            <w:r>
              <w:rPr>
                <w:rFonts w:hint="default"/>
                <w:sz w:val="20"/>
                <w:szCs w:val="20"/>
              </w:rPr>
              <w:t xml:space="preserve"> </w:t>
            </w:r>
            <w:r>
              <w:rPr>
                <w:rFonts w:hint="eastAsia"/>
                <w:sz w:val="20"/>
                <w:szCs w:val="20"/>
              </w:rPr>
              <w:t>应付利息</w:t>
            </w:r>
            <w:r>
              <w:rPr>
                <w:rFonts w:hint="default"/>
                <w:sz w:val="20"/>
                <w:szCs w:val="20"/>
              </w:rPr>
              <w:t xml:space="preserve"> </w:t>
            </w:r>
          </w:p>
        </w:tc>
        <w:tc>
          <w:tcPr>
            <w:tcW w:w="904" w:type="pct"/>
            <w:tcBorders>
              <w:top w:val="nil"/>
              <w:left w:val="nil"/>
              <w:bottom w:val="single" w:color="000000" w:sz="4" w:space="0"/>
              <w:right w:val="single" w:color="000000" w:sz="4" w:space="0"/>
            </w:tcBorders>
            <w:shd w:val="clear" w:color="000000" w:fill="FFFFFF"/>
            <w:noWrap/>
          </w:tcPr>
          <w:p w14:paraId="28C8F265">
            <w:pPr>
              <w:keepNext w:val="0"/>
              <w:keepLines w:val="0"/>
              <w:widowControl/>
              <w:suppressLineNumbers w:val="0"/>
              <w:spacing w:before="0" w:beforeAutospacing="0" w:after="0" w:afterAutospacing="0"/>
              <w:ind w:left="0" w:right="0"/>
              <w:jc w:val="right"/>
              <w:rPr>
                <w:rFonts w:hint="default"/>
                <w:sz w:val="20"/>
                <w:szCs w:val="20"/>
              </w:rPr>
            </w:pPr>
            <w:r>
              <w:rPr>
                <w:rFonts w:hint="eastAsia"/>
                <w:sz w:val="20"/>
                <w:szCs w:val="20"/>
              </w:rPr>
              <w:t xml:space="preserve"> -　 </w:t>
            </w:r>
          </w:p>
        </w:tc>
      </w:tr>
      <w:tr w14:paraId="7BAA7C4A">
        <w:tblPrEx>
          <w:tblCellMar>
            <w:top w:w="0" w:type="dxa"/>
            <w:left w:w="108" w:type="dxa"/>
            <w:bottom w:w="0" w:type="dxa"/>
            <w:right w:w="108" w:type="dxa"/>
          </w:tblCellMar>
        </w:tblPrEx>
        <w:trPr>
          <w:trHeight w:val="288" w:hRule="atLeast"/>
        </w:trPr>
        <w:tc>
          <w:tcPr>
            <w:tcW w:w="1528" w:type="pct"/>
            <w:tcBorders>
              <w:top w:val="nil"/>
              <w:left w:val="double" w:color="000000" w:sz="6" w:space="0"/>
              <w:bottom w:val="single" w:color="000000" w:sz="4" w:space="0"/>
              <w:right w:val="single" w:color="000000" w:sz="4" w:space="0"/>
            </w:tcBorders>
            <w:shd w:val="clear" w:color="000000" w:fill="FFFFFF"/>
            <w:noWrap/>
          </w:tcPr>
          <w:p w14:paraId="0DE5EF80">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sz w:val="21"/>
                <w:szCs w:val="21"/>
              </w:rPr>
            </w:pPr>
            <w:r>
              <w:rPr>
                <w:rFonts w:hint="eastAsia"/>
                <w:sz w:val="20"/>
                <w:szCs w:val="20"/>
              </w:rPr>
              <w:t>应收股利</w:t>
            </w:r>
          </w:p>
        </w:tc>
        <w:tc>
          <w:tcPr>
            <w:tcW w:w="1023" w:type="pct"/>
            <w:tcBorders>
              <w:top w:val="nil"/>
              <w:left w:val="nil"/>
              <w:bottom w:val="single" w:color="000000" w:sz="4" w:space="0"/>
              <w:right w:val="single" w:color="000000" w:sz="4" w:space="0"/>
            </w:tcBorders>
            <w:shd w:val="clear" w:color="000000" w:fill="FFFFFF"/>
            <w:noWrap/>
          </w:tcPr>
          <w:p w14:paraId="16DA64C8">
            <w:pPr>
              <w:keepNext w:val="0"/>
              <w:keepLines w:val="0"/>
              <w:widowControl/>
              <w:suppressLineNumbers w:val="0"/>
              <w:spacing w:before="0" w:beforeAutospacing="0" w:after="0" w:afterAutospacing="0"/>
              <w:ind w:left="0" w:right="0"/>
              <w:jc w:val="right"/>
              <w:rPr>
                <w:rFonts w:hint="default"/>
                <w:sz w:val="20"/>
                <w:szCs w:val="20"/>
              </w:rPr>
            </w:pPr>
            <w:r>
              <w:rPr>
                <w:rFonts w:hint="default"/>
                <w:sz w:val="20"/>
                <w:szCs w:val="20"/>
              </w:rPr>
              <w:t>4,405.56</w:t>
            </w:r>
            <w:r>
              <w:rPr>
                <w:rFonts w:hint="eastAsia"/>
                <w:sz w:val="20"/>
                <w:szCs w:val="20"/>
              </w:rPr>
              <w:t xml:space="preserve">　 </w:t>
            </w:r>
          </w:p>
        </w:tc>
        <w:tc>
          <w:tcPr>
            <w:tcW w:w="1543" w:type="pct"/>
            <w:tcBorders>
              <w:top w:val="nil"/>
              <w:left w:val="nil"/>
              <w:bottom w:val="single" w:color="000000" w:sz="4" w:space="0"/>
              <w:right w:val="single" w:color="000000" w:sz="4" w:space="0"/>
            </w:tcBorders>
            <w:shd w:val="clear" w:color="000000" w:fill="FFFFFF"/>
            <w:noWrap/>
          </w:tcPr>
          <w:p w14:paraId="69C90B02">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sz w:val="21"/>
                <w:szCs w:val="21"/>
              </w:rPr>
            </w:pPr>
            <w:r>
              <w:rPr>
                <w:rFonts w:hint="default"/>
                <w:sz w:val="20"/>
                <w:szCs w:val="20"/>
              </w:rPr>
              <w:t xml:space="preserve"> </w:t>
            </w:r>
            <w:r>
              <w:rPr>
                <w:rFonts w:hint="eastAsia"/>
                <w:sz w:val="20"/>
                <w:szCs w:val="20"/>
              </w:rPr>
              <w:t>应付利润</w:t>
            </w:r>
            <w:r>
              <w:rPr>
                <w:rFonts w:hint="default"/>
                <w:sz w:val="20"/>
                <w:szCs w:val="20"/>
              </w:rPr>
              <w:t xml:space="preserve"> </w:t>
            </w:r>
          </w:p>
        </w:tc>
        <w:tc>
          <w:tcPr>
            <w:tcW w:w="904" w:type="pct"/>
            <w:tcBorders>
              <w:top w:val="nil"/>
              <w:left w:val="nil"/>
              <w:bottom w:val="single" w:color="000000" w:sz="4" w:space="0"/>
              <w:right w:val="single" w:color="000000" w:sz="4" w:space="0"/>
            </w:tcBorders>
            <w:shd w:val="clear" w:color="000000" w:fill="FFFFFF"/>
            <w:noWrap/>
          </w:tcPr>
          <w:p w14:paraId="53A4FC80">
            <w:pPr>
              <w:keepNext w:val="0"/>
              <w:keepLines w:val="0"/>
              <w:widowControl/>
              <w:suppressLineNumbers w:val="0"/>
              <w:spacing w:before="0" w:beforeAutospacing="0" w:after="0" w:afterAutospacing="0"/>
              <w:ind w:left="0" w:right="0"/>
              <w:jc w:val="right"/>
              <w:rPr>
                <w:rFonts w:hint="default"/>
                <w:sz w:val="20"/>
                <w:szCs w:val="20"/>
              </w:rPr>
            </w:pPr>
            <w:r>
              <w:rPr>
                <w:rFonts w:hint="eastAsia"/>
                <w:sz w:val="20"/>
                <w:szCs w:val="20"/>
              </w:rPr>
              <w:t xml:space="preserve"> -　 </w:t>
            </w:r>
          </w:p>
        </w:tc>
      </w:tr>
      <w:tr w14:paraId="1BD0D6C6">
        <w:tblPrEx>
          <w:tblCellMar>
            <w:top w:w="0" w:type="dxa"/>
            <w:left w:w="108" w:type="dxa"/>
            <w:bottom w:w="0" w:type="dxa"/>
            <w:right w:w="108" w:type="dxa"/>
          </w:tblCellMar>
        </w:tblPrEx>
        <w:trPr>
          <w:trHeight w:val="288" w:hRule="atLeast"/>
        </w:trPr>
        <w:tc>
          <w:tcPr>
            <w:tcW w:w="1528" w:type="pct"/>
            <w:tcBorders>
              <w:top w:val="nil"/>
              <w:left w:val="double" w:color="000000" w:sz="6" w:space="0"/>
              <w:bottom w:val="single" w:color="000000" w:sz="4" w:space="0"/>
              <w:right w:val="single" w:color="000000" w:sz="4" w:space="0"/>
            </w:tcBorders>
            <w:shd w:val="clear" w:color="000000" w:fill="FFFFFF"/>
            <w:noWrap/>
          </w:tcPr>
          <w:p w14:paraId="0B9270E2">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sz w:val="21"/>
                <w:szCs w:val="21"/>
              </w:rPr>
            </w:pPr>
            <w:r>
              <w:rPr>
                <w:rFonts w:hint="eastAsia"/>
                <w:sz w:val="20"/>
                <w:szCs w:val="20"/>
              </w:rPr>
              <w:t>应收申购款</w:t>
            </w:r>
          </w:p>
        </w:tc>
        <w:tc>
          <w:tcPr>
            <w:tcW w:w="1023" w:type="pct"/>
            <w:tcBorders>
              <w:top w:val="nil"/>
              <w:left w:val="nil"/>
              <w:bottom w:val="single" w:color="000000" w:sz="4" w:space="0"/>
              <w:right w:val="single" w:color="000000" w:sz="4" w:space="0"/>
            </w:tcBorders>
            <w:shd w:val="clear" w:color="000000" w:fill="FFFFFF"/>
            <w:noWrap/>
            <w:vAlign w:val="center"/>
          </w:tcPr>
          <w:p w14:paraId="7CC8BB73">
            <w:pPr>
              <w:keepNext w:val="0"/>
              <w:keepLines w:val="0"/>
              <w:widowControl/>
              <w:suppressLineNumbers w:val="0"/>
              <w:spacing w:before="0" w:beforeAutospacing="0" w:after="0" w:afterAutospacing="0"/>
              <w:ind w:left="0" w:right="0"/>
              <w:jc w:val="right"/>
              <w:rPr>
                <w:rFonts w:hint="default"/>
                <w:sz w:val="20"/>
                <w:szCs w:val="20"/>
              </w:rPr>
            </w:pPr>
            <w:r>
              <w:rPr>
                <w:rFonts w:hint="default"/>
                <w:sz w:val="20"/>
                <w:szCs w:val="20"/>
              </w:rPr>
              <w:t>-</w:t>
            </w:r>
          </w:p>
        </w:tc>
        <w:tc>
          <w:tcPr>
            <w:tcW w:w="1543" w:type="pct"/>
            <w:tcBorders>
              <w:top w:val="nil"/>
              <w:left w:val="nil"/>
              <w:bottom w:val="single" w:color="000000" w:sz="4" w:space="0"/>
              <w:right w:val="single" w:color="000000" w:sz="4" w:space="0"/>
            </w:tcBorders>
            <w:shd w:val="clear" w:color="000000" w:fill="FFFFFF"/>
            <w:noWrap/>
          </w:tcPr>
          <w:p w14:paraId="44AD1B05">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sz w:val="21"/>
                <w:szCs w:val="21"/>
              </w:rPr>
            </w:pPr>
            <w:r>
              <w:rPr>
                <w:rFonts w:hint="default"/>
                <w:sz w:val="20"/>
                <w:szCs w:val="20"/>
              </w:rPr>
              <w:t xml:space="preserve"> </w:t>
            </w:r>
            <w:r>
              <w:rPr>
                <w:rFonts w:hint="eastAsia"/>
                <w:sz w:val="20"/>
                <w:szCs w:val="20"/>
              </w:rPr>
              <w:t>其他负债</w:t>
            </w:r>
            <w:r>
              <w:rPr>
                <w:rFonts w:hint="default"/>
                <w:sz w:val="20"/>
                <w:szCs w:val="20"/>
              </w:rPr>
              <w:t xml:space="preserve"> </w:t>
            </w:r>
          </w:p>
        </w:tc>
        <w:tc>
          <w:tcPr>
            <w:tcW w:w="904" w:type="pct"/>
            <w:tcBorders>
              <w:top w:val="nil"/>
              <w:left w:val="nil"/>
              <w:bottom w:val="single" w:color="000000" w:sz="4" w:space="0"/>
              <w:right w:val="single" w:color="000000" w:sz="4" w:space="0"/>
            </w:tcBorders>
            <w:shd w:val="clear" w:color="000000" w:fill="FFFFFF"/>
            <w:noWrap/>
            <w:vAlign w:val="center"/>
          </w:tcPr>
          <w:p w14:paraId="6CDE20C3">
            <w:pPr>
              <w:keepNext w:val="0"/>
              <w:keepLines w:val="0"/>
              <w:widowControl/>
              <w:suppressLineNumbers w:val="0"/>
              <w:spacing w:before="0" w:beforeAutospacing="0" w:after="0" w:afterAutospacing="0"/>
              <w:ind w:left="0" w:right="0"/>
              <w:jc w:val="right"/>
              <w:rPr>
                <w:rFonts w:hint="default"/>
                <w:sz w:val="20"/>
                <w:szCs w:val="20"/>
              </w:rPr>
            </w:pPr>
            <w:r>
              <w:rPr>
                <w:rFonts w:hint="default"/>
                <w:sz w:val="20"/>
                <w:szCs w:val="20"/>
              </w:rPr>
              <w:t>49,927.57</w:t>
            </w:r>
          </w:p>
        </w:tc>
      </w:tr>
      <w:tr w14:paraId="72EA2BF7">
        <w:tblPrEx>
          <w:tblCellMar>
            <w:top w:w="0" w:type="dxa"/>
            <w:left w:w="108" w:type="dxa"/>
            <w:bottom w:w="0" w:type="dxa"/>
            <w:right w:w="108" w:type="dxa"/>
          </w:tblCellMar>
        </w:tblPrEx>
        <w:trPr>
          <w:trHeight w:val="288" w:hRule="atLeast"/>
        </w:trPr>
        <w:tc>
          <w:tcPr>
            <w:tcW w:w="1528" w:type="pct"/>
            <w:tcBorders>
              <w:top w:val="nil"/>
              <w:left w:val="double" w:color="000000" w:sz="6" w:space="0"/>
              <w:bottom w:val="single" w:color="000000" w:sz="4" w:space="0"/>
              <w:right w:val="single" w:color="000000" w:sz="4" w:space="0"/>
            </w:tcBorders>
            <w:shd w:val="clear" w:color="000000" w:fill="FFFFFF"/>
            <w:noWrap/>
          </w:tcPr>
          <w:p w14:paraId="7CBAF424">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sz w:val="21"/>
                <w:szCs w:val="21"/>
              </w:rPr>
            </w:pPr>
            <w:r>
              <w:rPr>
                <w:rFonts w:hint="eastAsia"/>
                <w:sz w:val="20"/>
                <w:szCs w:val="20"/>
              </w:rPr>
              <w:t>其他资产</w:t>
            </w:r>
          </w:p>
        </w:tc>
        <w:tc>
          <w:tcPr>
            <w:tcW w:w="1023" w:type="pct"/>
            <w:tcBorders>
              <w:top w:val="nil"/>
              <w:left w:val="nil"/>
              <w:bottom w:val="single" w:color="000000" w:sz="4" w:space="0"/>
              <w:right w:val="single" w:color="000000" w:sz="4" w:space="0"/>
            </w:tcBorders>
            <w:shd w:val="clear" w:color="000000" w:fill="FFFFFF"/>
            <w:noWrap/>
          </w:tcPr>
          <w:p w14:paraId="5F0E1EEE">
            <w:pPr>
              <w:keepNext w:val="0"/>
              <w:keepLines w:val="0"/>
              <w:widowControl/>
              <w:suppressLineNumbers w:val="0"/>
              <w:spacing w:before="0" w:beforeAutospacing="0" w:after="0" w:afterAutospacing="0"/>
              <w:ind w:left="0" w:right="0"/>
              <w:jc w:val="right"/>
              <w:rPr>
                <w:rFonts w:hint="default"/>
                <w:sz w:val="20"/>
                <w:szCs w:val="20"/>
              </w:rPr>
            </w:pPr>
            <w:r>
              <w:rPr>
                <w:rFonts w:hint="eastAsia"/>
                <w:sz w:val="20"/>
                <w:szCs w:val="20"/>
              </w:rPr>
              <w:t xml:space="preserve"> -　 </w:t>
            </w:r>
          </w:p>
        </w:tc>
        <w:tc>
          <w:tcPr>
            <w:tcW w:w="1543" w:type="pct"/>
            <w:tcBorders>
              <w:top w:val="nil"/>
              <w:left w:val="nil"/>
              <w:bottom w:val="single" w:color="000000" w:sz="4" w:space="0"/>
              <w:right w:val="single" w:color="000000" w:sz="4" w:space="0"/>
            </w:tcBorders>
            <w:shd w:val="clear" w:color="000000" w:fill="FFFFFF"/>
            <w:noWrap/>
          </w:tcPr>
          <w:p w14:paraId="1151127E">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b/>
                <w:bCs/>
                <w:color w:val="000000"/>
                <w:sz w:val="21"/>
                <w:szCs w:val="21"/>
              </w:rPr>
            </w:pPr>
            <w:r>
              <w:rPr>
                <w:rFonts w:hint="default"/>
                <w:sz w:val="20"/>
                <w:szCs w:val="20"/>
              </w:rPr>
              <w:t xml:space="preserve"> </w:t>
            </w:r>
            <w:r>
              <w:rPr>
                <w:rFonts w:hint="eastAsia"/>
                <w:sz w:val="20"/>
                <w:szCs w:val="20"/>
              </w:rPr>
              <w:t>负债合计</w:t>
            </w:r>
            <w:r>
              <w:rPr>
                <w:rFonts w:hint="default"/>
                <w:sz w:val="20"/>
                <w:szCs w:val="20"/>
              </w:rPr>
              <w:t xml:space="preserve"> </w:t>
            </w:r>
          </w:p>
        </w:tc>
        <w:tc>
          <w:tcPr>
            <w:tcW w:w="904" w:type="pct"/>
            <w:tcBorders>
              <w:top w:val="nil"/>
              <w:left w:val="nil"/>
              <w:bottom w:val="single" w:color="000000" w:sz="4" w:space="0"/>
              <w:right w:val="single" w:color="000000" w:sz="4" w:space="0"/>
            </w:tcBorders>
            <w:shd w:val="clear" w:color="000000" w:fill="FFFFFF"/>
            <w:noWrap/>
            <w:vAlign w:val="center"/>
          </w:tcPr>
          <w:p w14:paraId="1207F430">
            <w:pPr>
              <w:keepNext w:val="0"/>
              <w:keepLines w:val="0"/>
              <w:widowControl/>
              <w:suppressLineNumbers w:val="0"/>
              <w:spacing w:before="0" w:beforeAutospacing="0" w:after="0" w:afterAutospacing="0"/>
              <w:ind w:left="0" w:right="0"/>
              <w:jc w:val="right"/>
              <w:rPr>
                <w:rFonts w:hint="default"/>
                <w:sz w:val="20"/>
                <w:szCs w:val="20"/>
              </w:rPr>
            </w:pPr>
            <w:r>
              <w:rPr>
                <w:rFonts w:hint="default"/>
                <w:sz w:val="20"/>
                <w:szCs w:val="20"/>
              </w:rPr>
              <w:t>5,056,131.47</w:t>
            </w:r>
          </w:p>
        </w:tc>
      </w:tr>
      <w:tr w14:paraId="6E702C6B">
        <w:tblPrEx>
          <w:tblCellMar>
            <w:top w:w="0" w:type="dxa"/>
            <w:left w:w="108" w:type="dxa"/>
            <w:bottom w:w="0" w:type="dxa"/>
            <w:right w:w="108" w:type="dxa"/>
          </w:tblCellMar>
        </w:tblPrEx>
        <w:trPr>
          <w:trHeight w:val="288" w:hRule="atLeast"/>
        </w:trPr>
        <w:tc>
          <w:tcPr>
            <w:tcW w:w="1528" w:type="pct"/>
            <w:tcBorders>
              <w:top w:val="nil"/>
              <w:left w:val="double" w:color="000000" w:sz="6" w:space="0"/>
              <w:bottom w:val="single" w:color="000000" w:sz="4" w:space="0"/>
              <w:right w:val="single" w:color="000000" w:sz="4" w:space="0"/>
            </w:tcBorders>
            <w:shd w:val="clear" w:color="000000" w:fill="FFFFFF"/>
            <w:noWrap/>
          </w:tcPr>
          <w:p w14:paraId="79F962F3">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sz w:val="21"/>
                <w:szCs w:val="21"/>
              </w:rPr>
            </w:pPr>
          </w:p>
        </w:tc>
        <w:tc>
          <w:tcPr>
            <w:tcW w:w="1023" w:type="pct"/>
            <w:tcBorders>
              <w:top w:val="nil"/>
              <w:left w:val="nil"/>
              <w:bottom w:val="single" w:color="000000" w:sz="4" w:space="0"/>
              <w:right w:val="single" w:color="000000" w:sz="4" w:space="0"/>
            </w:tcBorders>
            <w:shd w:val="clear" w:color="000000" w:fill="FFFFFF"/>
            <w:noWrap/>
          </w:tcPr>
          <w:p w14:paraId="5CCE3B72">
            <w:pPr>
              <w:keepNext w:val="0"/>
              <w:keepLines w:val="0"/>
              <w:widowControl/>
              <w:suppressLineNumbers w:val="0"/>
              <w:spacing w:before="0" w:beforeAutospacing="0" w:after="0" w:afterAutospacing="0"/>
              <w:ind w:left="0" w:right="0"/>
              <w:jc w:val="right"/>
              <w:rPr>
                <w:rFonts w:hint="default" w:cs="宋体" w:asciiTheme="minorEastAsia" w:hAnsiTheme="minorEastAsia" w:eastAsiaTheme="minorEastAsia"/>
                <w:color w:val="000000"/>
                <w:sz w:val="21"/>
                <w:szCs w:val="21"/>
              </w:rPr>
            </w:pPr>
          </w:p>
        </w:tc>
        <w:tc>
          <w:tcPr>
            <w:tcW w:w="1543" w:type="pct"/>
            <w:tcBorders>
              <w:top w:val="nil"/>
              <w:left w:val="nil"/>
              <w:bottom w:val="single" w:color="000000" w:sz="4" w:space="0"/>
              <w:right w:val="single" w:color="000000" w:sz="4" w:space="0"/>
            </w:tcBorders>
            <w:shd w:val="clear" w:color="000000" w:fill="FFFFFF"/>
            <w:noWrap/>
          </w:tcPr>
          <w:p w14:paraId="1D17E397">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b/>
                <w:bCs/>
                <w:color w:val="000000"/>
                <w:sz w:val="21"/>
                <w:szCs w:val="21"/>
              </w:rPr>
            </w:pPr>
            <w:r>
              <w:rPr>
                <w:rFonts w:hint="default"/>
                <w:sz w:val="20"/>
                <w:szCs w:val="20"/>
              </w:rPr>
              <w:t xml:space="preserve"> </w:t>
            </w:r>
            <w:r>
              <w:rPr>
                <w:rFonts w:hint="eastAsia"/>
                <w:sz w:val="20"/>
                <w:szCs w:val="20"/>
              </w:rPr>
              <w:t>所有者权益：</w:t>
            </w:r>
            <w:r>
              <w:rPr>
                <w:rFonts w:hint="default"/>
                <w:sz w:val="20"/>
                <w:szCs w:val="20"/>
              </w:rPr>
              <w:t xml:space="preserve"> </w:t>
            </w:r>
          </w:p>
        </w:tc>
        <w:tc>
          <w:tcPr>
            <w:tcW w:w="904" w:type="pct"/>
            <w:tcBorders>
              <w:top w:val="nil"/>
              <w:left w:val="nil"/>
              <w:bottom w:val="single" w:color="000000" w:sz="4" w:space="0"/>
              <w:right w:val="single" w:color="000000" w:sz="4" w:space="0"/>
            </w:tcBorders>
            <w:shd w:val="clear" w:color="000000" w:fill="FFFFFF"/>
            <w:noWrap/>
          </w:tcPr>
          <w:p w14:paraId="6C15070F">
            <w:pPr>
              <w:keepNext w:val="0"/>
              <w:keepLines w:val="0"/>
              <w:widowControl/>
              <w:suppressLineNumbers w:val="0"/>
              <w:spacing w:before="0" w:beforeAutospacing="0" w:after="0" w:afterAutospacing="0"/>
              <w:ind w:left="0" w:right="0"/>
              <w:jc w:val="right"/>
              <w:rPr>
                <w:rFonts w:hint="default"/>
                <w:sz w:val="20"/>
                <w:szCs w:val="20"/>
              </w:rPr>
            </w:pPr>
          </w:p>
        </w:tc>
      </w:tr>
      <w:tr w14:paraId="0203A55B">
        <w:tblPrEx>
          <w:tblCellMar>
            <w:top w:w="0" w:type="dxa"/>
            <w:left w:w="108" w:type="dxa"/>
            <w:bottom w:w="0" w:type="dxa"/>
            <w:right w:w="108" w:type="dxa"/>
          </w:tblCellMar>
        </w:tblPrEx>
        <w:trPr>
          <w:trHeight w:val="288" w:hRule="atLeast"/>
        </w:trPr>
        <w:tc>
          <w:tcPr>
            <w:tcW w:w="1528" w:type="pct"/>
            <w:tcBorders>
              <w:top w:val="nil"/>
              <w:left w:val="double" w:color="000000" w:sz="6" w:space="0"/>
              <w:bottom w:val="single" w:color="000000" w:sz="4" w:space="0"/>
              <w:right w:val="single" w:color="000000" w:sz="4" w:space="0"/>
            </w:tcBorders>
            <w:shd w:val="clear" w:color="000000" w:fill="FFFFFF"/>
            <w:noWrap/>
          </w:tcPr>
          <w:p w14:paraId="75070D1D">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sz w:val="21"/>
                <w:szCs w:val="21"/>
              </w:rPr>
            </w:pPr>
          </w:p>
        </w:tc>
        <w:tc>
          <w:tcPr>
            <w:tcW w:w="1023" w:type="pct"/>
            <w:tcBorders>
              <w:top w:val="nil"/>
              <w:left w:val="nil"/>
              <w:bottom w:val="single" w:color="000000" w:sz="4" w:space="0"/>
              <w:right w:val="single" w:color="000000" w:sz="4" w:space="0"/>
            </w:tcBorders>
            <w:shd w:val="clear" w:color="000000" w:fill="FFFFFF"/>
            <w:noWrap/>
          </w:tcPr>
          <w:p w14:paraId="628FD46A">
            <w:pPr>
              <w:keepNext w:val="0"/>
              <w:keepLines w:val="0"/>
              <w:widowControl/>
              <w:suppressLineNumbers w:val="0"/>
              <w:spacing w:before="0" w:beforeAutospacing="0" w:after="0" w:afterAutospacing="0"/>
              <w:ind w:left="0" w:right="0"/>
              <w:jc w:val="right"/>
              <w:rPr>
                <w:rFonts w:hint="default" w:cs="宋体" w:asciiTheme="minorEastAsia" w:hAnsiTheme="minorEastAsia" w:eastAsiaTheme="minorEastAsia"/>
                <w:color w:val="000000"/>
                <w:sz w:val="21"/>
                <w:szCs w:val="21"/>
              </w:rPr>
            </w:pPr>
          </w:p>
        </w:tc>
        <w:tc>
          <w:tcPr>
            <w:tcW w:w="1543" w:type="pct"/>
            <w:tcBorders>
              <w:top w:val="nil"/>
              <w:left w:val="nil"/>
              <w:bottom w:val="single" w:color="000000" w:sz="4" w:space="0"/>
              <w:right w:val="single" w:color="000000" w:sz="4" w:space="0"/>
            </w:tcBorders>
            <w:shd w:val="clear" w:color="000000" w:fill="FFFFFF"/>
            <w:noWrap/>
          </w:tcPr>
          <w:p w14:paraId="5D5CDA40">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sz w:val="21"/>
                <w:szCs w:val="21"/>
              </w:rPr>
            </w:pPr>
            <w:r>
              <w:rPr>
                <w:rFonts w:hint="default"/>
                <w:sz w:val="20"/>
                <w:szCs w:val="20"/>
              </w:rPr>
              <w:t xml:space="preserve"> </w:t>
            </w:r>
            <w:r>
              <w:rPr>
                <w:rFonts w:hint="eastAsia"/>
                <w:sz w:val="20"/>
                <w:szCs w:val="20"/>
              </w:rPr>
              <w:t>实收基金</w:t>
            </w:r>
            <w:r>
              <w:rPr>
                <w:rFonts w:hint="default"/>
                <w:sz w:val="20"/>
                <w:szCs w:val="20"/>
              </w:rPr>
              <w:t xml:space="preserve"> </w:t>
            </w:r>
          </w:p>
        </w:tc>
        <w:tc>
          <w:tcPr>
            <w:tcW w:w="904" w:type="pct"/>
            <w:tcBorders>
              <w:top w:val="nil"/>
              <w:left w:val="nil"/>
              <w:bottom w:val="single" w:color="000000" w:sz="4" w:space="0"/>
              <w:right w:val="single" w:color="000000" w:sz="4" w:space="0"/>
            </w:tcBorders>
            <w:shd w:val="clear" w:color="000000" w:fill="FFFFFF"/>
            <w:noWrap/>
            <w:vAlign w:val="center"/>
          </w:tcPr>
          <w:p w14:paraId="1992ED8A">
            <w:pPr>
              <w:keepNext w:val="0"/>
              <w:keepLines w:val="0"/>
              <w:widowControl/>
              <w:suppressLineNumbers w:val="0"/>
              <w:spacing w:before="0" w:beforeAutospacing="0" w:after="0" w:afterAutospacing="0"/>
              <w:ind w:left="0" w:right="0"/>
              <w:jc w:val="right"/>
              <w:rPr>
                <w:rFonts w:hint="default"/>
                <w:sz w:val="20"/>
                <w:szCs w:val="20"/>
              </w:rPr>
            </w:pPr>
            <w:r>
              <w:rPr>
                <w:rFonts w:hint="default"/>
                <w:sz w:val="20"/>
                <w:szCs w:val="20"/>
              </w:rPr>
              <w:t>38,342,503.28</w:t>
            </w:r>
          </w:p>
        </w:tc>
      </w:tr>
      <w:tr w14:paraId="7C643DC0">
        <w:tblPrEx>
          <w:tblCellMar>
            <w:top w:w="0" w:type="dxa"/>
            <w:left w:w="108" w:type="dxa"/>
            <w:bottom w:w="0" w:type="dxa"/>
            <w:right w:w="108" w:type="dxa"/>
          </w:tblCellMar>
        </w:tblPrEx>
        <w:trPr>
          <w:trHeight w:val="288" w:hRule="atLeast"/>
        </w:trPr>
        <w:tc>
          <w:tcPr>
            <w:tcW w:w="1528" w:type="pct"/>
            <w:tcBorders>
              <w:top w:val="nil"/>
              <w:left w:val="double" w:color="000000" w:sz="6" w:space="0"/>
              <w:bottom w:val="single" w:color="000000" w:sz="4" w:space="0"/>
              <w:right w:val="single" w:color="000000" w:sz="4" w:space="0"/>
            </w:tcBorders>
            <w:shd w:val="clear" w:color="000000" w:fill="FFFFFF"/>
            <w:noWrap/>
          </w:tcPr>
          <w:p w14:paraId="4FC207E1">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sz w:val="21"/>
                <w:szCs w:val="21"/>
              </w:rPr>
            </w:pPr>
          </w:p>
        </w:tc>
        <w:tc>
          <w:tcPr>
            <w:tcW w:w="1023" w:type="pct"/>
            <w:tcBorders>
              <w:top w:val="nil"/>
              <w:left w:val="nil"/>
              <w:bottom w:val="single" w:color="000000" w:sz="4" w:space="0"/>
              <w:right w:val="single" w:color="000000" w:sz="4" w:space="0"/>
            </w:tcBorders>
            <w:shd w:val="clear" w:color="000000" w:fill="FFFFFF"/>
            <w:noWrap/>
          </w:tcPr>
          <w:p w14:paraId="21942A81">
            <w:pPr>
              <w:keepNext w:val="0"/>
              <w:keepLines w:val="0"/>
              <w:widowControl/>
              <w:suppressLineNumbers w:val="0"/>
              <w:spacing w:before="0" w:beforeAutospacing="0" w:after="0" w:afterAutospacing="0"/>
              <w:ind w:left="0" w:right="0"/>
              <w:jc w:val="right"/>
              <w:rPr>
                <w:rFonts w:hint="default" w:cs="宋体" w:asciiTheme="minorEastAsia" w:hAnsiTheme="minorEastAsia" w:eastAsiaTheme="minorEastAsia"/>
                <w:color w:val="000000"/>
                <w:sz w:val="21"/>
                <w:szCs w:val="21"/>
              </w:rPr>
            </w:pPr>
          </w:p>
        </w:tc>
        <w:tc>
          <w:tcPr>
            <w:tcW w:w="1543" w:type="pct"/>
            <w:tcBorders>
              <w:top w:val="nil"/>
              <w:left w:val="nil"/>
              <w:bottom w:val="single" w:color="000000" w:sz="4" w:space="0"/>
              <w:right w:val="single" w:color="000000" w:sz="4" w:space="0"/>
            </w:tcBorders>
            <w:shd w:val="clear" w:color="000000" w:fill="FFFFFF"/>
            <w:noWrap/>
          </w:tcPr>
          <w:p w14:paraId="3372AB76">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sz w:val="21"/>
                <w:szCs w:val="21"/>
              </w:rPr>
            </w:pPr>
            <w:r>
              <w:rPr>
                <w:rFonts w:hint="default"/>
                <w:sz w:val="20"/>
                <w:szCs w:val="20"/>
              </w:rPr>
              <w:t xml:space="preserve"> </w:t>
            </w:r>
            <w:r>
              <w:rPr>
                <w:rFonts w:hint="eastAsia"/>
                <w:sz w:val="20"/>
                <w:szCs w:val="20"/>
              </w:rPr>
              <w:t>未分配利润</w:t>
            </w:r>
            <w:r>
              <w:rPr>
                <w:rFonts w:hint="default"/>
                <w:sz w:val="20"/>
                <w:szCs w:val="20"/>
              </w:rPr>
              <w:t xml:space="preserve"> </w:t>
            </w:r>
          </w:p>
        </w:tc>
        <w:tc>
          <w:tcPr>
            <w:tcW w:w="904" w:type="pct"/>
            <w:tcBorders>
              <w:top w:val="nil"/>
              <w:left w:val="nil"/>
              <w:bottom w:val="single" w:color="000000" w:sz="4" w:space="0"/>
              <w:right w:val="single" w:color="000000" w:sz="4" w:space="0"/>
            </w:tcBorders>
            <w:shd w:val="clear" w:color="000000" w:fill="FFFFFF"/>
            <w:noWrap/>
            <w:vAlign w:val="center"/>
          </w:tcPr>
          <w:p w14:paraId="204BD59B">
            <w:pPr>
              <w:keepNext w:val="0"/>
              <w:keepLines w:val="0"/>
              <w:widowControl/>
              <w:suppressLineNumbers w:val="0"/>
              <w:spacing w:before="0" w:beforeAutospacing="0" w:after="0" w:afterAutospacing="0"/>
              <w:ind w:left="0" w:right="0"/>
              <w:jc w:val="right"/>
              <w:rPr>
                <w:rFonts w:hint="default"/>
                <w:sz w:val="20"/>
                <w:szCs w:val="20"/>
              </w:rPr>
            </w:pPr>
            <w:r>
              <w:rPr>
                <w:rFonts w:hint="default"/>
                <w:sz w:val="20"/>
                <w:szCs w:val="20"/>
              </w:rPr>
              <w:t>1,794,128.60</w:t>
            </w:r>
          </w:p>
        </w:tc>
      </w:tr>
      <w:tr w14:paraId="781FA1F2">
        <w:tblPrEx>
          <w:tblCellMar>
            <w:top w:w="0" w:type="dxa"/>
            <w:left w:w="108" w:type="dxa"/>
            <w:bottom w:w="0" w:type="dxa"/>
            <w:right w:w="108" w:type="dxa"/>
          </w:tblCellMar>
        </w:tblPrEx>
        <w:trPr>
          <w:trHeight w:val="288" w:hRule="atLeast"/>
        </w:trPr>
        <w:tc>
          <w:tcPr>
            <w:tcW w:w="1528" w:type="pct"/>
            <w:tcBorders>
              <w:top w:val="nil"/>
              <w:left w:val="double" w:color="000000" w:sz="6" w:space="0"/>
              <w:bottom w:val="single" w:color="000000" w:sz="4" w:space="0"/>
              <w:right w:val="single" w:color="000000" w:sz="4" w:space="0"/>
            </w:tcBorders>
            <w:shd w:val="clear" w:color="000000" w:fill="FFFFFF"/>
            <w:noWrap/>
          </w:tcPr>
          <w:p w14:paraId="32B1A0FD">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sz w:val="21"/>
                <w:szCs w:val="21"/>
              </w:rPr>
            </w:pPr>
          </w:p>
        </w:tc>
        <w:tc>
          <w:tcPr>
            <w:tcW w:w="1023" w:type="pct"/>
            <w:tcBorders>
              <w:top w:val="nil"/>
              <w:left w:val="nil"/>
              <w:bottom w:val="single" w:color="000000" w:sz="4" w:space="0"/>
              <w:right w:val="single" w:color="000000" w:sz="4" w:space="0"/>
            </w:tcBorders>
            <w:shd w:val="clear" w:color="000000" w:fill="FFFFFF"/>
            <w:noWrap/>
          </w:tcPr>
          <w:p w14:paraId="5788EC52">
            <w:pPr>
              <w:keepNext w:val="0"/>
              <w:keepLines w:val="0"/>
              <w:widowControl/>
              <w:suppressLineNumbers w:val="0"/>
              <w:spacing w:before="0" w:beforeAutospacing="0" w:after="0" w:afterAutospacing="0"/>
              <w:ind w:left="0" w:right="0"/>
              <w:jc w:val="right"/>
              <w:rPr>
                <w:rFonts w:hint="default" w:cs="宋体" w:asciiTheme="minorEastAsia" w:hAnsiTheme="minorEastAsia" w:eastAsiaTheme="minorEastAsia"/>
                <w:color w:val="000000"/>
                <w:sz w:val="21"/>
                <w:szCs w:val="21"/>
              </w:rPr>
            </w:pPr>
          </w:p>
        </w:tc>
        <w:tc>
          <w:tcPr>
            <w:tcW w:w="1543" w:type="pct"/>
            <w:tcBorders>
              <w:top w:val="nil"/>
              <w:left w:val="nil"/>
              <w:bottom w:val="single" w:color="000000" w:sz="4" w:space="0"/>
              <w:right w:val="single" w:color="000000" w:sz="4" w:space="0"/>
            </w:tcBorders>
            <w:shd w:val="clear" w:color="000000" w:fill="FFFFFF"/>
            <w:noWrap/>
          </w:tcPr>
          <w:p w14:paraId="3116FEFB">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b/>
                <w:bCs/>
                <w:color w:val="000000"/>
                <w:sz w:val="21"/>
                <w:szCs w:val="21"/>
              </w:rPr>
            </w:pPr>
            <w:r>
              <w:rPr>
                <w:rFonts w:hint="default"/>
                <w:sz w:val="20"/>
                <w:szCs w:val="20"/>
              </w:rPr>
              <w:t xml:space="preserve"> </w:t>
            </w:r>
            <w:r>
              <w:rPr>
                <w:rFonts w:hint="eastAsia"/>
                <w:sz w:val="20"/>
                <w:szCs w:val="20"/>
              </w:rPr>
              <w:t>所有者权益合计</w:t>
            </w:r>
            <w:r>
              <w:rPr>
                <w:rFonts w:hint="default"/>
                <w:sz w:val="20"/>
                <w:szCs w:val="20"/>
              </w:rPr>
              <w:t xml:space="preserve"> </w:t>
            </w:r>
          </w:p>
        </w:tc>
        <w:tc>
          <w:tcPr>
            <w:tcW w:w="904" w:type="pct"/>
            <w:tcBorders>
              <w:top w:val="nil"/>
              <w:left w:val="nil"/>
              <w:bottom w:val="single" w:color="000000" w:sz="4" w:space="0"/>
              <w:right w:val="single" w:color="000000" w:sz="4" w:space="0"/>
            </w:tcBorders>
            <w:shd w:val="clear" w:color="000000" w:fill="FFFFFF"/>
            <w:noWrap/>
            <w:vAlign w:val="center"/>
          </w:tcPr>
          <w:p w14:paraId="186B01CD">
            <w:pPr>
              <w:keepNext w:val="0"/>
              <w:keepLines w:val="0"/>
              <w:widowControl/>
              <w:suppressLineNumbers w:val="0"/>
              <w:spacing w:before="0" w:beforeAutospacing="0" w:after="0" w:afterAutospacing="0"/>
              <w:ind w:left="0" w:right="0"/>
              <w:jc w:val="right"/>
              <w:rPr>
                <w:rFonts w:hint="default"/>
                <w:sz w:val="20"/>
                <w:szCs w:val="20"/>
                <w:highlight w:val="yellow"/>
              </w:rPr>
            </w:pPr>
            <w:r>
              <w:rPr>
                <w:rFonts w:hint="default"/>
                <w:sz w:val="20"/>
                <w:szCs w:val="20"/>
              </w:rPr>
              <w:t>40,136,631.88</w:t>
            </w:r>
          </w:p>
        </w:tc>
      </w:tr>
      <w:tr w14:paraId="7665316C">
        <w:tblPrEx>
          <w:tblCellMar>
            <w:top w:w="0" w:type="dxa"/>
            <w:left w:w="108" w:type="dxa"/>
            <w:bottom w:w="0" w:type="dxa"/>
            <w:right w:w="108" w:type="dxa"/>
          </w:tblCellMar>
        </w:tblPrEx>
        <w:trPr>
          <w:trHeight w:val="300" w:hRule="atLeast"/>
        </w:trPr>
        <w:tc>
          <w:tcPr>
            <w:tcW w:w="1528" w:type="pct"/>
            <w:tcBorders>
              <w:top w:val="nil"/>
              <w:left w:val="double" w:color="000000" w:sz="6" w:space="0"/>
              <w:bottom w:val="double" w:color="000000" w:sz="6" w:space="0"/>
              <w:right w:val="single" w:color="000000" w:sz="4" w:space="0"/>
            </w:tcBorders>
            <w:shd w:val="clear" w:color="000000" w:fill="FFFFFF"/>
            <w:noWrap/>
          </w:tcPr>
          <w:p w14:paraId="11E6398C">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b/>
                <w:bCs/>
                <w:color w:val="000000"/>
                <w:sz w:val="21"/>
                <w:szCs w:val="21"/>
              </w:rPr>
            </w:pPr>
            <w:r>
              <w:rPr>
                <w:rFonts w:hint="eastAsia"/>
                <w:sz w:val="20"/>
                <w:szCs w:val="20"/>
              </w:rPr>
              <w:t>资产合计</w:t>
            </w:r>
            <w:r>
              <w:rPr>
                <w:rFonts w:hint="default"/>
                <w:sz w:val="20"/>
                <w:szCs w:val="20"/>
              </w:rPr>
              <w:t>:</w:t>
            </w:r>
          </w:p>
        </w:tc>
        <w:tc>
          <w:tcPr>
            <w:tcW w:w="1023" w:type="pct"/>
            <w:tcBorders>
              <w:top w:val="nil"/>
              <w:left w:val="nil"/>
              <w:bottom w:val="double" w:color="000000" w:sz="6" w:space="0"/>
              <w:right w:val="single" w:color="000000" w:sz="4" w:space="0"/>
            </w:tcBorders>
            <w:shd w:val="clear" w:color="000000" w:fill="FFFFFF"/>
            <w:noWrap/>
            <w:vAlign w:val="center"/>
          </w:tcPr>
          <w:p w14:paraId="752537D9">
            <w:pPr>
              <w:keepNext w:val="0"/>
              <w:keepLines w:val="0"/>
              <w:widowControl/>
              <w:suppressLineNumbers w:val="0"/>
              <w:spacing w:before="0" w:beforeAutospacing="0" w:after="0" w:afterAutospacing="0"/>
              <w:ind w:left="0" w:right="0"/>
              <w:jc w:val="right"/>
              <w:rPr>
                <w:rFonts w:hint="default"/>
                <w:sz w:val="20"/>
                <w:szCs w:val="20"/>
              </w:rPr>
            </w:pPr>
            <w:r>
              <w:rPr>
                <w:rFonts w:hint="default"/>
                <w:sz w:val="20"/>
                <w:szCs w:val="20"/>
              </w:rPr>
              <w:t>45,192,763.35</w:t>
            </w:r>
          </w:p>
        </w:tc>
        <w:tc>
          <w:tcPr>
            <w:tcW w:w="1543" w:type="pct"/>
            <w:tcBorders>
              <w:top w:val="nil"/>
              <w:left w:val="nil"/>
              <w:bottom w:val="double" w:color="000000" w:sz="6" w:space="0"/>
              <w:right w:val="single" w:color="000000" w:sz="4" w:space="0"/>
            </w:tcBorders>
            <w:shd w:val="clear" w:color="000000" w:fill="FFFFFF"/>
            <w:noWrap/>
          </w:tcPr>
          <w:p w14:paraId="727500F9">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b/>
                <w:bCs/>
                <w:color w:val="000000"/>
                <w:sz w:val="21"/>
                <w:szCs w:val="21"/>
              </w:rPr>
            </w:pPr>
            <w:r>
              <w:rPr>
                <w:rFonts w:hint="default"/>
                <w:sz w:val="20"/>
                <w:szCs w:val="20"/>
              </w:rPr>
              <w:t xml:space="preserve"> </w:t>
            </w:r>
            <w:r>
              <w:rPr>
                <w:rFonts w:hint="eastAsia"/>
                <w:sz w:val="20"/>
                <w:szCs w:val="20"/>
              </w:rPr>
              <w:t>负债与持有人权益总计：</w:t>
            </w:r>
            <w:r>
              <w:rPr>
                <w:rFonts w:hint="default"/>
                <w:sz w:val="20"/>
                <w:szCs w:val="20"/>
              </w:rPr>
              <w:t xml:space="preserve"> </w:t>
            </w:r>
          </w:p>
        </w:tc>
        <w:tc>
          <w:tcPr>
            <w:tcW w:w="904" w:type="pct"/>
            <w:tcBorders>
              <w:top w:val="nil"/>
              <w:left w:val="nil"/>
              <w:bottom w:val="double" w:color="000000" w:sz="6" w:space="0"/>
              <w:right w:val="single" w:color="000000" w:sz="4" w:space="0"/>
            </w:tcBorders>
            <w:shd w:val="clear" w:color="000000" w:fill="FFFFFF"/>
            <w:noWrap/>
            <w:vAlign w:val="center"/>
          </w:tcPr>
          <w:p w14:paraId="3FBB5B6A">
            <w:pPr>
              <w:keepNext w:val="0"/>
              <w:keepLines w:val="0"/>
              <w:widowControl/>
              <w:suppressLineNumbers w:val="0"/>
              <w:spacing w:before="0" w:beforeAutospacing="0" w:after="0" w:afterAutospacing="0"/>
              <w:ind w:left="0" w:right="0"/>
              <w:jc w:val="right"/>
              <w:rPr>
                <w:rFonts w:hint="default"/>
                <w:sz w:val="20"/>
                <w:szCs w:val="20"/>
                <w:highlight w:val="yellow"/>
              </w:rPr>
            </w:pPr>
            <w:r>
              <w:rPr>
                <w:rFonts w:hint="default"/>
                <w:sz w:val="20"/>
                <w:szCs w:val="20"/>
              </w:rPr>
              <w:t>45,192,763.35</w:t>
            </w:r>
          </w:p>
        </w:tc>
      </w:tr>
    </w:tbl>
    <w:p w14:paraId="57EBD830">
      <w:pPr>
        <w:rPr>
          <w:rFonts w:ascii="宋体"/>
        </w:rPr>
      </w:pPr>
    </w:p>
    <w:p w14:paraId="088CA166">
      <w:pPr>
        <w:spacing w:after="312" w:afterLines="100"/>
        <w:rPr>
          <w:rStyle w:val="14"/>
        </w:rPr>
      </w:pPr>
      <w:r>
        <w:rPr>
          <w:rStyle w:val="14"/>
          <w:rFonts w:hint="eastAsia"/>
        </w:rPr>
        <w:t>四、清算报表附注</w:t>
      </w:r>
    </w:p>
    <w:p w14:paraId="241FDF79">
      <w:pPr>
        <w:spacing w:before="156" w:beforeLines="50" w:after="156" w:afterLines="50"/>
        <w:rPr>
          <w:rFonts w:ascii="宋体" w:hAnsi="宋体"/>
          <w:b/>
        </w:rPr>
      </w:pPr>
      <w:r>
        <w:rPr>
          <w:rFonts w:ascii="宋体" w:hAnsi="宋体"/>
          <w:b/>
        </w:rPr>
        <w:t>1</w:t>
      </w:r>
      <w:r>
        <w:rPr>
          <w:rFonts w:hint="eastAsia" w:ascii="宋体" w:hAnsi="宋体"/>
          <w:b/>
        </w:rPr>
        <w:t>、基金基本情况</w:t>
      </w:r>
    </w:p>
    <w:p w14:paraId="53CD27FD">
      <w:pPr>
        <w:widowControl/>
        <w:adjustRightInd/>
        <w:spacing w:line="240" w:lineRule="auto"/>
        <w:textAlignment w:val="auto"/>
        <w:rPr>
          <w:rFonts w:ascii="等线" w:hAnsi="等线" w:eastAsia="等线" w:cs="宋体"/>
          <w:color w:val="000000"/>
          <w:sz w:val="22"/>
          <w:szCs w:val="22"/>
        </w:rPr>
      </w:pPr>
      <w:r>
        <w:rPr>
          <w:rFonts w:hint="eastAsia" w:ascii="宋体" w:hAnsi="宋体"/>
        </w:rPr>
        <w:t>交银施罗德稳进回报六个月持有期混合型证券投资基金（以下简称“本基金”）经202</w:t>
      </w:r>
      <w:r>
        <w:rPr>
          <w:rFonts w:ascii="宋体" w:hAnsi="宋体"/>
        </w:rPr>
        <w:t>2</w:t>
      </w:r>
      <w:r>
        <w:rPr>
          <w:rFonts w:hint="eastAsia" w:ascii="宋体" w:hAnsi="宋体"/>
        </w:rPr>
        <w:t>年</w:t>
      </w:r>
      <w:r>
        <w:rPr>
          <w:rFonts w:ascii="宋体" w:hAnsi="宋体"/>
        </w:rPr>
        <w:t>8</w:t>
      </w:r>
      <w:r>
        <w:rPr>
          <w:rFonts w:hint="eastAsia" w:ascii="宋体" w:hAnsi="宋体"/>
        </w:rPr>
        <w:t>月</w:t>
      </w:r>
      <w:r>
        <w:rPr>
          <w:rFonts w:ascii="宋体" w:hAnsi="宋体"/>
        </w:rPr>
        <w:t>10</w:t>
      </w:r>
      <w:r>
        <w:rPr>
          <w:rFonts w:hint="eastAsia" w:ascii="宋体" w:hAnsi="宋体"/>
        </w:rPr>
        <w:t>日中国证券监督管理委员会（以下简称“中国证监会”）证监许可【20</w:t>
      </w:r>
      <w:r>
        <w:rPr>
          <w:rFonts w:ascii="宋体" w:hAnsi="宋体"/>
        </w:rPr>
        <w:t>22</w:t>
      </w:r>
      <w:r>
        <w:rPr>
          <w:rFonts w:hint="eastAsia" w:ascii="宋体" w:hAnsi="宋体"/>
        </w:rPr>
        <w:t>】</w:t>
      </w:r>
      <w:r>
        <w:rPr>
          <w:rFonts w:ascii="宋体" w:hAnsi="宋体"/>
        </w:rPr>
        <w:t>1761</w:t>
      </w:r>
      <w:r>
        <w:rPr>
          <w:rFonts w:hint="eastAsia" w:ascii="宋体" w:hAnsi="宋体"/>
        </w:rPr>
        <w:t>号文准予募集注册，由交银施罗德基金管理有限公司根据《中华人民共和国证券投资基金法》等相关法律法规的规定和《交银施罗德稳进回报六个月持有期混合型证券投资基金</w:t>
      </w:r>
      <w:r>
        <w:rPr>
          <w:rFonts w:hint="eastAsia" w:ascii="宋体" w:hAnsi="宋体"/>
          <w:lang w:val="en-US" w:eastAsia="zh-CN"/>
        </w:rPr>
        <w:t>基金</w:t>
      </w:r>
      <w:r>
        <w:rPr>
          <w:rFonts w:hint="eastAsia" w:ascii="宋体" w:hAnsi="宋体"/>
        </w:rPr>
        <w:t>合同》、《交银施罗德稳进回报六个月持有期混合型证券投资基金招募说明书》的有关约定，负责公开募集。募集结束后，经普华永道中天会计师事务所（特殊普通合伙）“交银施罗德稳进回报六个月持有期混合型证券投资基金设立验资报告”验证，并由中国证监会证券基金机构监管部《关于交银施罗德稳进回报六个月持有期混合型证券投资基金备案确认的函》（基金成立备案函</w:t>
      </w:r>
      <w:r>
        <w:rPr>
          <w:rFonts w:ascii="宋体" w:hAnsi="宋体"/>
        </w:rPr>
        <w:t>[20</w:t>
      </w:r>
      <w:r>
        <w:rPr>
          <w:rFonts w:hint="eastAsia" w:ascii="宋体" w:hAnsi="宋体"/>
        </w:rPr>
        <w:t>2</w:t>
      </w:r>
      <w:r>
        <w:rPr>
          <w:rFonts w:ascii="宋体" w:hAnsi="宋体"/>
        </w:rPr>
        <w:t>3]62</w:t>
      </w:r>
      <w:r>
        <w:rPr>
          <w:rFonts w:hint="eastAsia" w:ascii="宋体" w:hAnsi="宋体"/>
        </w:rPr>
        <w:t>号）予以备案。本基金募集不包括认购资金利息共募集人民币</w:t>
      </w:r>
      <w:r>
        <w:rPr>
          <w:rFonts w:ascii="宋体" w:hAnsi="宋体"/>
        </w:rPr>
        <w:t>586,550,255.53</w:t>
      </w:r>
      <w:r>
        <w:rPr>
          <w:rFonts w:hint="eastAsia" w:ascii="宋体" w:hAnsi="宋体"/>
        </w:rPr>
        <w:t>元，经普华永道中天会计师事务所(特殊普通合伙)普华永道中天验字(202</w:t>
      </w:r>
      <w:r>
        <w:rPr>
          <w:rFonts w:ascii="宋体" w:hAnsi="宋体"/>
        </w:rPr>
        <w:t>3</w:t>
      </w:r>
      <w:r>
        <w:rPr>
          <w:rFonts w:hint="eastAsia" w:ascii="宋体" w:hAnsi="宋体"/>
        </w:rPr>
        <w:t>)第0</w:t>
      </w:r>
      <w:r>
        <w:rPr>
          <w:rFonts w:ascii="宋体" w:hAnsi="宋体"/>
        </w:rPr>
        <w:t>023</w:t>
      </w:r>
      <w:r>
        <w:rPr>
          <w:rFonts w:hint="eastAsia" w:ascii="宋体" w:hAnsi="宋体"/>
        </w:rPr>
        <w:t>号验资报告予以验证。经向中国证监会备案，《交银施罗德稳进回报六个月持有期混合型证券投资基金基金合同》于</w:t>
      </w:r>
      <w:r>
        <w:rPr>
          <w:rFonts w:ascii="宋体" w:hAnsi="宋体"/>
        </w:rPr>
        <w:t>20</w:t>
      </w:r>
      <w:r>
        <w:rPr>
          <w:rFonts w:hint="eastAsia" w:ascii="宋体" w:hAnsi="宋体"/>
        </w:rPr>
        <w:t>2</w:t>
      </w:r>
      <w:r>
        <w:rPr>
          <w:rFonts w:ascii="宋体" w:hAnsi="宋体"/>
        </w:rPr>
        <w:t>3</w:t>
      </w:r>
      <w:r>
        <w:rPr>
          <w:rFonts w:hint="eastAsia" w:ascii="宋体" w:hAnsi="宋体"/>
        </w:rPr>
        <w:t>年</w:t>
      </w:r>
      <w:r>
        <w:rPr>
          <w:rFonts w:ascii="宋体" w:hAnsi="宋体"/>
        </w:rPr>
        <w:t>2</w:t>
      </w:r>
      <w:r>
        <w:rPr>
          <w:rFonts w:hint="eastAsia" w:ascii="宋体" w:hAnsi="宋体"/>
        </w:rPr>
        <w:t>月</w:t>
      </w:r>
      <w:r>
        <w:rPr>
          <w:rFonts w:ascii="宋体" w:hAnsi="宋体"/>
        </w:rPr>
        <w:t>1</w:t>
      </w:r>
      <w:r>
        <w:rPr>
          <w:rFonts w:hint="eastAsia" w:ascii="宋体" w:hAnsi="宋体"/>
        </w:rPr>
        <w:t>日正式生效，基金合同生效日的基金份额总额为</w:t>
      </w:r>
      <w:r>
        <w:rPr>
          <w:rFonts w:ascii="宋体" w:hAnsi="宋体"/>
        </w:rPr>
        <w:t>586,871,679.32</w:t>
      </w:r>
      <w:r>
        <w:rPr>
          <w:rFonts w:hint="eastAsia" w:ascii="宋体" w:hAnsi="宋体"/>
        </w:rPr>
        <w:t>份基金份额，其中认购资金利息折合321</w:t>
      </w:r>
      <w:r>
        <w:rPr>
          <w:rFonts w:ascii="宋体" w:hAnsi="宋体"/>
        </w:rPr>
        <w:t>,</w:t>
      </w:r>
      <w:r>
        <w:rPr>
          <w:rFonts w:hint="eastAsia" w:ascii="宋体" w:hAnsi="宋体"/>
        </w:rPr>
        <w:t>423.7</w:t>
      </w:r>
      <w:r>
        <w:rPr>
          <w:rFonts w:ascii="宋体" w:hAnsi="宋体"/>
        </w:rPr>
        <w:t>9</w:t>
      </w:r>
      <w:r>
        <w:rPr>
          <w:rFonts w:hint="eastAsia" w:ascii="宋体" w:hAnsi="宋体"/>
        </w:rPr>
        <w:t>份基金份额。本基金的基金管理人为交银施罗德基金管理有限公司，基金托管人为</w:t>
      </w:r>
      <w:r>
        <w:rPr>
          <w:rFonts w:hint="eastAsia"/>
          <w:lang w:eastAsia="zh-Hans"/>
        </w:rPr>
        <w:t>招商银行股份有限公司</w:t>
      </w:r>
      <w:r>
        <w:rPr>
          <w:rFonts w:hint="eastAsia"/>
        </w:rPr>
        <w:t>。</w:t>
      </w:r>
    </w:p>
    <w:p w14:paraId="11C57419">
      <w:pPr>
        <w:ind w:firstLine="420"/>
        <w:rPr>
          <w:rFonts w:ascii="宋体"/>
        </w:rPr>
      </w:pPr>
      <w:r>
        <w:rPr>
          <w:rFonts w:hint="eastAsia" w:ascii="宋体" w:hAnsi="宋体"/>
        </w:rPr>
        <w:t>根据《交银施罗德稳进回报六个月持有期混合型证券投资基金基金合同》及交银施罗德基金管理有限公司于202</w:t>
      </w:r>
      <w:r>
        <w:rPr>
          <w:rFonts w:ascii="宋体" w:hAnsi="宋体"/>
        </w:rPr>
        <w:t>6</w:t>
      </w:r>
      <w:r>
        <w:rPr>
          <w:rFonts w:hint="eastAsia" w:ascii="宋体" w:hAnsi="宋体"/>
        </w:rPr>
        <w:t>年</w:t>
      </w:r>
      <w:r>
        <w:rPr>
          <w:rFonts w:ascii="宋体" w:hAnsi="宋体"/>
        </w:rPr>
        <w:t>4</w:t>
      </w:r>
      <w:r>
        <w:rPr>
          <w:rFonts w:hint="eastAsia" w:ascii="宋体" w:hAnsi="宋体"/>
        </w:rPr>
        <w:t>月</w:t>
      </w:r>
      <w:r>
        <w:rPr>
          <w:rFonts w:ascii="宋体" w:hAnsi="宋体"/>
        </w:rPr>
        <w:t>3</w:t>
      </w:r>
      <w:r>
        <w:rPr>
          <w:rFonts w:hint="eastAsia" w:ascii="宋体" w:hAnsi="宋体"/>
        </w:rPr>
        <w:t>日发布的《</w:t>
      </w:r>
      <w:r>
        <w:rPr>
          <w:rFonts w:hint="eastAsia" w:ascii="宋体" w:hAnsi="宋体" w:eastAsia="宋体" w:cs="Times New Roman"/>
          <w:sz w:val="20"/>
          <w:szCs w:val="20"/>
          <w:lang w:val="en-US" w:eastAsia="zh-CN" w:bidi="ar"/>
        </w:rPr>
        <w:t>交银施罗德基金管理有限公司关于</w:t>
      </w:r>
      <w:r>
        <w:rPr>
          <w:rFonts w:hint="eastAsia" w:ascii="宋体" w:hAnsi="宋体"/>
        </w:rPr>
        <w:t>交银施罗德稳进回报六个月持有期混合型证券投资基金</w:t>
      </w:r>
      <w:r>
        <w:rPr>
          <w:rFonts w:hint="eastAsia" w:ascii="宋体" w:hAnsi="宋体"/>
          <w:lang w:val="en-US" w:eastAsia="zh-CN"/>
        </w:rPr>
        <w:t>基金</w:t>
      </w:r>
      <w:r>
        <w:rPr>
          <w:rFonts w:hint="eastAsia" w:ascii="宋体" w:hAnsi="宋体"/>
        </w:rPr>
        <w:t>合同终止及基金财产清算的公告》，202</w:t>
      </w:r>
      <w:r>
        <w:rPr>
          <w:rFonts w:ascii="宋体" w:hAnsi="宋体"/>
        </w:rPr>
        <w:t>6</w:t>
      </w:r>
      <w:r>
        <w:rPr>
          <w:rFonts w:hint="eastAsia" w:ascii="宋体" w:hAnsi="宋体"/>
        </w:rPr>
        <w:t>年</w:t>
      </w:r>
      <w:r>
        <w:rPr>
          <w:rFonts w:ascii="宋体" w:hAnsi="宋体"/>
        </w:rPr>
        <w:t>4</w:t>
      </w:r>
      <w:r>
        <w:rPr>
          <w:rFonts w:hint="eastAsia" w:ascii="宋体" w:hAnsi="宋体"/>
        </w:rPr>
        <w:t>月</w:t>
      </w:r>
      <w:r>
        <w:rPr>
          <w:rFonts w:ascii="宋体" w:hAnsi="宋体"/>
        </w:rPr>
        <w:t>2</w:t>
      </w:r>
      <w:r>
        <w:rPr>
          <w:rFonts w:hint="eastAsia" w:ascii="宋体" w:hAnsi="宋体"/>
        </w:rPr>
        <w:t>日未赎回的基金份额于202</w:t>
      </w:r>
      <w:r>
        <w:rPr>
          <w:rFonts w:ascii="宋体" w:hAnsi="宋体"/>
        </w:rPr>
        <w:t>6</w:t>
      </w:r>
      <w:r>
        <w:rPr>
          <w:rFonts w:hint="eastAsia" w:ascii="宋体" w:hAnsi="宋体"/>
        </w:rPr>
        <w:t>年</w:t>
      </w:r>
      <w:r>
        <w:rPr>
          <w:rFonts w:ascii="宋体" w:hAnsi="宋体"/>
        </w:rPr>
        <w:t>4</w:t>
      </w:r>
      <w:r>
        <w:rPr>
          <w:rFonts w:hint="eastAsia" w:ascii="宋体" w:hAnsi="宋体"/>
        </w:rPr>
        <w:t>月</w:t>
      </w:r>
      <w:r>
        <w:rPr>
          <w:rFonts w:ascii="宋体" w:hAnsi="宋体"/>
        </w:rPr>
        <w:t>3</w:t>
      </w:r>
      <w:r>
        <w:rPr>
          <w:rFonts w:hint="eastAsia" w:ascii="宋体" w:hAnsi="宋体"/>
        </w:rPr>
        <w:t>日全部进入清算程序。</w:t>
      </w:r>
    </w:p>
    <w:p w14:paraId="34B81931">
      <w:pPr>
        <w:spacing w:before="156" w:beforeLines="50" w:after="156" w:afterLines="50"/>
        <w:rPr>
          <w:rFonts w:ascii="宋体" w:hAnsi="宋体"/>
          <w:b/>
        </w:rPr>
      </w:pPr>
      <w:r>
        <w:rPr>
          <w:rFonts w:ascii="宋体" w:hAnsi="宋体"/>
          <w:b/>
        </w:rPr>
        <w:t>2</w:t>
      </w:r>
      <w:r>
        <w:rPr>
          <w:rFonts w:hint="eastAsia" w:ascii="宋体" w:hAnsi="宋体"/>
          <w:b/>
        </w:rPr>
        <w:t>、清算原因</w:t>
      </w:r>
    </w:p>
    <w:p w14:paraId="437DBC97">
      <w:pPr>
        <w:ind w:firstLine="420"/>
        <w:rPr>
          <w:rFonts w:ascii="宋体" w:hAnsi="宋体"/>
        </w:rPr>
      </w:pPr>
      <w:r>
        <w:rPr>
          <w:rFonts w:hint="eastAsia" w:ascii="宋体" w:hAnsi="宋体"/>
        </w:rPr>
        <w:t>根据基金合同“第五部分基金备案”中“三、基金存续期内的基金份额持有人数量和资产规模”的约定：</w:t>
      </w:r>
    </w:p>
    <w:p w14:paraId="210ED775">
      <w:pPr>
        <w:ind w:firstLine="420"/>
        <w:rPr>
          <w:rFonts w:ascii="宋体" w:hAnsi="宋体"/>
        </w:rPr>
      </w:pPr>
      <w:r>
        <w:rPr>
          <w:rFonts w:hint="eastAsia" w:ascii="宋体" w:hAnsi="宋体"/>
        </w:rPr>
        <w:t>“《基金合同》生效后，连续20个工作日出现基金份额持有人数量不满200人或者基金资产净值低于5000万元情形的，基金管理人应当在定期报告中予以披露</w:t>
      </w:r>
      <w:r>
        <w:rPr>
          <w:rFonts w:hint="eastAsia" w:ascii="宋体" w:hAnsi="宋体"/>
          <w:lang w:eastAsia="zh-CN"/>
        </w:rPr>
        <w:t>；</w:t>
      </w:r>
      <w:r>
        <w:rPr>
          <w:rFonts w:hint="eastAsia" w:ascii="宋体" w:hAnsi="宋体"/>
        </w:rPr>
        <w:t>连续50个工作日出现前述情形的，基金合同终止，不需召开基金份额持有人大会。”</w:t>
      </w:r>
    </w:p>
    <w:p w14:paraId="6473DFDC">
      <w:pPr>
        <w:ind w:firstLine="420"/>
        <w:rPr>
          <w:rFonts w:ascii="宋体" w:hAnsi="宋体"/>
        </w:rPr>
      </w:pPr>
      <w:r>
        <w:rPr>
          <w:rFonts w:hint="eastAsia" w:ascii="宋体" w:hAnsi="宋体"/>
        </w:rPr>
        <w:t>截至202</w:t>
      </w:r>
      <w:r>
        <w:rPr>
          <w:rFonts w:ascii="宋体" w:hAnsi="宋体"/>
        </w:rPr>
        <w:t>6</w:t>
      </w:r>
      <w:r>
        <w:rPr>
          <w:rFonts w:hint="eastAsia" w:ascii="宋体" w:hAnsi="宋体"/>
        </w:rPr>
        <w:t>年</w:t>
      </w:r>
      <w:r>
        <w:rPr>
          <w:rFonts w:ascii="宋体" w:hAnsi="宋体"/>
        </w:rPr>
        <w:t>4</w:t>
      </w:r>
      <w:r>
        <w:rPr>
          <w:rFonts w:hint="eastAsia" w:ascii="宋体" w:hAnsi="宋体"/>
        </w:rPr>
        <w:t>月</w:t>
      </w:r>
      <w:r>
        <w:rPr>
          <w:rFonts w:ascii="宋体" w:hAnsi="宋体"/>
        </w:rPr>
        <w:t>2</w:t>
      </w:r>
      <w:r>
        <w:rPr>
          <w:rFonts w:hint="eastAsia" w:ascii="宋体" w:hAnsi="宋体"/>
        </w:rPr>
        <w:t>日日终，本基金的基金资产净值已连续50个工作日低于5000万元，已触发《基金合同》中约定的基金合同终止事由，《基金合同》自动终止，基金管理人将根据法律法规的规定及《基金合同》的约定对本基金进行基金财产清算，无需召开基金份额持有人大会。</w:t>
      </w:r>
    </w:p>
    <w:p w14:paraId="0542A2DE">
      <w:pPr>
        <w:spacing w:before="156" w:beforeLines="50" w:after="156" w:afterLines="50"/>
        <w:rPr>
          <w:rFonts w:ascii="宋体" w:hAnsi="宋体"/>
          <w:b/>
        </w:rPr>
      </w:pPr>
      <w:r>
        <w:rPr>
          <w:rFonts w:ascii="宋体" w:hAnsi="宋体"/>
          <w:b/>
        </w:rPr>
        <w:t>3</w:t>
      </w:r>
      <w:r>
        <w:rPr>
          <w:rFonts w:hint="eastAsia" w:ascii="宋体" w:hAnsi="宋体"/>
          <w:b/>
        </w:rPr>
        <w:t>、清算起始日</w:t>
      </w:r>
    </w:p>
    <w:p w14:paraId="15868B47">
      <w:pPr>
        <w:ind w:firstLine="420"/>
        <w:rPr>
          <w:rFonts w:ascii="宋体"/>
        </w:rPr>
      </w:pPr>
      <w:r>
        <w:rPr>
          <w:rFonts w:hint="eastAsia" w:ascii="宋体" w:hAnsi="宋体"/>
        </w:rPr>
        <w:t>根据《交银施罗德基金管理有限公司关于交银施罗德稳进回报六个月持有期混合型证券投资基金基金合同终止及基金财产清算的公告》，自202</w:t>
      </w:r>
      <w:r>
        <w:rPr>
          <w:rFonts w:ascii="宋体" w:hAnsi="宋体"/>
        </w:rPr>
        <w:t>6</w:t>
      </w:r>
      <w:r>
        <w:rPr>
          <w:rFonts w:hint="eastAsia" w:ascii="宋体" w:hAnsi="宋体"/>
        </w:rPr>
        <w:t>年</w:t>
      </w:r>
      <w:r>
        <w:rPr>
          <w:rFonts w:ascii="宋体" w:hAnsi="宋体"/>
        </w:rPr>
        <w:t>4</w:t>
      </w:r>
      <w:r>
        <w:rPr>
          <w:rFonts w:hint="eastAsia" w:ascii="宋体" w:hAnsi="宋体"/>
        </w:rPr>
        <w:t>月</w:t>
      </w:r>
      <w:r>
        <w:rPr>
          <w:rFonts w:ascii="宋体" w:hAnsi="宋体"/>
        </w:rPr>
        <w:t>3</w:t>
      </w:r>
      <w:r>
        <w:rPr>
          <w:rFonts w:hint="eastAsia" w:ascii="宋体" w:hAnsi="宋体"/>
        </w:rPr>
        <w:t>日起，本基金进入清算程序。故本基金清算起始日为202</w:t>
      </w:r>
      <w:r>
        <w:rPr>
          <w:rFonts w:ascii="宋体" w:hAnsi="宋体"/>
        </w:rPr>
        <w:t>6</w:t>
      </w:r>
      <w:r>
        <w:rPr>
          <w:rFonts w:hint="eastAsia" w:ascii="宋体" w:hAnsi="宋体"/>
        </w:rPr>
        <w:t>年</w:t>
      </w:r>
      <w:r>
        <w:rPr>
          <w:rFonts w:ascii="宋体" w:hAnsi="宋体"/>
        </w:rPr>
        <w:t>4</w:t>
      </w:r>
      <w:r>
        <w:rPr>
          <w:rFonts w:hint="eastAsia" w:ascii="宋体" w:hAnsi="宋体"/>
        </w:rPr>
        <w:t>月</w:t>
      </w:r>
      <w:r>
        <w:rPr>
          <w:rFonts w:ascii="宋体" w:hAnsi="宋体"/>
        </w:rPr>
        <w:t>3</w:t>
      </w:r>
      <w:r>
        <w:rPr>
          <w:rFonts w:hint="eastAsia" w:ascii="宋体" w:hAnsi="宋体"/>
        </w:rPr>
        <w:t>日。</w:t>
      </w:r>
    </w:p>
    <w:p w14:paraId="2EC047DC">
      <w:pPr>
        <w:spacing w:before="156" w:beforeLines="50" w:after="156" w:afterLines="50"/>
        <w:rPr>
          <w:rFonts w:ascii="宋体" w:hAnsi="宋体"/>
          <w:b/>
        </w:rPr>
      </w:pPr>
      <w:r>
        <w:rPr>
          <w:rFonts w:ascii="宋体" w:hAnsi="宋体"/>
          <w:b/>
        </w:rPr>
        <w:t>4</w:t>
      </w:r>
      <w:r>
        <w:rPr>
          <w:rFonts w:hint="eastAsia" w:ascii="宋体" w:hAnsi="宋体"/>
          <w:b/>
        </w:rPr>
        <w:t>、清算报表编制基础</w:t>
      </w:r>
    </w:p>
    <w:p w14:paraId="3CE1BCB8">
      <w:pPr>
        <w:ind w:firstLine="408"/>
        <w:rPr>
          <w:rFonts w:ascii="宋体"/>
        </w:rPr>
      </w:pPr>
      <w:r>
        <w:rPr>
          <w:rFonts w:hint="eastAsia" w:ascii="宋体" w:hAnsi="宋体"/>
        </w:rPr>
        <w:t>本基金的清算报表是在非持续经营的前提下参考《企业会计准则》及《证券投资基金会计核算业务指引》的有关规定编制的。自本基金最后运作日起，资产负债按清算价格计价。由于报告性质所致，本清算报表并无比较期间的相关数据列示。</w:t>
      </w:r>
    </w:p>
    <w:p w14:paraId="62E3D02A">
      <w:pPr>
        <w:rPr>
          <w:rFonts w:ascii="宋体"/>
        </w:rPr>
      </w:pPr>
    </w:p>
    <w:p w14:paraId="775965C9">
      <w:pPr>
        <w:spacing w:after="312" w:afterLines="100"/>
        <w:rPr>
          <w:rStyle w:val="14"/>
        </w:rPr>
      </w:pPr>
      <w:r>
        <w:rPr>
          <w:rStyle w:val="14"/>
          <w:rFonts w:hint="eastAsia"/>
        </w:rPr>
        <w:t>五、清算情况</w:t>
      </w:r>
    </w:p>
    <w:p w14:paraId="4393002C">
      <w:pPr>
        <w:ind w:firstLine="408"/>
        <w:rPr>
          <w:rFonts w:ascii="宋体"/>
        </w:rPr>
      </w:pPr>
      <w:r>
        <w:rPr>
          <w:rFonts w:hint="eastAsia" w:ascii="宋体" w:hAnsi="宋体"/>
        </w:rPr>
        <w:t>自</w:t>
      </w:r>
      <w:r>
        <w:rPr>
          <w:rFonts w:ascii="宋体" w:hAnsi="宋体"/>
        </w:rPr>
        <w:t>20</w:t>
      </w:r>
      <w:r>
        <w:rPr>
          <w:rFonts w:hint="eastAsia" w:ascii="宋体" w:hAnsi="宋体"/>
        </w:rPr>
        <w:t>2</w:t>
      </w:r>
      <w:r>
        <w:rPr>
          <w:rFonts w:ascii="宋体" w:hAnsi="宋体"/>
        </w:rPr>
        <w:t>6</w:t>
      </w:r>
      <w:r>
        <w:rPr>
          <w:rFonts w:hint="eastAsia" w:ascii="宋体" w:hAnsi="宋体"/>
        </w:rPr>
        <w:t>年</w:t>
      </w:r>
      <w:r>
        <w:rPr>
          <w:rFonts w:ascii="宋体" w:hAnsi="宋体"/>
        </w:rPr>
        <w:t>4</w:t>
      </w:r>
      <w:r>
        <w:rPr>
          <w:rFonts w:hint="eastAsia" w:ascii="宋体" w:hAnsi="宋体"/>
        </w:rPr>
        <w:t>月</w:t>
      </w:r>
      <w:r>
        <w:rPr>
          <w:rFonts w:ascii="宋体" w:hAnsi="宋体"/>
        </w:rPr>
        <w:t>3</w:t>
      </w:r>
      <w:r>
        <w:rPr>
          <w:rFonts w:hint="eastAsia" w:ascii="宋体" w:hAnsi="宋体"/>
        </w:rPr>
        <w:t>日至</w:t>
      </w:r>
      <w:r>
        <w:rPr>
          <w:rFonts w:ascii="宋体" w:hAnsi="宋体"/>
        </w:rPr>
        <w:t>20</w:t>
      </w:r>
      <w:r>
        <w:rPr>
          <w:rFonts w:hint="eastAsia" w:ascii="宋体" w:hAnsi="宋体"/>
        </w:rPr>
        <w:t>2</w:t>
      </w:r>
      <w:r>
        <w:rPr>
          <w:rFonts w:ascii="宋体" w:hAnsi="宋体"/>
        </w:rPr>
        <w:t>6</w:t>
      </w:r>
      <w:r>
        <w:rPr>
          <w:rFonts w:hint="eastAsia" w:ascii="宋体" w:hAnsi="宋体"/>
        </w:rPr>
        <w:t>年</w:t>
      </w:r>
      <w:r>
        <w:rPr>
          <w:rFonts w:ascii="宋体" w:hAnsi="宋体"/>
        </w:rPr>
        <w:t>4</w:t>
      </w:r>
      <w:r>
        <w:rPr>
          <w:rFonts w:hint="eastAsia" w:ascii="宋体" w:hAnsi="宋体"/>
        </w:rPr>
        <w:t>月</w:t>
      </w:r>
      <w:r>
        <w:rPr>
          <w:rFonts w:ascii="宋体" w:hAnsi="宋体"/>
        </w:rPr>
        <w:t>30</w:t>
      </w:r>
      <w:r>
        <w:rPr>
          <w:rFonts w:hint="eastAsia" w:ascii="宋体" w:hAnsi="宋体"/>
        </w:rPr>
        <w:t>日止清算期间，基金财产清算小组对本基金的资产、负债进行清算，全部清算工作按清算原则和清算手续进行。具体清算情况如下：</w:t>
      </w:r>
    </w:p>
    <w:p w14:paraId="020B9E51">
      <w:pPr>
        <w:spacing w:before="156" w:beforeLines="50" w:after="156" w:afterLines="50"/>
        <w:rPr>
          <w:rFonts w:ascii="宋体" w:hAnsi="宋体"/>
          <w:b/>
        </w:rPr>
      </w:pPr>
      <w:r>
        <w:rPr>
          <w:rFonts w:ascii="宋体" w:hAnsi="宋体"/>
          <w:b/>
        </w:rPr>
        <w:t>1</w:t>
      </w:r>
      <w:r>
        <w:rPr>
          <w:rFonts w:hint="eastAsia" w:ascii="宋体" w:hAnsi="宋体"/>
          <w:b/>
        </w:rPr>
        <w:t>、清算费用</w:t>
      </w:r>
    </w:p>
    <w:p w14:paraId="18967A44">
      <w:pPr>
        <w:ind w:firstLine="312"/>
        <w:rPr>
          <w:rFonts w:ascii="宋体"/>
        </w:rPr>
      </w:pPr>
      <w:r>
        <w:rPr>
          <w:rFonts w:hint="eastAsia" w:ascii="宋体" w:hAnsi="宋体"/>
        </w:rPr>
        <w:t>按照《交银施罗德稳进回报六个月持有期混合型证券投资基金基金合同》第十九部分“基金合同的变更、终止与基金财产的清算”的规定，清算费用是指基金财产清算小组在进行基金清算过程中发生的所有合理费用，清算费用由基金财产清算小组优先从基金财产中支付。但从保护基金份额持有人利益的角度出发，本基金清算期间的律师费由基金管理人承担。</w:t>
      </w:r>
    </w:p>
    <w:p w14:paraId="5C45FACA">
      <w:pPr>
        <w:spacing w:before="156" w:beforeLines="50" w:after="156" w:afterLines="50"/>
        <w:rPr>
          <w:rFonts w:ascii="宋体" w:hAnsi="宋体"/>
          <w:b/>
        </w:rPr>
      </w:pPr>
      <w:r>
        <w:rPr>
          <w:rFonts w:ascii="宋体" w:hAnsi="宋体"/>
          <w:b/>
        </w:rPr>
        <w:t>2</w:t>
      </w:r>
      <w:r>
        <w:rPr>
          <w:rFonts w:hint="eastAsia" w:ascii="宋体" w:hAnsi="宋体"/>
          <w:b/>
        </w:rPr>
        <w:t>、资产处置情况</w:t>
      </w:r>
    </w:p>
    <w:p w14:paraId="63068C1E">
      <w:pPr>
        <w:ind w:firstLine="408"/>
        <w:rPr>
          <w:rFonts w:ascii="宋体" w:hAnsi="宋体"/>
        </w:rPr>
      </w:pPr>
      <w:r>
        <w:rPr>
          <w:rFonts w:hint="eastAsia" w:ascii="宋体" w:hAnsi="宋体"/>
        </w:rPr>
        <w:t>（1）本基金最后运作日结算备付金（含利息）为人民币</w:t>
      </w:r>
      <w:r>
        <w:rPr>
          <w:rFonts w:ascii="宋体" w:hAnsi="宋体"/>
        </w:rPr>
        <w:t>2,138,797.89</w:t>
      </w:r>
      <w:r>
        <w:rPr>
          <w:rFonts w:hint="eastAsia" w:ascii="宋体" w:hAnsi="宋体"/>
        </w:rPr>
        <w:t>元、存出保证金（含利息）为人民币</w:t>
      </w:r>
      <w:r>
        <w:rPr>
          <w:rFonts w:ascii="宋体" w:hAnsi="宋体"/>
        </w:rPr>
        <w:t>4,339.06</w:t>
      </w:r>
      <w:r>
        <w:rPr>
          <w:rFonts w:hint="eastAsia" w:ascii="宋体" w:hAnsi="宋体"/>
        </w:rPr>
        <w:t>元。</w:t>
      </w:r>
    </w:p>
    <w:p w14:paraId="73A430B9">
      <w:pPr>
        <w:ind w:firstLine="408"/>
        <w:rPr>
          <w:rFonts w:ascii="宋体" w:hAnsi="宋体"/>
        </w:rPr>
      </w:pPr>
      <w:r>
        <w:rPr>
          <w:rFonts w:hint="eastAsia" w:ascii="宋体" w:hAnsi="宋体"/>
        </w:rPr>
        <w:t>（2）本基金最后运作日银行存款（含利息）为人民币共计</w:t>
      </w:r>
      <w:r>
        <w:rPr>
          <w:rFonts w:hint="default" w:ascii="宋体" w:hAnsi="宋体" w:eastAsia="宋体" w:cs="Times New Roman"/>
          <w:sz w:val="20"/>
          <w:szCs w:val="20"/>
          <w:lang w:val="en-US" w:eastAsia="zh-CN" w:bidi="ar"/>
        </w:rPr>
        <w:t>4,039,813.64</w:t>
      </w:r>
      <w:r>
        <w:rPr>
          <w:rFonts w:hint="eastAsia" w:ascii="宋体" w:hAnsi="宋体"/>
        </w:rPr>
        <w:t>元。</w:t>
      </w:r>
    </w:p>
    <w:p w14:paraId="37EDBB90">
      <w:pPr>
        <w:ind w:firstLine="408"/>
        <w:rPr>
          <w:rFonts w:ascii="宋体" w:hAnsi="宋体"/>
        </w:rPr>
      </w:pPr>
      <w:r>
        <w:rPr>
          <w:rFonts w:hint="eastAsia" w:ascii="宋体" w:hAnsi="宋体"/>
        </w:rPr>
        <w:t>（3）本基金最后运作日交易性金融资产为人民币共计</w:t>
      </w:r>
      <w:r>
        <w:rPr>
          <w:rFonts w:ascii="宋体" w:hAnsi="宋体"/>
        </w:rPr>
        <w:t>6,503,836.01</w:t>
      </w:r>
      <w:r>
        <w:rPr>
          <w:rFonts w:hint="eastAsia" w:ascii="宋体" w:hAnsi="宋体"/>
        </w:rPr>
        <w:t>元，该款项已于</w:t>
      </w:r>
      <w:r>
        <w:rPr>
          <w:rFonts w:hint="eastAsia" w:ascii="宋体" w:hAnsi="宋体"/>
          <w:lang w:val="en-US" w:eastAsia="zh-CN"/>
        </w:rPr>
        <w:t>清算期</w:t>
      </w:r>
      <w:r>
        <w:rPr>
          <w:rFonts w:hint="eastAsia" w:ascii="宋体" w:hAnsi="宋体"/>
        </w:rPr>
        <w:t>变现后划入托管账户。</w:t>
      </w:r>
    </w:p>
    <w:p w14:paraId="67847EB9">
      <w:pPr>
        <w:ind w:firstLine="408"/>
        <w:rPr>
          <w:rFonts w:ascii="宋体" w:hAnsi="宋体"/>
        </w:rPr>
      </w:pPr>
      <w:r>
        <w:rPr>
          <w:rFonts w:hint="eastAsia" w:ascii="宋体" w:hAnsi="宋体"/>
        </w:rPr>
        <w:t>（4）本基金最后运作日买入返售金融资产为人民币共计</w:t>
      </w:r>
      <w:r>
        <w:rPr>
          <w:rFonts w:ascii="宋体" w:hAnsi="宋体"/>
        </w:rPr>
        <w:t>16,500,000.00</w:t>
      </w:r>
      <w:r>
        <w:rPr>
          <w:rFonts w:hint="eastAsia" w:ascii="宋体" w:hAnsi="宋体"/>
        </w:rPr>
        <w:t>元，该款项已于</w:t>
      </w:r>
      <w:r>
        <w:rPr>
          <w:rFonts w:hint="eastAsia" w:ascii="宋体" w:hAnsi="宋体"/>
          <w:lang w:val="en-US" w:eastAsia="zh-CN"/>
        </w:rPr>
        <w:t>清算期</w:t>
      </w:r>
      <w:r>
        <w:rPr>
          <w:rFonts w:hint="eastAsia" w:ascii="宋体" w:hAnsi="宋体"/>
        </w:rPr>
        <w:t>变现后划入托管账户。</w:t>
      </w:r>
    </w:p>
    <w:p w14:paraId="5A76F684">
      <w:pPr>
        <w:ind w:firstLine="408"/>
        <w:rPr>
          <w:rFonts w:ascii="宋体" w:hAnsi="宋体"/>
        </w:rPr>
      </w:pPr>
      <w:r>
        <w:rPr>
          <w:rFonts w:hint="eastAsia" w:ascii="宋体" w:hAnsi="宋体"/>
        </w:rPr>
        <w:t>（5）本基金最后运作日应收股利为人民币</w:t>
      </w:r>
      <w:r>
        <w:rPr>
          <w:rFonts w:ascii="宋体" w:hAnsi="宋体"/>
        </w:rPr>
        <w:t>4,405.56</w:t>
      </w:r>
      <w:r>
        <w:rPr>
          <w:rFonts w:hint="eastAsia" w:ascii="宋体" w:hAnsi="宋体"/>
        </w:rPr>
        <w:t>元。</w:t>
      </w:r>
    </w:p>
    <w:p w14:paraId="327FCF74">
      <w:pPr>
        <w:ind w:firstLine="408"/>
        <w:rPr>
          <w:rFonts w:ascii="宋体" w:hAnsi="宋体"/>
        </w:rPr>
      </w:pPr>
      <w:r>
        <w:rPr>
          <w:rFonts w:hint="eastAsia" w:ascii="宋体" w:hAnsi="宋体"/>
        </w:rPr>
        <w:t>（</w:t>
      </w:r>
      <w:r>
        <w:rPr>
          <w:rFonts w:ascii="宋体" w:hAnsi="宋体"/>
        </w:rPr>
        <w:t>6</w:t>
      </w:r>
      <w:r>
        <w:rPr>
          <w:rFonts w:hint="eastAsia" w:ascii="宋体" w:hAnsi="宋体"/>
        </w:rPr>
        <w:t>）本基金最后运作日无应收申购款。</w:t>
      </w:r>
    </w:p>
    <w:p w14:paraId="35A016D9">
      <w:pPr>
        <w:ind w:firstLine="408"/>
        <w:rPr>
          <w:rFonts w:ascii="宋体" w:hAnsi="宋体"/>
        </w:rPr>
      </w:pPr>
      <w:r>
        <w:rPr>
          <w:rFonts w:hint="eastAsia" w:ascii="宋体" w:hAnsi="宋体"/>
        </w:rPr>
        <w:t>（</w:t>
      </w:r>
      <w:r>
        <w:rPr>
          <w:rFonts w:ascii="宋体" w:hAnsi="宋体"/>
        </w:rPr>
        <w:t>7</w:t>
      </w:r>
      <w:r>
        <w:rPr>
          <w:rFonts w:hint="eastAsia" w:ascii="宋体" w:hAnsi="宋体"/>
        </w:rPr>
        <w:t>）本基金最后运作日应收证券清算款为人民币</w:t>
      </w:r>
      <w:r>
        <w:rPr>
          <w:rFonts w:ascii="宋体" w:hAnsi="宋体"/>
        </w:rPr>
        <w:t>16,001,571.19</w:t>
      </w:r>
      <w:r>
        <w:rPr>
          <w:rFonts w:hint="eastAsia" w:ascii="宋体" w:hAnsi="宋体"/>
        </w:rPr>
        <w:t>元，该款项已于交易交收时划入托管账户。</w:t>
      </w:r>
    </w:p>
    <w:p w14:paraId="73B4467A">
      <w:pPr>
        <w:ind w:firstLine="408"/>
        <w:rPr>
          <w:rFonts w:ascii="宋体" w:hAnsi="宋体"/>
        </w:rPr>
      </w:pPr>
      <w:r>
        <w:rPr>
          <w:rFonts w:hint="eastAsia" w:ascii="宋体" w:hAnsi="宋体"/>
        </w:rPr>
        <w:t>（</w:t>
      </w:r>
      <w:r>
        <w:rPr>
          <w:rFonts w:ascii="宋体" w:hAnsi="宋体"/>
        </w:rPr>
        <w:t>8</w:t>
      </w:r>
      <w:r>
        <w:rPr>
          <w:rFonts w:hint="eastAsia" w:ascii="宋体" w:hAnsi="宋体"/>
        </w:rPr>
        <w:t>）本基金最后运作日无其他资产。</w:t>
      </w:r>
    </w:p>
    <w:p w14:paraId="7D2D0675">
      <w:pPr>
        <w:spacing w:before="156" w:beforeLines="50" w:after="156" w:afterLines="50"/>
        <w:rPr>
          <w:rFonts w:ascii="宋体" w:hAnsi="宋体"/>
        </w:rPr>
      </w:pPr>
      <w:r>
        <w:rPr>
          <w:rFonts w:ascii="宋体" w:hAnsi="宋体"/>
        </w:rPr>
        <w:t>3</w:t>
      </w:r>
      <w:r>
        <w:rPr>
          <w:rFonts w:hint="eastAsia" w:ascii="宋体" w:hAnsi="宋体"/>
        </w:rPr>
        <w:t>、负债清偿情况</w:t>
      </w:r>
    </w:p>
    <w:p w14:paraId="44CC125A">
      <w:pPr>
        <w:ind w:firstLine="408"/>
        <w:rPr>
          <w:rFonts w:ascii="宋体" w:hAnsi="宋体"/>
        </w:rPr>
      </w:pPr>
      <w:r>
        <w:rPr>
          <w:rFonts w:hint="eastAsia" w:ascii="宋体" w:hAnsi="宋体"/>
        </w:rPr>
        <w:t>（</w:t>
      </w:r>
      <w:r>
        <w:rPr>
          <w:rFonts w:ascii="宋体" w:hAnsi="宋体"/>
        </w:rPr>
        <w:t>1</w:t>
      </w:r>
      <w:r>
        <w:rPr>
          <w:rFonts w:hint="eastAsia" w:ascii="宋体" w:hAnsi="宋体"/>
        </w:rPr>
        <w:t>）本基金最后运作日应付赎回款为人民币</w:t>
      </w:r>
      <w:r>
        <w:rPr>
          <w:rFonts w:ascii="宋体" w:hAnsi="宋体"/>
        </w:rPr>
        <w:t>1,402,504.21</w:t>
      </w:r>
      <w:r>
        <w:rPr>
          <w:rFonts w:hint="eastAsia" w:ascii="宋体" w:hAnsi="宋体"/>
        </w:rPr>
        <w:t>元</w:t>
      </w:r>
      <w:r>
        <w:rPr>
          <w:rFonts w:ascii="宋体" w:hAnsi="宋体"/>
        </w:rPr>
        <w:t>，</w:t>
      </w:r>
      <w:r>
        <w:rPr>
          <w:rFonts w:hint="eastAsia" w:ascii="宋体" w:hAnsi="宋体"/>
        </w:rPr>
        <w:t>该款项分别于202</w:t>
      </w:r>
      <w:r>
        <w:rPr>
          <w:rFonts w:ascii="宋体" w:hAnsi="宋体"/>
        </w:rPr>
        <w:t>6</w:t>
      </w:r>
      <w:r>
        <w:rPr>
          <w:rFonts w:hint="eastAsia" w:ascii="宋体" w:hAnsi="宋体"/>
        </w:rPr>
        <w:t>年</w:t>
      </w:r>
      <w:r>
        <w:rPr>
          <w:rFonts w:ascii="宋体" w:hAnsi="宋体"/>
        </w:rPr>
        <w:t>4</w:t>
      </w:r>
      <w:r>
        <w:rPr>
          <w:rFonts w:hint="eastAsia" w:ascii="宋体" w:hAnsi="宋体"/>
        </w:rPr>
        <w:t>月</w:t>
      </w:r>
      <w:r>
        <w:rPr>
          <w:rFonts w:ascii="宋体" w:hAnsi="宋体"/>
        </w:rPr>
        <w:t>3</w:t>
      </w:r>
      <w:r>
        <w:rPr>
          <w:rFonts w:hint="eastAsia" w:ascii="宋体" w:hAnsi="宋体"/>
        </w:rPr>
        <w:t>日、</w:t>
      </w:r>
      <w:r>
        <w:rPr>
          <w:rFonts w:ascii="宋体" w:hAnsi="宋体"/>
        </w:rPr>
        <w:t>7</w:t>
      </w:r>
      <w:r>
        <w:rPr>
          <w:rFonts w:hint="eastAsia" w:ascii="宋体" w:hAnsi="宋体"/>
        </w:rPr>
        <w:t>日、8日支付。</w:t>
      </w:r>
    </w:p>
    <w:p w14:paraId="59B268AA">
      <w:pPr>
        <w:ind w:firstLine="408"/>
        <w:rPr>
          <w:rFonts w:ascii="宋体" w:hAnsi="宋体"/>
        </w:rPr>
      </w:pPr>
      <w:r>
        <w:rPr>
          <w:rFonts w:hint="eastAsia" w:ascii="宋体" w:hAnsi="宋体"/>
        </w:rPr>
        <w:t>（</w:t>
      </w:r>
      <w:r>
        <w:rPr>
          <w:rFonts w:ascii="宋体" w:hAnsi="宋体"/>
        </w:rPr>
        <w:t>2</w:t>
      </w:r>
      <w:r>
        <w:rPr>
          <w:rFonts w:hint="eastAsia" w:ascii="宋体" w:hAnsi="宋体"/>
        </w:rPr>
        <w:t>）本基金最后运作日应付管理人报酬为人民币</w:t>
      </w:r>
      <w:r>
        <w:rPr>
          <w:rFonts w:ascii="宋体" w:hAnsi="宋体"/>
        </w:rPr>
        <w:t>33,235.99</w:t>
      </w:r>
      <w:r>
        <w:rPr>
          <w:rFonts w:hint="eastAsia" w:ascii="宋体" w:hAnsi="宋体"/>
        </w:rPr>
        <w:t>元，该款项分别于202</w:t>
      </w:r>
      <w:r>
        <w:rPr>
          <w:rFonts w:ascii="宋体" w:hAnsi="宋体"/>
        </w:rPr>
        <w:t>6</w:t>
      </w:r>
      <w:r>
        <w:rPr>
          <w:rFonts w:hint="eastAsia" w:ascii="宋体" w:hAnsi="宋体"/>
        </w:rPr>
        <w:t>年</w:t>
      </w:r>
      <w:r>
        <w:rPr>
          <w:rFonts w:ascii="宋体" w:hAnsi="宋体"/>
        </w:rPr>
        <w:t>4</w:t>
      </w:r>
      <w:r>
        <w:rPr>
          <w:rFonts w:hint="eastAsia" w:ascii="宋体" w:hAnsi="宋体"/>
        </w:rPr>
        <w:t>月</w:t>
      </w:r>
      <w:r>
        <w:rPr>
          <w:rFonts w:ascii="宋体" w:hAnsi="宋体"/>
        </w:rPr>
        <w:t>3</w:t>
      </w:r>
      <w:r>
        <w:rPr>
          <w:rFonts w:hint="eastAsia" w:ascii="宋体" w:hAnsi="宋体"/>
        </w:rPr>
        <w:t>日、2</w:t>
      </w:r>
      <w:r>
        <w:rPr>
          <w:rFonts w:ascii="宋体" w:hAnsi="宋体"/>
        </w:rPr>
        <w:t>4</w:t>
      </w:r>
      <w:r>
        <w:rPr>
          <w:rFonts w:hint="eastAsia" w:ascii="宋体" w:hAnsi="宋体"/>
        </w:rPr>
        <w:t>日支付。</w:t>
      </w:r>
    </w:p>
    <w:p w14:paraId="7B888632">
      <w:pPr>
        <w:ind w:firstLine="408"/>
        <w:rPr>
          <w:rFonts w:ascii="宋体" w:hAnsi="宋体"/>
        </w:rPr>
      </w:pPr>
      <w:r>
        <w:rPr>
          <w:rFonts w:hint="eastAsia" w:ascii="宋体" w:hAnsi="宋体"/>
        </w:rPr>
        <w:t>（</w:t>
      </w:r>
      <w:r>
        <w:rPr>
          <w:rFonts w:ascii="宋体" w:hAnsi="宋体"/>
        </w:rPr>
        <w:t>3</w:t>
      </w:r>
      <w:r>
        <w:rPr>
          <w:rFonts w:hint="eastAsia" w:ascii="宋体" w:hAnsi="宋体"/>
        </w:rPr>
        <w:t>）本基金最后运作日应付托管费为人民币</w:t>
      </w:r>
      <w:r>
        <w:rPr>
          <w:rFonts w:ascii="宋体" w:hAnsi="宋体"/>
        </w:rPr>
        <w:t>8,308.98</w:t>
      </w:r>
      <w:r>
        <w:rPr>
          <w:rFonts w:hint="eastAsia" w:ascii="宋体" w:hAnsi="宋体"/>
        </w:rPr>
        <w:t>元，该款项分别于202</w:t>
      </w:r>
      <w:r>
        <w:rPr>
          <w:rFonts w:ascii="宋体" w:hAnsi="宋体"/>
        </w:rPr>
        <w:t>6</w:t>
      </w:r>
      <w:r>
        <w:rPr>
          <w:rFonts w:hint="eastAsia" w:ascii="宋体" w:hAnsi="宋体"/>
        </w:rPr>
        <w:t>年</w:t>
      </w:r>
      <w:r>
        <w:rPr>
          <w:rFonts w:ascii="宋体" w:hAnsi="宋体"/>
        </w:rPr>
        <w:t>4</w:t>
      </w:r>
      <w:r>
        <w:rPr>
          <w:rFonts w:hint="eastAsia" w:ascii="宋体" w:hAnsi="宋体"/>
        </w:rPr>
        <w:t>月</w:t>
      </w:r>
      <w:r>
        <w:rPr>
          <w:rFonts w:ascii="宋体" w:hAnsi="宋体"/>
        </w:rPr>
        <w:t>3</w:t>
      </w:r>
      <w:r>
        <w:rPr>
          <w:rFonts w:hint="eastAsia" w:ascii="宋体" w:hAnsi="宋体"/>
        </w:rPr>
        <w:t>日、2</w:t>
      </w:r>
      <w:r>
        <w:rPr>
          <w:rFonts w:ascii="宋体" w:hAnsi="宋体"/>
        </w:rPr>
        <w:t>4</w:t>
      </w:r>
      <w:r>
        <w:rPr>
          <w:rFonts w:hint="eastAsia" w:ascii="宋体" w:hAnsi="宋体"/>
        </w:rPr>
        <w:t>日支付。</w:t>
      </w:r>
    </w:p>
    <w:p w14:paraId="1BFAF31D">
      <w:pPr>
        <w:ind w:firstLine="408"/>
        <w:rPr>
          <w:rFonts w:ascii="宋体" w:hAnsi="宋体"/>
        </w:rPr>
      </w:pPr>
      <w:r>
        <w:rPr>
          <w:rFonts w:hint="eastAsia" w:ascii="宋体" w:hAnsi="宋体"/>
        </w:rPr>
        <w:t>（</w:t>
      </w:r>
      <w:r>
        <w:rPr>
          <w:rFonts w:ascii="宋体" w:hAnsi="宋体"/>
        </w:rPr>
        <w:t>4</w:t>
      </w:r>
      <w:r>
        <w:rPr>
          <w:rFonts w:hint="eastAsia" w:ascii="宋体" w:hAnsi="宋体"/>
        </w:rPr>
        <w:t>）本基金最后运作日应付销售服务费为人民币</w:t>
      </w:r>
      <w:r>
        <w:rPr>
          <w:rFonts w:ascii="宋体" w:hAnsi="宋体"/>
        </w:rPr>
        <w:t>9,209.20</w:t>
      </w:r>
      <w:r>
        <w:rPr>
          <w:rFonts w:hint="eastAsia" w:ascii="宋体" w:hAnsi="宋体"/>
        </w:rPr>
        <w:t>元，该款项分别于202</w:t>
      </w:r>
      <w:r>
        <w:rPr>
          <w:rFonts w:ascii="宋体" w:hAnsi="宋体"/>
        </w:rPr>
        <w:t>6</w:t>
      </w:r>
      <w:r>
        <w:rPr>
          <w:rFonts w:hint="eastAsia" w:ascii="宋体" w:hAnsi="宋体"/>
        </w:rPr>
        <w:t>年</w:t>
      </w:r>
      <w:r>
        <w:rPr>
          <w:rFonts w:ascii="宋体" w:hAnsi="宋体"/>
        </w:rPr>
        <w:t>4</w:t>
      </w:r>
      <w:r>
        <w:rPr>
          <w:rFonts w:hint="eastAsia" w:ascii="宋体" w:hAnsi="宋体"/>
        </w:rPr>
        <w:t>月</w:t>
      </w:r>
      <w:r>
        <w:rPr>
          <w:rFonts w:ascii="宋体" w:hAnsi="宋体"/>
        </w:rPr>
        <w:t>3</w:t>
      </w:r>
      <w:r>
        <w:rPr>
          <w:rFonts w:hint="eastAsia" w:ascii="宋体" w:hAnsi="宋体"/>
        </w:rPr>
        <w:t>日、2</w:t>
      </w:r>
      <w:r>
        <w:rPr>
          <w:rFonts w:ascii="宋体" w:hAnsi="宋体"/>
        </w:rPr>
        <w:t>4</w:t>
      </w:r>
      <w:r>
        <w:rPr>
          <w:rFonts w:hint="eastAsia" w:ascii="宋体" w:hAnsi="宋体"/>
        </w:rPr>
        <w:t>日支付。</w:t>
      </w:r>
    </w:p>
    <w:p w14:paraId="65A2A61A">
      <w:pPr>
        <w:ind w:firstLine="408"/>
        <w:rPr>
          <w:rFonts w:hint="eastAsia" w:ascii="宋体" w:hAnsi="宋体"/>
        </w:rPr>
      </w:pPr>
      <w:r>
        <w:rPr>
          <w:rFonts w:hint="eastAsia" w:ascii="宋体" w:hAnsi="宋体"/>
        </w:rPr>
        <w:t>（</w:t>
      </w:r>
      <w:r>
        <w:rPr>
          <w:rFonts w:ascii="宋体" w:hAnsi="宋体"/>
        </w:rPr>
        <w:t>5</w:t>
      </w:r>
      <w:r>
        <w:rPr>
          <w:rFonts w:hint="eastAsia" w:ascii="宋体" w:hAnsi="宋体"/>
        </w:rPr>
        <w:t>）本基金最后运作日应付税费为人民币1,098.36元，该款项于202</w:t>
      </w:r>
      <w:r>
        <w:rPr>
          <w:rFonts w:ascii="宋体" w:hAnsi="宋体"/>
        </w:rPr>
        <w:t>6</w:t>
      </w:r>
      <w:r>
        <w:rPr>
          <w:rFonts w:hint="eastAsia" w:ascii="宋体" w:hAnsi="宋体"/>
        </w:rPr>
        <w:t>年</w:t>
      </w:r>
      <w:r>
        <w:rPr>
          <w:rFonts w:ascii="宋体" w:hAnsi="宋体"/>
        </w:rPr>
        <w:t>4</w:t>
      </w:r>
      <w:r>
        <w:rPr>
          <w:rFonts w:hint="eastAsia" w:ascii="宋体" w:hAnsi="宋体"/>
        </w:rPr>
        <w:t>月</w:t>
      </w:r>
      <w:r>
        <w:rPr>
          <w:rFonts w:ascii="宋体" w:hAnsi="宋体"/>
        </w:rPr>
        <w:t>8</w:t>
      </w:r>
      <w:r>
        <w:rPr>
          <w:rFonts w:hint="eastAsia" w:ascii="宋体" w:hAnsi="宋体"/>
        </w:rPr>
        <w:t>日、2</w:t>
      </w:r>
      <w:r>
        <w:rPr>
          <w:rFonts w:ascii="宋体" w:hAnsi="宋体"/>
        </w:rPr>
        <w:t>4</w:t>
      </w:r>
      <w:r>
        <w:rPr>
          <w:rFonts w:hint="eastAsia" w:ascii="宋体" w:hAnsi="宋体"/>
        </w:rPr>
        <w:t>日支付。</w:t>
      </w:r>
    </w:p>
    <w:p w14:paraId="74882692">
      <w:pPr>
        <w:ind w:firstLine="408"/>
        <w:rPr>
          <w:rFonts w:ascii="宋体" w:hAnsi="宋体"/>
        </w:rPr>
      </w:pPr>
      <w:r>
        <w:rPr>
          <w:rFonts w:hint="eastAsia" w:ascii="宋体" w:hAnsi="宋体"/>
        </w:rPr>
        <w:t>（6）本基金最后运作日应付证券清算款为人民币</w:t>
      </w:r>
      <w:r>
        <w:rPr>
          <w:rFonts w:ascii="宋体" w:hAnsi="宋体"/>
        </w:rPr>
        <w:t>3,551,847.16</w:t>
      </w:r>
      <w:r>
        <w:rPr>
          <w:rFonts w:hint="eastAsia" w:ascii="宋体" w:hAnsi="宋体"/>
        </w:rPr>
        <w:t>元，该款项已于交易交收时支付。</w:t>
      </w:r>
    </w:p>
    <w:p w14:paraId="37B106D5">
      <w:pPr>
        <w:ind w:firstLine="408"/>
        <w:rPr>
          <w:rFonts w:ascii="宋体" w:hAnsi="宋体"/>
        </w:rPr>
      </w:pPr>
      <w:r>
        <w:rPr>
          <w:rFonts w:hint="eastAsia" w:ascii="宋体" w:hAnsi="宋体"/>
        </w:rPr>
        <w:t>（</w:t>
      </w:r>
      <w:r>
        <w:rPr>
          <w:rFonts w:ascii="宋体" w:hAnsi="宋体"/>
        </w:rPr>
        <w:t>7</w:t>
      </w:r>
      <w:r>
        <w:rPr>
          <w:rFonts w:hint="eastAsia" w:ascii="宋体" w:hAnsi="宋体"/>
        </w:rPr>
        <w:t>）本基金最后运作日其他负债为人民币</w:t>
      </w:r>
      <w:r>
        <w:rPr>
          <w:rFonts w:ascii="宋体" w:hAnsi="宋体"/>
        </w:rPr>
        <w:t>49,927.57</w:t>
      </w:r>
      <w:r>
        <w:rPr>
          <w:rFonts w:hint="eastAsia" w:ascii="宋体" w:hAnsi="宋体"/>
        </w:rPr>
        <w:t>元，包括</w:t>
      </w:r>
      <w:bookmarkStart w:id="0" w:name="_Hlk214475924"/>
      <w:bookmarkStart w:id="1" w:name="_Hlk214476369"/>
      <w:r>
        <w:rPr>
          <w:rFonts w:hint="eastAsia" w:ascii="宋体" w:hAnsi="宋体"/>
        </w:rPr>
        <w:t>交易所和银行间交易费用</w:t>
      </w:r>
      <w:r>
        <w:rPr>
          <w:rFonts w:ascii="宋体" w:hAnsi="宋体"/>
        </w:rPr>
        <w:t>11,040.82</w:t>
      </w:r>
      <w:r>
        <w:rPr>
          <w:rFonts w:hint="eastAsia" w:ascii="宋体" w:hAnsi="宋体"/>
        </w:rPr>
        <w:t>元</w:t>
      </w:r>
      <w:bookmarkEnd w:id="0"/>
      <w:r>
        <w:rPr>
          <w:rFonts w:hint="eastAsia" w:ascii="宋体" w:hAnsi="宋体"/>
        </w:rPr>
        <w:t>，</w:t>
      </w:r>
      <w:bookmarkStart w:id="2" w:name="_Hlk214475933"/>
      <w:r>
        <w:rPr>
          <w:rFonts w:hint="eastAsia" w:ascii="宋体" w:hAnsi="宋体"/>
        </w:rPr>
        <w:t>预提审计费</w:t>
      </w:r>
      <w:r>
        <w:rPr>
          <w:rFonts w:ascii="宋体" w:hAnsi="宋体"/>
        </w:rPr>
        <w:t>22,520.80</w:t>
      </w:r>
      <w:r>
        <w:rPr>
          <w:rFonts w:hint="eastAsia" w:ascii="宋体" w:hAnsi="宋体"/>
        </w:rPr>
        <w:t>元，预提银行间账户维护费</w:t>
      </w:r>
      <w:r>
        <w:rPr>
          <w:rFonts w:ascii="宋体" w:hAnsi="宋体"/>
        </w:rPr>
        <w:t>15</w:t>
      </w:r>
      <w:r>
        <w:rPr>
          <w:rFonts w:hint="eastAsia" w:ascii="宋体" w:hAnsi="宋体"/>
        </w:rPr>
        <w:t>,</w:t>
      </w:r>
      <w:r>
        <w:rPr>
          <w:rFonts w:ascii="宋体" w:hAnsi="宋体"/>
        </w:rPr>
        <w:t>500.00</w:t>
      </w:r>
      <w:r>
        <w:rPr>
          <w:rFonts w:hint="eastAsia" w:ascii="宋体" w:hAnsi="宋体"/>
        </w:rPr>
        <w:t>元</w:t>
      </w:r>
      <w:bookmarkEnd w:id="1"/>
      <w:bookmarkEnd w:id="2"/>
      <w:r>
        <w:rPr>
          <w:rFonts w:hint="eastAsia" w:ascii="宋体" w:hAnsi="宋体"/>
        </w:rPr>
        <w:t>，预提汇款费</w:t>
      </w:r>
      <w:r>
        <w:rPr>
          <w:rFonts w:ascii="宋体" w:hAnsi="宋体"/>
        </w:rPr>
        <w:t>865.95</w:t>
      </w:r>
      <w:r>
        <w:rPr>
          <w:rFonts w:hint="eastAsia" w:ascii="宋体" w:hAnsi="宋体"/>
        </w:rPr>
        <w:t>元。4月8日支付汇划费</w:t>
      </w:r>
      <w:r>
        <w:rPr>
          <w:rFonts w:ascii="宋体" w:hAnsi="宋体"/>
        </w:rPr>
        <w:t>865.95</w:t>
      </w:r>
      <w:r>
        <w:rPr>
          <w:rFonts w:hint="eastAsia" w:ascii="宋体" w:hAnsi="宋体"/>
        </w:rPr>
        <w:t>元，</w:t>
      </w:r>
      <w:r>
        <w:rPr>
          <w:rFonts w:ascii="宋体" w:hAnsi="宋体"/>
        </w:rPr>
        <w:t>4</w:t>
      </w:r>
      <w:r>
        <w:rPr>
          <w:rFonts w:hint="eastAsia" w:ascii="宋体" w:hAnsi="宋体"/>
        </w:rPr>
        <w:t>月1</w:t>
      </w:r>
      <w:r>
        <w:rPr>
          <w:rFonts w:ascii="宋体" w:hAnsi="宋体"/>
        </w:rPr>
        <w:t>3</w:t>
      </w:r>
      <w:r>
        <w:rPr>
          <w:rFonts w:hint="eastAsia" w:ascii="宋体" w:hAnsi="宋体"/>
        </w:rPr>
        <w:t>日、4月2</w:t>
      </w:r>
      <w:r>
        <w:rPr>
          <w:rFonts w:ascii="宋体" w:hAnsi="宋体"/>
        </w:rPr>
        <w:t>4</w:t>
      </w:r>
      <w:r>
        <w:rPr>
          <w:rFonts w:hint="eastAsia" w:ascii="宋体" w:hAnsi="宋体"/>
        </w:rPr>
        <w:t>日支付交易所交易费用共计</w:t>
      </w:r>
      <w:r>
        <w:rPr>
          <w:rFonts w:ascii="宋体" w:hAnsi="宋体"/>
        </w:rPr>
        <w:t>11,769.16</w:t>
      </w:r>
      <w:r>
        <w:rPr>
          <w:rFonts w:hint="eastAsia" w:ascii="宋体" w:hAnsi="宋体"/>
        </w:rPr>
        <w:t>元（实际支付金额和计提金额的差异为清算期间产生的交易费用），4月1</w:t>
      </w:r>
      <w:r>
        <w:rPr>
          <w:rFonts w:ascii="宋体" w:hAnsi="宋体"/>
        </w:rPr>
        <w:t>5</w:t>
      </w:r>
      <w:r>
        <w:rPr>
          <w:rFonts w:hint="eastAsia" w:ascii="宋体" w:hAnsi="宋体"/>
        </w:rPr>
        <w:t>日、4月3</w:t>
      </w:r>
      <w:r>
        <w:rPr>
          <w:rFonts w:ascii="宋体" w:hAnsi="宋体"/>
        </w:rPr>
        <w:t>0</w:t>
      </w:r>
      <w:r>
        <w:rPr>
          <w:rFonts w:hint="eastAsia" w:ascii="宋体" w:hAnsi="宋体"/>
        </w:rPr>
        <w:t>日支付中债登和上清所交易费用和账户维护费共计</w:t>
      </w:r>
      <w:r>
        <w:rPr>
          <w:rFonts w:ascii="宋体" w:hAnsi="宋体"/>
        </w:rPr>
        <w:t>13,490.00</w:t>
      </w:r>
      <w:r>
        <w:rPr>
          <w:rFonts w:hint="eastAsia" w:ascii="宋体" w:hAnsi="宋体"/>
        </w:rPr>
        <w:t>元，4月2</w:t>
      </w:r>
      <w:r>
        <w:rPr>
          <w:rFonts w:ascii="宋体" w:hAnsi="宋体"/>
        </w:rPr>
        <w:t>4</w:t>
      </w:r>
      <w:r>
        <w:rPr>
          <w:rFonts w:hint="eastAsia" w:ascii="宋体" w:hAnsi="宋体"/>
        </w:rPr>
        <w:t>日支付部分审计费</w:t>
      </w:r>
      <w:r>
        <w:rPr>
          <w:rFonts w:ascii="宋体" w:hAnsi="宋体"/>
        </w:rPr>
        <w:t>20,000.00</w:t>
      </w:r>
      <w:r>
        <w:rPr>
          <w:rFonts w:hint="eastAsia" w:ascii="宋体" w:hAnsi="宋体"/>
        </w:rPr>
        <w:t>元，剩余负债于202</w:t>
      </w:r>
      <w:r>
        <w:rPr>
          <w:rFonts w:ascii="宋体" w:hAnsi="宋体"/>
        </w:rPr>
        <w:t>6</w:t>
      </w:r>
      <w:r>
        <w:rPr>
          <w:rFonts w:hint="eastAsia" w:ascii="宋体" w:hAnsi="宋体"/>
        </w:rPr>
        <w:t>年</w:t>
      </w:r>
      <w:r>
        <w:rPr>
          <w:rFonts w:ascii="宋体" w:hAnsi="宋体"/>
        </w:rPr>
        <w:t>4</w:t>
      </w:r>
      <w:r>
        <w:rPr>
          <w:rFonts w:hint="eastAsia" w:ascii="宋体" w:hAnsi="宋体"/>
        </w:rPr>
        <w:t>月</w:t>
      </w:r>
      <w:r>
        <w:rPr>
          <w:rFonts w:ascii="宋体" w:hAnsi="宋体"/>
        </w:rPr>
        <w:t>30</w:t>
      </w:r>
      <w:r>
        <w:rPr>
          <w:rFonts w:hint="eastAsia" w:ascii="宋体" w:hAnsi="宋体"/>
        </w:rPr>
        <w:t>日之后支付。</w:t>
      </w:r>
    </w:p>
    <w:p w14:paraId="19D0F92B">
      <w:pPr>
        <w:ind w:firstLine="408"/>
        <w:rPr>
          <w:rFonts w:hint="eastAsia" w:ascii="宋体"/>
        </w:rPr>
      </w:pPr>
    </w:p>
    <w:p w14:paraId="720E6CDE">
      <w:pPr>
        <w:spacing w:before="156" w:beforeLines="50" w:after="156" w:afterLines="50"/>
        <w:rPr>
          <w:rFonts w:ascii="宋体" w:hAnsi="宋体"/>
          <w:b/>
        </w:rPr>
      </w:pPr>
      <w:r>
        <w:rPr>
          <w:rFonts w:hint="eastAsia" w:ascii="宋体" w:hAnsi="宋体"/>
          <w:b/>
        </w:rPr>
        <w:t>4、清算期间的损益情况</w:t>
      </w:r>
    </w:p>
    <w:p w14:paraId="2AD54329">
      <w:pPr>
        <w:jc w:val="center"/>
        <w:rPr>
          <w:rFonts w:ascii="宋体" w:hAnsi="宋体"/>
        </w:rPr>
      </w:pPr>
      <w:r>
        <w:rPr>
          <w:rFonts w:hint="eastAsia" w:ascii="宋体" w:hAnsi="宋体"/>
        </w:rPr>
        <w:t>自</w:t>
      </w:r>
      <w:r>
        <w:rPr>
          <w:rFonts w:ascii="宋体" w:hAnsi="宋体"/>
        </w:rPr>
        <w:t>20</w:t>
      </w:r>
      <w:r>
        <w:rPr>
          <w:rFonts w:hint="eastAsia" w:ascii="宋体" w:hAnsi="宋体"/>
        </w:rPr>
        <w:t>2</w:t>
      </w:r>
      <w:r>
        <w:rPr>
          <w:rFonts w:ascii="宋体" w:hAnsi="宋体"/>
        </w:rPr>
        <w:t>6</w:t>
      </w:r>
      <w:r>
        <w:rPr>
          <w:rFonts w:hint="eastAsia" w:ascii="宋体" w:hAnsi="宋体"/>
        </w:rPr>
        <w:t>年</w:t>
      </w:r>
      <w:r>
        <w:rPr>
          <w:rFonts w:ascii="宋体" w:hAnsi="宋体"/>
        </w:rPr>
        <w:t>4</w:t>
      </w:r>
      <w:r>
        <w:rPr>
          <w:rFonts w:hint="eastAsia" w:ascii="宋体" w:hAnsi="宋体"/>
        </w:rPr>
        <w:t>月</w:t>
      </w:r>
      <w:r>
        <w:rPr>
          <w:rFonts w:ascii="宋体" w:hAnsi="宋体"/>
        </w:rPr>
        <w:t>3</w:t>
      </w:r>
      <w:r>
        <w:rPr>
          <w:rFonts w:hint="eastAsia" w:ascii="宋体" w:hAnsi="宋体"/>
        </w:rPr>
        <w:t>日至</w:t>
      </w:r>
      <w:r>
        <w:rPr>
          <w:rFonts w:ascii="宋体" w:hAnsi="宋体"/>
        </w:rPr>
        <w:t>20</w:t>
      </w:r>
      <w:r>
        <w:rPr>
          <w:rFonts w:hint="eastAsia" w:ascii="宋体" w:hAnsi="宋体"/>
        </w:rPr>
        <w:t>2</w:t>
      </w:r>
      <w:r>
        <w:rPr>
          <w:rFonts w:ascii="宋体" w:hAnsi="宋体"/>
        </w:rPr>
        <w:t>6</w:t>
      </w:r>
      <w:r>
        <w:rPr>
          <w:rFonts w:hint="eastAsia" w:ascii="宋体" w:hAnsi="宋体"/>
        </w:rPr>
        <w:t>年</w:t>
      </w:r>
      <w:r>
        <w:rPr>
          <w:rFonts w:ascii="宋体" w:hAnsi="宋体"/>
        </w:rPr>
        <w:t>4</w:t>
      </w:r>
      <w:r>
        <w:rPr>
          <w:rFonts w:hint="eastAsia" w:ascii="宋体" w:hAnsi="宋体"/>
        </w:rPr>
        <w:t>月</w:t>
      </w:r>
      <w:r>
        <w:rPr>
          <w:rFonts w:ascii="宋体" w:hAnsi="宋体"/>
        </w:rPr>
        <w:t>30</w:t>
      </w:r>
      <w:r>
        <w:rPr>
          <w:rFonts w:hint="eastAsia" w:ascii="宋体" w:hAnsi="宋体"/>
        </w:rPr>
        <w:t>日止清算期间</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50"/>
        <w:gridCol w:w="4146"/>
      </w:tblGrid>
      <w:tr w14:paraId="6AA3D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0" w:type="dxa"/>
            <w:tcBorders>
              <w:top w:val="single" w:color="auto" w:sz="4" w:space="0"/>
              <w:left w:val="single" w:color="auto" w:sz="4" w:space="0"/>
              <w:bottom w:val="single" w:color="auto" w:sz="4" w:space="0"/>
              <w:right w:val="single" w:color="auto" w:sz="4" w:space="0"/>
            </w:tcBorders>
          </w:tcPr>
          <w:p w14:paraId="0B0155FC">
            <w:pPr>
              <w:keepNext w:val="0"/>
              <w:keepLines w:val="0"/>
              <w:suppressLineNumbers w:val="0"/>
              <w:spacing w:before="0" w:beforeAutospacing="0" w:after="0" w:afterAutospacing="0"/>
              <w:ind w:left="0" w:right="0"/>
              <w:rPr>
                <w:rFonts w:hint="default" w:ascii="宋体" w:hAnsi="宋体"/>
                <w:sz w:val="20"/>
                <w:szCs w:val="20"/>
              </w:rPr>
            </w:pPr>
            <w:r>
              <w:rPr>
                <w:rFonts w:hint="eastAsia" w:ascii="宋体" w:hAnsi="宋体"/>
                <w:sz w:val="20"/>
                <w:szCs w:val="20"/>
              </w:rPr>
              <w:t>项目</w:t>
            </w:r>
          </w:p>
        </w:tc>
        <w:tc>
          <w:tcPr>
            <w:tcW w:w="4146" w:type="dxa"/>
            <w:tcBorders>
              <w:top w:val="single" w:color="auto" w:sz="4" w:space="0"/>
              <w:left w:val="single" w:color="auto" w:sz="4" w:space="0"/>
              <w:bottom w:val="single" w:color="auto" w:sz="4" w:space="0"/>
              <w:right w:val="single" w:color="auto" w:sz="4" w:space="0"/>
            </w:tcBorders>
          </w:tcPr>
          <w:p w14:paraId="0DE828DD">
            <w:pPr>
              <w:keepNext w:val="0"/>
              <w:keepLines w:val="0"/>
              <w:suppressLineNumbers w:val="0"/>
              <w:spacing w:before="0" w:beforeAutospacing="0" w:after="0" w:afterAutospacing="0"/>
              <w:ind w:left="0" w:right="0"/>
              <w:rPr>
                <w:rFonts w:hint="default" w:ascii="宋体" w:hAnsi="宋体"/>
                <w:sz w:val="20"/>
                <w:szCs w:val="20"/>
              </w:rPr>
            </w:pPr>
            <w:r>
              <w:rPr>
                <w:rFonts w:hint="eastAsia" w:ascii="宋体" w:hAnsi="宋体"/>
                <w:sz w:val="20"/>
                <w:szCs w:val="20"/>
              </w:rPr>
              <w:t>金额（单位：人民币元）</w:t>
            </w:r>
          </w:p>
        </w:tc>
      </w:tr>
      <w:tr w14:paraId="0B8A7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0" w:type="dxa"/>
            <w:tcBorders>
              <w:top w:val="single" w:color="auto" w:sz="4" w:space="0"/>
              <w:left w:val="single" w:color="auto" w:sz="4" w:space="0"/>
              <w:bottom w:val="single" w:color="auto" w:sz="4" w:space="0"/>
              <w:right w:val="single" w:color="auto" w:sz="4" w:space="0"/>
            </w:tcBorders>
          </w:tcPr>
          <w:p w14:paraId="24A84851">
            <w:pPr>
              <w:keepNext w:val="0"/>
              <w:keepLines w:val="0"/>
              <w:suppressLineNumbers w:val="0"/>
              <w:spacing w:before="0" w:beforeAutospacing="0" w:after="0" w:afterAutospacing="0"/>
              <w:ind w:left="0" w:right="0"/>
              <w:rPr>
                <w:rFonts w:hint="default" w:ascii="宋体" w:hAnsi="宋体"/>
                <w:sz w:val="20"/>
                <w:szCs w:val="20"/>
              </w:rPr>
            </w:pPr>
            <w:r>
              <w:rPr>
                <w:rFonts w:hint="eastAsia" w:ascii="宋体" w:hAnsi="宋体"/>
                <w:sz w:val="20"/>
                <w:szCs w:val="20"/>
              </w:rPr>
              <w:t>一、清算收益</w:t>
            </w:r>
          </w:p>
        </w:tc>
        <w:tc>
          <w:tcPr>
            <w:tcW w:w="4146" w:type="dxa"/>
            <w:tcBorders>
              <w:top w:val="single" w:color="auto" w:sz="4" w:space="0"/>
              <w:left w:val="single" w:color="auto" w:sz="4" w:space="0"/>
              <w:bottom w:val="single" w:color="auto" w:sz="4" w:space="0"/>
              <w:right w:val="single" w:color="auto" w:sz="4" w:space="0"/>
            </w:tcBorders>
          </w:tcPr>
          <w:p w14:paraId="5BB4695A">
            <w:pPr>
              <w:keepNext w:val="0"/>
              <w:keepLines w:val="0"/>
              <w:suppressLineNumbers w:val="0"/>
              <w:spacing w:before="0" w:beforeAutospacing="0" w:after="0" w:afterAutospacing="0"/>
              <w:ind w:left="0" w:right="0"/>
              <w:rPr>
                <w:rFonts w:hint="default" w:ascii="宋体" w:hAnsi="宋体"/>
                <w:sz w:val="20"/>
                <w:szCs w:val="20"/>
              </w:rPr>
            </w:pPr>
          </w:p>
        </w:tc>
      </w:tr>
      <w:tr w14:paraId="2EFC9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0" w:type="dxa"/>
            <w:tcBorders>
              <w:top w:val="single" w:color="auto" w:sz="4" w:space="0"/>
              <w:left w:val="single" w:color="auto" w:sz="4" w:space="0"/>
              <w:bottom w:val="single" w:color="auto" w:sz="4" w:space="0"/>
              <w:right w:val="single" w:color="auto" w:sz="4" w:space="0"/>
            </w:tcBorders>
          </w:tcPr>
          <w:p w14:paraId="38C3CAF3">
            <w:pPr>
              <w:keepNext w:val="0"/>
              <w:keepLines w:val="0"/>
              <w:suppressLineNumbers w:val="0"/>
              <w:spacing w:before="0" w:beforeAutospacing="0" w:after="0" w:afterAutospacing="0"/>
              <w:ind w:left="0" w:right="0"/>
              <w:rPr>
                <w:rFonts w:hint="default" w:ascii="宋体" w:hAnsi="宋体"/>
                <w:sz w:val="20"/>
                <w:szCs w:val="20"/>
              </w:rPr>
            </w:pPr>
            <w:r>
              <w:rPr>
                <w:rFonts w:hint="eastAsia" w:ascii="宋体" w:hAnsi="宋体"/>
                <w:sz w:val="20"/>
                <w:szCs w:val="20"/>
              </w:rPr>
              <w:t>利息收入（注</w:t>
            </w:r>
            <w:r>
              <w:rPr>
                <w:rFonts w:hint="default" w:ascii="宋体" w:hAnsi="宋体"/>
                <w:sz w:val="20"/>
                <w:szCs w:val="20"/>
              </w:rPr>
              <w:t>1）</w:t>
            </w:r>
          </w:p>
        </w:tc>
        <w:tc>
          <w:tcPr>
            <w:tcW w:w="4146" w:type="dxa"/>
            <w:tcBorders>
              <w:top w:val="single" w:color="auto" w:sz="4" w:space="0"/>
              <w:left w:val="single" w:color="auto" w:sz="4" w:space="0"/>
              <w:bottom w:val="single" w:color="auto" w:sz="4" w:space="0"/>
              <w:right w:val="single" w:color="auto" w:sz="4" w:space="0"/>
            </w:tcBorders>
          </w:tcPr>
          <w:p w14:paraId="06E765CE">
            <w:pPr>
              <w:keepNext w:val="0"/>
              <w:keepLines w:val="0"/>
              <w:suppressLineNumbers w:val="0"/>
              <w:spacing w:before="0" w:beforeAutospacing="0" w:after="0" w:afterAutospacing="0"/>
              <w:ind w:left="0" w:right="0"/>
              <w:rPr>
                <w:rFonts w:hint="default" w:ascii="宋体" w:hAnsi="宋体"/>
                <w:sz w:val="20"/>
                <w:szCs w:val="20"/>
              </w:rPr>
            </w:pPr>
            <w:r>
              <w:rPr>
                <w:rFonts w:hint="default" w:ascii="宋体" w:hAnsi="宋体"/>
                <w:sz w:val="20"/>
                <w:szCs w:val="20"/>
              </w:rPr>
              <w:t>5,195.87</w:t>
            </w:r>
          </w:p>
        </w:tc>
      </w:tr>
      <w:tr w14:paraId="615A5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0" w:type="dxa"/>
            <w:tcBorders>
              <w:top w:val="single" w:color="auto" w:sz="4" w:space="0"/>
              <w:left w:val="single" w:color="auto" w:sz="4" w:space="0"/>
              <w:bottom w:val="single" w:color="auto" w:sz="4" w:space="0"/>
              <w:right w:val="single" w:color="auto" w:sz="4" w:space="0"/>
            </w:tcBorders>
          </w:tcPr>
          <w:p w14:paraId="2DF5ABC6">
            <w:pPr>
              <w:keepNext w:val="0"/>
              <w:keepLines w:val="0"/>
              <w:suppressLineNumbers w:val="0"/>
              <w:spacing w:before="0" w:beforeAutospacing="0" w:after="0" w:afterAutospacing="0"/>
              <w:ind w:left="0" w:right="0"/>
              <w:rPr>
                <w:rFonts w:hint="eastAsia" w:ascii="宋体" w:hAnsi="宋体"/>
                <w:sz w:val="20"/>
                <w:szCs w:val="20"/>
              </w:rPr>
            </w:pPr>
            <w:r>
              <w:rPr>
                <w:rFonts w:hint="eastAsia" w:ascii="宋体" w:hAnsi="宋体"/>
                <w:sz w:val="20"/>
                <w:szCs w:val="20"/>
              </w:rPr>
              <w:t>债券利息收入</w:t>
            </w:r>
          </w:p>
        </w:tc>
        <w:tc>
          <w:tcPr>
            <w:tcW w:w="4146" w:type="dxa"/>
            <w:tcBorders>
              <w:top w:val="single" w:color="auto" w:sz="4" w:space="0"/>
              <w:left w:val="single" w:color="auto" w:sz="4" w:space="0"/>
              <w:bottom w:val="single" w:color="auto" w:sz="4" w:space="0"/>
              <w:right w:val="single" w:color="auto" w:sz="4" w:space="0"/>
            </w:tcBorders>
          </w:tcPr>
          <w:p w14:paraId="6370D4C3">
            <w:pPr>
              <w:keepNext w:val="0"/>
              <w:keepLines w:val="0"/>
              <w:suppressLineNumbers w:val="0"/>
              <w:spacing w:before="0" w:beforeAutospacing="0" w:after="0" w:afterAutospacing="0"/>
              <w:ind w:left="0" w:right="0"/>
              <w:rPr>
                <w:rFonts w:hint="eastAsia" w:ascii="宋体" w:hAnsi="宋体"/>
                <w:sz w:val="20"/>
                <w:szCs w:val="20"/>
              </w:rPr>
            </w:pPr>
            <w:r>
              <w:rPr>
                <w:rFonts w:hint="eastAsia" w:ascii="宋体" w:hAnsi="宋体"/>
                <w:sz w:val="20"/>
                <w:szCs w:val="20"/>
              </w:rPr>
              <w:t>-</w:t>
            </w:r>
          </w:p>
        </w:tc>
      </w:tr>
      <w:tr w14:paraId="537FE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0" w:type="dxa"/>
            <w:tcBorders>
              <w:top w:val="single" w:color="auto" w:sz="4" w:space="0"/>
              <w:left w:val="single" w:color="auto" w:sz="4" w:space="0"/>
              <w:bottom w:val="single" w:color="auto" w:sz="4" w:space="0"/>
              <w:right w:val="single" w:color="auto" w:sz="4" w:space="0"/>
            </w:tcBorders>
          </w:tcPr>
          <w:p w14:paraId="231D9018">
            <w:pPr>
              <w:keepNext w:val="0"/>
              <w:keepLines w:val="0"/>
              <w:suppressLineNumbers w:val="0"/>
              <w:spacing w:before="0" w:beforeAutospacing="0" w:after="0" w:afterAutospacing="0"/>
              <w:ind w:left="0" w:right="0"/>
              <w:rPr>
                <w:rFonts w:hint="default" w:ascii="宋体" w:hAnsi="宋体"/>
                <w:sz w:val="20"/>
                <w:szCs w:val="20"/>
              </w:rPr>
            </w:pPr>
            <w:r>
              <w:rPr>
                <w:rFonts w:hint="eastAsia" w:ascii="宋体" w:hAnsi="宋体"/>
                <w:sz w:val="20"/>
                <w:szCs w:val="20"/>
              </w:rPr>
              <w:t>买入返售金融资产收入</w:t>
            </w:r>
          </w:p>
        </w:tc>
        <w:tc>
          <w:tcPr>
            <w:tcW w:w="4146" w:type="dxa"/>
            <w:tcBorders>
              <w:top w:val="single" w:color="auto" w:sz="4" w:space="0"/>
              <w:left w:val="single" w:color="auto" w:sz="4" w:space="0"/>
              <w:bottom w:val="single" w:color="auto" w:sz="4" w:space="0"/>
              <w:right w:val="single" w:color="auto" w:sz="4" w:space="0"/>
            </w:tcBorders>
          </w:tcPr>
          <w:p w14:paraId="6796EA15">
            <w:pPr>
              <w:keepNext w:val="0"/>
              <w:keepLines w:val="0"/>
              <w:suppressLineNumbers w:val="0"/>
              <w:spacing w:before="0" w:beforeAutospacing="0" w:after="0" w:afterAutospacing="0"/>
              <w:ind w:left="0" w:right="0"/>
              <w:rPr>
                <w:rFonts w:hint="default" w:ascii="宋体" w:hAnsi="宋体"/>
                <w:sz w:val="20"/>
                <w:szCs w:val="20"/>
              </w:rPr>
            </w:pPr>
            <w:r>
              <w:rPr>
                <w:rFonts w:hint="default" w:ascii="宋体" w:hAnsi="宋体"/>
                <w:sz w:val="20"/>
                <w:szCs w:val="20"/>
              </w:rPr>
              <w:t>6,918.12</w:t>
            </w:r>
          </w:p>
        </w:tc>
      </w:tr>
      <w:tr w14:paraId="6908E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0" w:type="dxa"/>
            <w:tcBorders>
              <w:top w:val="single" w:color="auto" w:sz="4" w:space="0"/>
              <w:left w:val="single" w:color="auto" w:sz="4" w:space="0"/>
              <w:bottom w:val="single" w:color="auto" w:sz="4" w:space="0"/>
              <w:right w:val="single" w:color="auto" w:sz="4" w:space="0"/>
            </w:tcBorders>
          </w:tcPr>
          <w:p w14:paraId="417AD7F1">
            <w:pPr>
              <w:keepNext w:val="0"/>
              <w:keepLines w:val="0"/>
              <w:suppressLineNumbers w:val="0"/>
              <w:spacing w:before="0" w:beforeAutospacing="0" w:after="0" w:afterAutospacing="0"/>
              <w:ind w:left="0" w:right="0"/>
              <w:rPr>
                <w:rFonts w:hint="eastAsia" w:ascii="宋体" w:hAnsi="宋体"/>
                <w:sz w:val="20"/>
                <w:szCs w:val="20"/>
              </w:rPr>
            </w:pPr>
            <w:r>
              <w:rPr>
                <w:rFonts w:hint="eastAsia" w:ascii="宋体" w:hAnsi="宋体"/>
                <w:sz w:val="20"/>
                <w:szCs w:val="20"/>
              </w:rPr>
              <w:t>债券投资收益（损失以"-"填列）</w:t>
            </w:r>
          </w:p>
        </w:tc>
        <w:tc>
          <w:tcPr>
            <w:tcW w:w="4146" w:type="dxa"/>
            <w:tcBorders>
              <w:top w:val="single" w:color="auto" w:sz="4" w:space="0"/>
              <w:left w:val="single" w:color="auto" w:sz="4" w:space="0"/>
              <w:bottom w:val="single" w:color="auto" w:sz="4" w:space="0"/>
              <w:right w:val="single" w:color="auto" w:sz="4" w:space="0"/>
            </w:tcBorders>
            <w:vAlign w:val="center"/>
          </w:tcPr>
          <w:p w14:paraId="346F52AD">
            <w:pPr>
              <w:keepNext w:val="0"/>
              <w:keepLines w:val="0"/>
              <w:suppressLineNumbers w:val="0"/>
              <w:spacing w:before="0" w:beforeAutospacing="0" w:after="0" w:afterAutospacing="0"/>
              <w:ind w:left="0" w:right="0"/>
              <w:rPr>
                <w:rFonts w:hint="eastAsia" w:ascii="宋体" w:hAnsi="宋体"/>
                <w:sz w:val="20"/>
                <w:szCs w:val="20"/>
              </w:rPr>
            </w:pPr>
            <w:r>
              <w:rPr>
                <w:rFonts w:hint="default" w:ascii="宋体" w:hAnsi="宋体"/>
                <w:sz w:val="20"/>
                <w:szCs w:val="20"/>
              </w:rPr>
              <w:t>850.69</w:t>
            </w:r>
          </w:p>
        </w:tc>
      </w:tr>
      <w:tr w14:paraId="17CD7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0" w:type="dxa"/>
            <w:tcBorders>
              <w:top w:val="single" w:color="auto" w:sz="4" w:space="0"/>
              <w:left w:val="single" w:color="auto" w:sz="4" w:space="0"/>
              <w:bottom w:val="single" w:color="auto" w:sz="4" w:space="0"/>
              <w:right w:val="single" w:color="auto" w:sz="4" w:space="0"/>
            </w:tcBorders>
          </w:tcPr>
          <w:p w14:paraId="5FEF64F3">
            <w:pPr>
              <w:keepNext w:val="0"/>
              <w:keepLines w:val="0"/>
              <w:suppressLineNumbers w:val="0"/>
              <w:spacing w:before="0" w:beforeAutospacing="0" w:after="0" w:afterAutospacing="0"/>
              <w:ind w:left="0" w:right="0"/>
              <w:rPr>
                <w:rFonts w:hint="default" w:ascii="宋体" w:hAnsi="宋体"/>
                <w:sz w:val="20"/>
                <w:szCs w:val="20"/>
              </w:rPr>
            </w:pPr>
            <w:r>
              <w:rPr>
                <w:rFonts w:hint="eastAsia" w:ascii="宋体" w:hAnsi="宋体"/>
                <w:sz w:val="20"/>
                <w:szCs w:val="20"/>
              </w:rPr>
              <w:t>股票投资收益（损失以"-"填列）</w:t>
            </w:r>
          </w:p>
        </w:tc>
        <w:tc>
          <w:tcPr>
            <w:tcW w:w="4146" w:type="dxa"/>
            <w:tcBorders>
              <w:top w:val="single" w:color="auto" w:sz="4" w:space="0"/>
              <w:left w:val="single" w:color="auto" w:sz="4" w:space="0"/>
              <w:bottom w:val="single" w:color="auto" w:sz="4" w:space="0"/>
              <w:right w:val="single" w:color="auto" w:sz="4" w:space="0"/>
            </w:tcBorders>
          </w:tcPr>
          <w:p w14:paraId="6771DC2B">
            <w:pPr>
              <w:keepNext w:val="0"/>
              <w:keepLines w:val="0"/>
              <w:suppressLineNumbers w:val="0"/>
              <w:spacing w:before="0" w:beforeAutospacing="0" w:after="0" w:afterAutospacing="0"/>
              <w:ind w:left="0" w:right="0"/>
              <w:rPr>
                <w:rFonts w:hint="default" w:ascii="宋体" w:hAnsi="宋体"/>
                <w:sz w:val="20"/>
                <w:szCs w:val="20"/>
              </w:rPr>
            </w:pPr>
            <w:r>
              <w:rPr>
                <w:rFonts w:hint="default" w:ascii="宋体" w:hAnsi="宋体"/>
                <w:sz w:val="20"/>
                <w:szCs w:val="20"/>
              </w:rPr>
              <w:t>-136,955.99</w:t>
            </w:r>
          </w:p>
        </w:tc>
      </w:tr>
      <w:tr w14:paraId="5591E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0" w:type="dxa"/>
            <w:tcBorders>
              <w:top w:val="single" w:color="auto" w:sz="4" w:space="0"/>
              <w:left w:val="single" w:color="auto" w:sz="4" w:space="0"/>
              <w:bottom w:val="single" w:color="auto" w:sz="4" w:space="0"/>
              <w:right w:val="single" w:color="auto" w:sz="4" w:space="0"/>
            </w:tcBorders>
          </w:tcPr>
          <w:p w14:paraId="4A9CD6DC">
            <w:pPr>
              <w:keepNext w:val="0"/>
              <w:keepLines w:val="0"/>
              <w:suppressLineNumbers w:val="0"/>
              <w:spacing w:before="0" w:beforeAutospacing="0" w:after="0" w:afterAutospacing="0"/>
              <w:ind w:left="0" w:right="0"/>
              <w:rPr>
                <w:rFonts w:hint="default" w:ascii="宋体" w:hAnsi="宋体"/>
                <w:sz w:val="20"/>
                <w:szCs w:val="20"/>
              </w:rPr>
            </w:pPr>
            <w:r>
              <w:rPr>
                <w:rFonts w:hint="eastAsia" w:ascii="宋体" w:hAnsi="宋体"/>
                <w:sz w:val="20"/>
                <w:szCs w:val="20"/>
              </w:rPr>
              <w:t>股利收益（损失以"-"填列）</w:t>
            </w:r>
          </w:p>
        </w:tc>
        <w:tc>
          <w:tcPr>
            <w:tcW w:w="4146" w:type="dxa"/>
            <w:tcBorders>
              <w:top w:val="single" w:color="auto" w:sz="4" w:space="0"/>
              <w:left w:val="single" w:color="auto" w:sz="4" w:space="0"/>
              <w:bottom w:val="single" w:color="auto" w:sz="4" w:space="0"/>
              <w:right w:val="single" w:color="auto" w:sz="4" w:space="0"/>
            </w:tcBorders>
            <w:vAlign w:val="center"/>
          </w:tcPr>
          <w:p w14:paraId="52F68864">
            <w:pPr>
              <w:keepNext w:val="0"/>
              <w:keepLines w:val="0"/>
              <w:suppressLineNumbers w:val="0"/>
              <w:spacing w:before="0" w:beforeAutospacing="0" w:after="0" w:afterAutospacing="0"/>
              <w:ind w:left="0" w:right="0"/>
              <w:rPr>
                <w:rFonts w:hint="default" w:ascii="宋体" w:hAnsi="宋体"/>
                <w:sz w:val="20"/>
                <w:szCs w:val="20"/>
              </w:rPr>
            </w:pPr>
            <w:r>
              <w:rPr>
                <w:rFonts w:hint="default" w:ascii="宋体" w:hAnsi="宋体"/>
                <w:sz w:val="20"/>
                <w:szCs w:val="20"/>
              </w:rPr>
              <w:t>-2,512.69</w:t>
            </w:r>
          </w:p>
        </w:tc>
      </w:tr>
      <w:tr w14:paraId="68B87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0" w:type="dxa"/>
            <w:tcBorders>
              <w:top w:val="single" w:color="auto" w:sz="4" w:space="0"/>
              <w:left w:val="single" w:color="auto" w:sz="4" w:space="0"/>
              <w:bottom w:val="single" w:color="auto" w:sz="4" w:space="0"/>
              <w:right w:val="single" w:color="auto" w:sz="4" w:space="0"/>
            </w:tcBorders>
          </w:tcPr>
          <w:p w14:paraId="03639D41">
            <w:pPr>
              <w:keepNext w:val="0"/>
              <w:keepLines w:val="0"/>
              <w:suppressLineNumbers w:val="0"/>
              <w:spacing w:before="0" w:beforeAutospacing="0" w:after="0" w:afterAutospacing="0"/>
              <w:ind w:left="0" w:right="0"/>
              <w:rPr>
                <w:rFonts w:hint="default" w:ascii="宋体" w:hAnsi="宋体"/>
                <w:sz w:val="20"/>
                <w:szCs w:val="20"/>
              </w:rPr>
            </w:pPr>
            <w:r>
              <w:rPr>
                <w:rFonts w:hint="eastAsia" w:ascii="宋体" w:hAnsi="宋体"/>
                <w:sz w:val="20"/>
                <w:szCs w:val="20"/>
              </w:rPr>
              <w:t>公允价值变动损益（损失以"-"填列）</w:t>
            </w:r>
          </w:p>
        </w:tc>
        <w:tc>
          <w:tcPr>
            <w:tcW w:w="4146" w:type="dxa"/>
            <w:tcBorders>
              <w:top w:val="single" w:color="auto" w:sz="4" w:space="0"/>
              <w:left w:val="single" w:color="auto" w:sz="4" w:space="0"/>
              <w:bottom w:val="single" w:color="auto" w:sz="4" w:space="0"/>
              <w:right w:val="single" w:color="auto" w:sz="4" w:space="0"/>
            </w:tcBorders>
            <w:vAlign w:val="center"/>
          </w:tcPr>
          <w:p w14:paraId="6D90539A">
            <w:pPr>
              <w:keepNext w:val="0"/>
              <w:keepLines w:val="0"/>
              <w:suppressLineNumbers w:val="0"/>
              <w:spacing w:before="0" w:beforeAutospacing="0" w:after="0" w:afterAutospacing="0"/>
              <w:ind w:left="0" w:right="0"/>
              <w:rPr>
                <w:rFonts w:hint="default" w:ascii="宋体" w:hAnsi="宋体"/>
                <w:sz w:val="20"/>
                <w:szCs w:val="20"/>
              </w:rPr>
            </w:pPr>
            <w:r>
              <w:rPr>
                <w:rFonts w:hint="default" w:ascii="宋体" w:hAnsi="宋体"/>
                <w:sz w:val="20"/>
                <w:szCs w:val="20"/>
              </w:rPr>
              <w:t>186,759.07</w:t>
            </w:r>
          </w:p>
        </w:tc>
      </w:tr>
      <w:tr w14:paraId="1B484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0" w:type="dxa"/>
            <w:tcBorders>
              <w:top w:val="single" w:color="auto" w:sz="4" w:space="0"/>
              <w:left w:val="single" w:color="auto" w:sz="4" w:space="0"/>
              <w:bottom w:val="single" w:color="auto" w:sz="4" w:space="0"/>
              <w:right w:val="single" w:color="auto" w:sz="4" w:space="0"/>
            </w:tcBorders>
          </w:tcPr>
          <w:p w14:paraId="156C8C14">
            <w:pPr>
              <w:keepNext w:val="0"/>
              <w:keepLines w:val="0"/>
              <w:suppressLineNumbers w:val="0"/>
              <w:spacing w:before="0" w:beforeAutospacing="0" w:after="0" w:afterAutospacing="0"/>
              <w:ind w:left="0" w:right="0"/>
              <w:rPr>
                <w:rFonts w:hint="default" w:ascii="宋体" w:hAnsi="宋体"/>
                <w:sz w:val="20"/>
                <w:szCs w:val="20"/>
              </w:rPr>
            </w:pPr>
            <w:r>
              <w:rPr>
                <w:rFonts w:hint="eastAsia" w:ascii="宋体" w:hAnsi="宋体"/>
                <w:sz w:val="20"/>
                <w:szCs w:val="20"/>
              </w:rPr>
              <w:t>其他收入（损失以"-"填列）</w:t>
            </w:r>
          </w:p>
        </w:tc>
        <w:tc>
          <w:tcPr>
            <w:tcW w:w="4146" w:type="dxa"/>
            <w:tcBorders>
              <w:top w:val="single" w:color="auto" w:sz="4" w:space="0"/>
              <w:left w:val="single" w:color="auto" w:sz="4" w:space="0"/>
              <w:bottom w:val="single" w:color="auto" w:sz="4" w:space="0"/>
              <w:right w:val="single" w:color="auto" w:sz="4" w:space="0"/>
            </w:tcBorders>
            <w:vAlign w:val="center"/>
          </w:tcPr>
          <w:p w14:paraId="76F82FAE">
            <w:pPr>
              <w:keepNext w:val="0"/>
              <w:keepLines w:val="0"/>
              <w:suppressLineNumbers w:val="0"/>
              <w:spacing w:before="0" w:beforeAutospacing="0" w:after="0" w:afterAutospacing="0"/>
              <w:ind w:left="0" w:right="0"/>
              <w:rPr>
                <w:rFonts w:hint="default" w:ascii="宋体" w:hAnsi="宋体"/>
                <w:sz w:val="20"/>
                <w:szCs w:val="20"/>
              </w:rPr>
            </w:pPr>
            <w:r>
              <w:rPr>
                <w:rFonts w:hint="eastAsia" w:ascii="宋体" w:hAnsi="宋体"/>
                <w:sz w:val="20"/>
                <w:szCs w:val="20"/>
              </w:rPr>
              <w:t>-</w:t>
            </w:r>
          </w:p>
        </w:tc>
      </w:tr>
      <w:tr w14:paraId="0EE81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0" w:type="dxa"/>
            <w:tcBorders>
              <w:top w:val="single" w:color="auto" w:sz="4" w:space="0"/>
              <w:left w:val="single" w:color="auto" w:sz="4" w:space="0"/>
              <w:bottom w:val="single" w:color="auto" w:sz="4" w:space="0"/>
              <w:right w:val="single" w:color="auto" w:sz="4" w:space="0"/>
            </w:tcBorders>
          </w:tcPr>
          <w:p w14:paraId="4E80C374">
            <w:pPr>
              <w:keepNext w:val="0"/>
              <w:keepLines w:val="0"/>
              <w:suppressLineNumbers w:val="0"/>
              <w:spacing w:before="0" w:beforeAutospacing="0" w:after="0" w:afterAutospacing="0"/>
              <w:ind w:left="0" w:right="0"/>
              <w:rPr>
                <w:rFonts w:hint="default" w:ascii="宋体" w:hAnsi="宋体"/>
                <w:sz w:val="20"/>
                <w:szCs w:val="20"/>
              </w:rPr>
            </w:pPr>
            <w:r>
              <w:rPr>
                <w:rFonts w:hint="eastAsia" w:ascii="宋体" w:hAnsi="宋体"/>
                <w:sz w:val="20"/>
                <w:szCs w:val="20"/>
              </w:rPr>
              <w:t>清算收入小计（</w:t>
            </w:r>
            <w:r>
              <w:rPr>
                <w:rFonts w:hint="default" w:ascii="宋体" w:hAnsi="宋体"/>
                <w:sz w:val="20"/>
                <w:szCs w:val="20"/>
              </w:rPr>
              <w:t>1</w:t>
            </w:r>
            <w:r>
              <w:rPr>
                <w:rFonts w:hint="eastAsia" w:ascii="宋体" w:hAnsi="宋体"/>
                <w:sz w:val="20"/>
                <w:szCs w:val="20"/>
              </w:rPr>
              <w:t>）</w:t>
            </w:r>
          </w:p>
        </w:tc>
        <w:tc>
          <w:tcPr>
            <w:tcW w:w="4146" w:type="dxa"/>
            <w:tcBorders>
              <w:top w:val="single" w:color="auto" w:sz="4" w:space="0"/>
              <w:left w:val="single" w:color="auto" w:sz="4" w:space="0"/>
              <w:bottom w:val="single" w:color="auto" w:sz="4" w:space="0"/>
              <w:right w:val="single" w:color="auto" w:sz="4" w:space="0"/>
            </w:tcBorders>
            <w:vAlign w:val="center"/>
          </w:tcPr>
          <w:p w14:paraId="497831A6">
            <w:pPr>
              <w:keepNext w:val="0"/>
              <w:keepLines w:val="0"/>
              <w:suppressLineNumbers w:val="0"/>
              <w:spacing w:before="0" w:beforeAutospacing="0" w:after="0" w:afterAutospacing="0"/>
              <w:ind w:left="0" w:right="0"/>
              <w:rPr>
                <w:rFonts w:hint="default" w:ascii="宋体" w:hAnsi="宋体"/>
                <w:sz w:val="20"/>
                <w:szCs w:val="20"/>
              </w:rPr>
            </w:pPr>
            <w:r>
              <w:rPr>
                <w:rFonts w:hint="default" w:ascii="宋体" w:hAnsi="宋体"/>
                <w:sz w:val="20"/>
                <w:szCs w:val="20"/>
              </w:rPr>
              <w:t>60,255.07</w:t>
            </w:r>
          </w:p>
        </w:tc>
      </w:tr>
      <w:tr w14:paraId="1CF0F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0" w:type="dxa"/>
            <w:tcBorders>
              <w:top w:val="single" w:color="auto" w:sz="4" w:space="0"/>
              <w:left w:val="single" w:color="auto" w:sz="4" w:space="0"/>
              <w:bottom w:val="single" w:color="auto" w:sz="4" w:space="0"/>
              <w:right w:val="single" w:color="auto" w:sz="4" w:space="0"/>
            </w:tcBorders>
          </w:tcPr>
          <w:p w14:paraId="0F810769">
            <w:pPr>
              <w:keepNext w:val="0"/>
              <w:keepLines w:val="0"/>
              <w:suppressLineNumbers w:val="0"/>
              <w:spacing w:before="0" w:beforeAutospacing="0" w:after="0" w:afterAutospacing="0"/>
              <w:ind w:left="0" w:right="0"/>
              <w:rPr>
                <w:rFonts w:hint="default" w:ascii="宋体" w:hAnsi="宋体"/>
                <w:sz w:val="20"/>
                <w:szCs w:val="20"/>
              </w:rPr>
            </w:pPr>
          </w:p>
        </w:tc>
        <w:tc>
          <w:tcPr>
            <w:tcW w:w="4146" w:type="dxa"/>
            <w:tcBorders>
              <w:top w:val="single" w:color="auto" w:sz="4" w:space="0"/>
              <w:left w:val="single" w:color="auto" w:sz="4" w:space="0"/>
              <w:bottom w:val="single" w:color="auto" w:sz="4" w:space="0"/>
              <w:right w:val="single" w:color="auto" w:sz="4" w:space="0"/>
            </w:tcBorders>
          </w:tcPr>
          <w:p w14:paraId="76024D93">
            <w:pPr>
              <w:keepNext w:val="0"/>
              <w:keepLines w:val="0"/>
              <w:widowControl/>
              <w:suppressLineNumbers w:val="0"/>
              <w:adjustRightInd/>
              <w:spacing w:before="0" w:beforeAutospacing="0" w:after="0" w:afterAutospacing="0" w:line="240" w:lineRule="auto"/>
              <w:ind w:left="0" w:right="0"/>
              <w:textAlignment w:val="auto"/>
              <w:rPr>
                <w:rFonts w:hint="eastAsia" w:ascii="宋体" w:hAnsi="宋体"/>
                <w:sz w:val="20"/>
                <w:szCs w:val="20"/>
              </w:rPr>
            </w:pPr>
          </w:p>
        </w:tc>
      </w:tr>
      <w:tr w14:paraId="00A3B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0" w:type="dxa"/>
            <w:tcBorders>
              <w:top w:val="single" w:color="auto" w:sz="4" w:space="0"/>
              <w:left w:val="single" w:color="auto" w:sz="4" w:space="0"/>
              <w:bottom w:val="single" w:color="auto" w:sz="4" w:space="0"/>
              <w:right w:val="single" w:color="auto" w:sz="4" w:space="0"/>
            </w:tcBorders>
          </w:tcPr>
          <w:p w14:paraId="42C1BB83">
            <w:pPr>
              <w:keepNext w:val="0"/>
              <w:keepLines w:val="0"/>
              <w:suppressLineNumbers w:val="0"/>
              <w:spacing w:before="0" w:beforeAutospacing="0" w:after="0" w:afterAutospacing="0"/>
              <w:ind w:left="0" w:right="0"/>
              <w:rPr>
                <w:rFonts w:hint="default" w:ascii="宋体" w:hAnsi="宋体"/>
                <w:sz w:val="20"/>
                <w:szCs w:val="20"/>
              </w:rPr>
            </w:pPr>
            <w:r>
              <w:rPr>
                <w:rFonts w:hint="eastAsia" w:ascii="宋体" w:hAnsi="宋体"/>
                <w:sz w:val="20"/>
                <w:szCs w:val="20"/>
              </w:rPr>
              <w:t>二、清算费用</w:t>
            </w:r>
          </w:p>
        </w:tc>
        <w:tc>
          <w:tcPr>
            <w:tcW w:w="4146" w:type="dxa"/>
            <w:tcBorders>
              <w:top w:val="single" w:color="auto" w:sz="4" w:space="0"/>
              <w:left w:val="single" w:color="auto" w:sz="4" w:space="0"/>
              <w:bottom w:val="single" w:color="auto" w:sz="4" w:space="0"/>
              <w:right w:val="single" w:color="auto" w:sz="4" w:space="0"/>
            </w:tcBorders>
          </w:tcPr>
          <w:p w14:paraId="44852EA1">
            <w:pPr>
              <w:keepNext w:val="0"/>
              <w:keepLines w:val="0"/>
              <w:suppressLineNumbers w:val="0"/>
              <w:spacing w:before="0" w:beforeAutospacing="0" w:after="0" w:afterAutospacing="0"/>
              <w:ind w:left="0" w:right="0"/>
              <w:rPr>
                <w:rFonts w:hint="default" w:ascii="宋体" w:hAnsi="宋体"/>
                <w:sz w:val="20"/>
                <w:szCs w:val="20"/>
              </w:rPr>
            </w:pPr>
          </w:p>
        </w:tc>
      </w:tr>
      <w:tr w14:paraId="189D2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0" w:type="dxa"/>
            <w:tcBorders>
              <w:top w:val="single" w:color="auto" w:sz="4" w:space="0"/>
              <w:left w:val="single" w:color="auto" w:sz="4" w:space="0"/>
              <w:bottom w:val="single" w:color="auto" w:sz="4" w:space="0"/>
              <w:right w:val="single" w:color="auto" w:sz="4" w:space="0"/>
            </w:tcBorders>
          </w:tcPr>
          <w:p w14:paraId="46BB7CD6">
            <w:pPr>
              <w:keepNext w:val="0"/>
              <w:keepLines w:val="0"/>
              <w:suppressLineNumbers w:val="0"/>
              <w:spacing w:before="0" w:beforeAutospacing="0" w:after="0" w:afterAutospacing="0"/>
              <w:ind w:left="0" w:right="0"/>
              <w:rPr>
                <w:rFonts w:hint="default" w:ascii="宋体" w:hAnsi="宋体"/>
                <w:sz w:val="20"/>
                <w:szCs w:val="20"/>
              </w:rPr>
            </w:pPr>
            <w:r>
              <w:rPr>
                <w:rFonts w:hint="eastAsia" w:ascii="宋体" w:hAnsi="宋体"/>
                <w:sz w:val="20"/>
                <w:szCs w:val="20"/>
              </w:rPr>
              <w:t>银行划款手续费</w:t>
            </w:r>
          </w:p>
        </w:tc>
        <w:tc>
          <w:tcPr>
            <w:tcW w:w="4146" w:type="dxa"/>
            <w:tcBorders>
              <w:top w:val="single" w:color="auto" w:sz="4" w:space="0"/>
              <w:left w:val="single" w:color="auto" w:sz="4" w:space="0"/>
              <w:bottom w:val="single" w:color="auto" w:sz="4" w:space="0"/>
              <w:right w:val="single" w:color="auto" w:sz="4" w:space="0"/>
            </w:tcBorders>
          </w:tcPr>
          <w:p w14:paraId="0D2ECF57">
            <w:pPr>
              <w:keepNext w:val="0"/>
              <w:keepLines w:val="0"/>
              <w:suppressLineNumbers w:val="0"/>
              <w:spacing w:before="0" w:beforeAutospacing="0" w:after="0" w:afterAutospacing="0"/>
              <w:ind w:left="0" w:right="0"/>
              <w:rPr>
                <w:rFonts w:hint="default" w:ascii="宋体" w:hAnsi="宋体"/>
                <w:sz w:val="20"/>
                <w:szCs w:val="20"/>
              </w:rPr>
            </w:pPr>
            <w:r>
              <w:rPr>
                <w:rFonts w:hint="default" w:ascii="宋体" w:hAnsi="宋体"/>
                <w:sz w:val="20"/>
                <w:szCs w:val="20"/>
              </w:rPr>
              <w:t>-</w:t>
            </w:r>
          </w:p>
        </w:tc>
      </w:tr>
      <w:tr w14:paraId="2623D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0" w:type="dxa"/>
            <w:tcBorders>
              <w:top w:val="single" w:color="auto" w:sz="4" w:space="0"/>
              <w:left w:val="single" w:color="auto" w:sz="4" w:space="0"/>
              <w:bottom w:val="single" w:color="auto" w:sz="4" w:space="0"/>
              <w:right w:val="single" w:color="auto" w:sz="4" w:space="0"/>
            </w:tcBorders>
          </w:tcPr>
          <w:p w14:paraId="7351AE3E">
            <w:pPr>
              <w:keepNext w:val="0"/>
              <w:keepLines w:val="0"/>
              <w:suppressLineNumbers w:val="0"/>
              <w:spacing w:before="0" w:beforeAutospacing="0" w:after="0" w:afterAutospacing="0"/>
              <w:ind w:left="0" w:right="0"/>
              <w:rPr>
                <w:rFonts w:hint="default" w:ascii="宋体" w:hAnsi="宋体"/>
                <w:sz w:val="20"/>
                <w:szCs w:val="20"/>
              </w:rPr>
            </w:pPr>
            <w:r>
              <w:rPr>
                <w:rFonts w:hint="eastAsia" w:ascii="宋体" w:hAnsi="宋体"/>
                <w:sz w:val="20"/>
                <w:szCs w:val="20"/>
              </w:rPr>
              <w:t>交易费用</w:t>
            </w:r>
          </w:p>
        </w:tc>
        <w:tc>
          <w:tcPr>
            <w:tcW w:w="4146" w:type="dxa"/>
            <w:tcBorders>
              <w:top w:val="single" w:color="auto" w:sz="4" w:space="0"/>
              <w:left w:val="single" w:color="auto" w:sz="4" w:space="0"/>
              <w:bottom w:val="single" w:color="auto" w:sz="4" w:space="0"/>
              <w:right w:val="single" w:color="auto" w:sz="4" w:space="0"/>
            </w:tcBorders>
          </w:tcPr>
          <w:p w14:paraId="2D2DE4C1">
            <w:pPr>
              <w:keepNext w:val="0"/>
              <w:keepLines w:val="0"/>
              <w:suppressLineNumbers w:val="0"/>
              <w:spacing w:before="0" w:beforeAutospacing="0" w:after="0" w:afterAutospacing="0"/>
              <w:ind w:left="0" w:right="0"/>
              <w:rPr>
                <w:rFonts w:hint="default" w:ascii="宋体" w:hAnsi="宋体"/>
                <w:sz w:val="20"/>
                <w:szCs w:val="20"/>
              </w:rPr>
            </w:pPr>
            <w:r>
              <w:rPr>
                <w:rFonts w:hint="default" w:ascii="宋体" w:hAnsi="宋体"/>
                <w:sz w:val="20"/>
                <w:szCs w:val="20"/>
              </w:rPr>
              <w:t>-</w:t>
            </w:r>
          </w:p>
        </w:tc>
      </w:tr>
      <w:tr w14:paraId="4097A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0" w:type="dxa"/>
            <w:tcBorders>
              <w:top w:val="single" w:color="auto" w:sz="4" w:space="0"/>
              <w:left w:val="single" w:color="auto" w:sz="4" w:space="0"/>
              <w:bottom w:val="single" w:color="auto" w:sz="4" w:space="0"/>
              <w:right w:val="single" w:color="auto" w:sz="4" w:space="0"/>
            </w:tcBorders>
          </w:tcPr>
          <w:p w14:paraId="04B6D0E1">
            <w:pPr>
              <w:keepNext w:val="0"/>
              <w:keepLines w:val="0"/>
              <w:suppressLineNumbers w:val="0"/>
              <w:spacing w:before="0" w:beforeAutospacing="0" w:after="0" w:afterAutospacing="0"/>
              <w:ind w:left="0" w:right="0"/>
              <w:rPr>
                <w:rFonts w:hint="default" w:ascii="宋体" w:hAnsi="宋体"/>
                <w:sz w:val="20"/>
                <w:szCs w:val="20"/>
              </w:rPr>
            </w:pPr>
            <w:r>
              <w:rPr>
                <w:rFonts w:hint="eastAsia" w:ascii="宋体" w:hAnsi="宋体"/>
                <w:sz w:val="20"/>
                <w:szCs w:val="20"/>
              </w:rPr>
              <w:t>其他费用</w:t>
            </w:r>
          </w:p>
        </w:tc>
        <w:tc>
          <w:tcPr>
            <w:tcW w:w="4146" w:type="dxa"/>
            <w:tcBorders>
              <w:top w:val="single" w:color="auto" w:sz="4" w:space="0"/>
              <w:left w:val="single" w:color="auto" w:sz="4" w:space="0"/>
              <w:bottom w:val="single" w:color="auto" w:sz="4" w:space="0"/>
              <w:right w:val="single" w:color="auto" w:sz="4" w:space="0"/>
            </w:tcBorders>
          </w:tcPr>
          <w:p w14:paraId="617B11FC">
            <w:pPr>
              <w:keepNext w:val="0"/>
              <w:keepLines w:val="0"/>
              <w:suppressLineNumbers w:val="0"/>
              <w:spacing w:before="0" w:beforeAutospacing="0" w:after="0" w:afterAutospacing="0"/>
              <w:ind w:left="0" w:right="0"/>
              <w:rPr>
                <w:rFonts w:hint="default" w:ascii="宋体" w:hAnsi="宋体"/>
                <w:sz w:val="20"/>
                <w:szCs w:val="20"/>
              </w:rPr>
            </w:pPr>
            <w:r>
              <w:rPr>
                <w:rFonts w:hint="default" w:ascii="宋体" w:hAnsi="宋体"/>
                <w:sz w:val="20"/>
                <w:szCs w:val="20"/>
              </w:rPr>
              <w:t>-2,549.52</w:t>
            </w:r>
          </w:p>
        </w:tc>
      </w:tr>
      <w:tr w14:paraId="6CF46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0" w:type="dxa"/>
            <w:tcBorders>
              <w:top w:val="single" w:color="auto" w:sz="4" w:space="0"/>
              <w:left w:val="single" w:color="auto" w:sz="4" w:space="0"/>
              <w:bottom w:val="single" w:color="auto" w:sz="4" w:space="0"/>
              <w:right w:val="single" w:color="auto" w:sz="4" w:space="0"/>
            </w:tcBorders>
          </w:tcPr>
          <w:p w14:paraId="7963C6A2">
            <w:pPr>
              <w:keepNext w:val="0"/>
              <w:keepLines w:val="0"/>
              <w:suppressLineNumbers w:val="0"/>
              <w:spacing w:before="0" w:beforeAutospacing="0" w:after="0" w:afterAutospacing="0"/>
              <w:ind w:left="0" w:right="0"/>
              <w:rPr>
                <w:rFonts w:hint="default" w:ascii="宋体" w:hAnsi="宋体"/>
                <w:sz w:val="20"/>
                <w:szCs w:val="20"/>
              </w:rPr>
            </w:pPr>
            <w:r>
              <w:rPr>
                <w:rFonts w:hint="eastAsia" w:ascii="宋体" w:hAnsi="宋体"/>
                <w:sz w:val="20"/>
                <w:szCs w:val="20"/>
              </w:rPr>
              <w:t>清算费用小计（</w:t>
            </w:r>
            <w:r>
              <w:rPr>
                <w:rFonts w:hint="default" w:ascii="宋体" w:hAnsi="宋体"/>
                <w:sz w:val="20"/>
                <w:szCs w:val="20"/>
              </w:rPr>
              <w:t>2</w:t>
            </w:r>
            <w:r>
              <w:rPr>
                <w:rFonts w:hint="eastAsia" w:ascii="宋体" w:hAnsi="宋体"/>
                <w:sz w:val="20"/>
                <w:szCs w:val="20"/>
              </w:rPr>
              <w:t>）</w:t>
            </w:r>
          </w:p>
        </w:tc>
        <w:tc>
          <w:tcPr>
            <w:tcW w:w="4146" w:type="dxa"/>
            <w:tcBorders>
              <w:top w:val="single" w:color="auto" w:sz="4" w:space="0"/>
              <w:left w:val="single" w:color="auto" w:sz="4" w:space="0"/>
              <w:bottom w:val="single" w:color="auto" w:sz="4" w:space="0"/>
              <w:right w:val="single" w:color="auto" w:sz="4" w:space="0"/>
            </w:tcBorders>
          </w:tcPr>
          <w:p w14:paraId="3F7EC39B">
            <w:pPr>
              <w:keepNext w:val="0"/>
              <w:keepLines w:val="0"/>
              <w:suppressLineNumbers w:val="0"/>
              <w:spacing w:before="0" w:beforeAutospacing="0" w:after="0" w:afterAutospacing="0"/>
              <w:ind w:left="0" w:right="0"/>
              <w:rPr>
                <w:rFonts w:hint="default" w:ascii="宋体" w:hAnsi="宋体"/>
                <w:sz w:val="20"/>
                <w:szCs w:val="20"/>
              </w:rPr>
            </w:pPr>
            <w:r>
              <w:rPr>
                <w:rFonts w:hint="default" w:ascii="宋体" w:hAnsi="宋体"/>
                <w:sz w:val="20"/>
                <w:szCs w:val="20"/>
              </w:rPr>
              <w:t>-2,549.52</w:t>
            </w:r>
          </w:p>
        </w:tc>
      </w:tr>
      <w:tr w14:paraId="6032C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0" w:type="dxa"/>
            <w:tcBorders>
              <w:top w:val="single" w:color="auto" w:sz="4" w:space="0"/>
              <w:left w:val="single" w:color="auto" w:sz="4" w:space="0"/>
              <w:bottom w:val="single" w:color="auto" w:sz="4" w:space="0"/>
              <w:right w:val="single" w:color="auto" w:sz="4" w:space="0"/>
            </w:tcBorders>
          </w:tcPr>
          <w:p w14:paraId="5749D1D8">
            <w:pPr>
              <w:keepNext w:val="0"/>
              <w:keepLines w:val="0"/>
              <w:suppressLineNumbers w:val="0"/>
              <w:spacing w:before="0" w:beforeAutospacing="0" w:after="0" w:afterAutospacing="0"/>
              <w:ind w:left="0" w:right="0"/>
              <w:rPr>
                <w:rFonts w:hint="default" w:ascii="宋体" w:hAnsi="宋体"/>
                <w:sz w:val="20"/>
                <w:szCs w:val="20"/>
              </w:rPr>
            </w:pPr>
            <w:r>
              <w:rPr>
                <w:rFonts w:hint="eastAsia" w:ascii="宋体" w:hAnsi="宋体"/>
                <w:sz w:val="20"/>
                <w:szCs w:val="20"/>
              </w:rPr>
              <w:t>三、清算净收益（</w:t>
            </w:r>
            <w:r>
              <w:rPr>
                <w:rFonts w:hint="default" w:ascii="宋体" w:hAnsi="宋体"/>
                <w:sz w:val="20"/>
                <w:szCs w:val="20"/>
              </w:rPr>
              <w:t>1</w:t>
            </w:r>
            <w:r>
              <w:rPr>
                <w:rFonts w:hint="eastAsia" w:ascii="宋体" w:hAnsi="宋体"/>
                <w:sz w:val="20"/>
                <w:szCs w:val="20"/>
              </w:rPr>
              <w:t>）</w:t>
            </w:r>
            <w:r>
              <w:rPr>
                <w:rFonts w:hint="default" w:ascii="宋体" w:hAnsi="宋体"/>
                <w:sz w:val="20"/>
                <w:szCs w:val="20"/>
              </w:rPr>
              <w:t>-</w:t>
            </w:r>
            <w:r>
              <w:rPr>
                <w:rFonts w:hint="eastAsia" w:ascii="宋体" w:hAnsi="宋体"/>
                <w:sz w:val="20"/>
                <w:szCs w:val="20"/>
              </w:rPr>
              <w:t>（</w:t>
            </w:r>
            <w:r>
              <w:rPr>
                <w:rFonts w:hint="default" w:ascii="宋体" w:hAnsi="宋体"/>
                <w:sz w:val="20"/>
                <w:szCs w:val="20"/>
              </w:rPr>
              <w:t>2</w:t>
            </w:r>
            <w:r>
              <w:rPr>
                <w:rFonts w:hint="eastAsia" w:ascii="宋体" w:hAnsi="宋体"/>
                <w:sz w:val="20"/>
                <w:szCs w:val="20"/>
              </w:rPr>
              <w:t>）</w:t>
            </w:r>
          </w:p>
        </w:tc>
        <w:tc>
          <w:tcPr>
            <w:tcW w:w="4146" w:type="dxa"/>
            <w:tcBorders>
              <w:top w:val="single" w:color="auto" w:sz="4" w:space="0"/>
              <w:left w:val="single" w:color="auto" w:sz="4" w:space="0"/>
              <w:bottom w:val="single" w:color="auto" w:sz="4" w:space="0"/>
              <w:right w:val="single" w:color="auto" w:sz="4" w:space="0"/>
            </w:tcBorders>
            <w:vAlign w:val="center"/>
          </w:tcPr>
          <w:p w14:paraId="37EFCF94">
            <w:pPr>
              <w:keepNext w:val="0"/>
              <w:keepLines w:val="0"/>
              <w:suppressLineNumbers w:val="0"/>
              <w:spacing w:before="0" w:beforeAutospacing="0" w:after="0" w:afterAutospacing="0"/>
              <w:ind w:left="0" w:right="0"/>
              <w:rPr>
                <w:rFonts w:hint="default" w:ascii="宋体" w:hAnsi="宋体"/>
                <w:sz w:val="20"/>
                <w:szCs w:val="20"/>
              </w:rPr>
            </w:pPr>
            <w:r>
              <w:rPr>
                <w:rFonts w:hint="default" w:ascii="宋体" w:hAnsi="宋体"/>
                <w:sz w:val="20"/>
                <w:szCs w:val="20"/>
              </w:rPr>
              <w:t>62,804.59</w:t>
            </w:r>
          </w:p>
        </w:tc>
      </w:tr>
    </w:tbl>
    <w:p w14:paraId="2AC5333A">
      <w:pPr>
        <w:rPr>
          <w:rFonts w:ascii="宋体"/>
        </w:rPr>
      </w:pPr>
      <w:r>
        <w:rPr>
          <w:rFonts w:hint="eastAsia" w:ascii="宋体"/>
        </w:rPr>
        <w:t>注:</w:t>
      </w:r>
      <w:r>
        <w:rPr>
          <w:rFonts w:hint="eastAsia"/>
        </w:rPr>
        <w:t xml:space="preserve"> </w:t>
      </w:r>
      <w:r>
        <w:rPr>
          <w:rFonts w:hint="eastAsia" w:ascii="宋体"/>
        </w:rPr>
        <w:t>1、利息收入系计提的自</w:t>
      </w:r>
      <w:r>
        <w:rPr>
          <w:rFonts w:ascii="宋体" w:hAnsi="宋体"/>
        </w:rPr>
        <w:t>20</w:t>
      </w:r>
      <w:r>
        <w:rPr>
          <w:rFonts w:hint="eastAsia" w:ascii="宋体" w:hAnsi="宋体"/>
        </w:rPr>
        <w:t>2</w:t>
      </w:r>
      <w:r>
        <w:rPr>
          <w:rFonts w:ascii="宋体" w:hAnsi="宋体"/>
        </w:rPr>
        <w:t>6</w:t>
      </w:r>
      <w:r>
        <w:rPr>
          <w:rFonts w:hint="eastAsia" w:ascii="宋体" w:hAnsi="宋体"/>
        </w:rPr>
        <w:t>年</w:t>
      </w:r>
      <w:r>
        <w:rPr>
          <w:rFonts w:ascii="宋体" w:hAnsi="宋体"/>
        </w:rPr>
        <w:t>4</w:t>
      </w:r>
      <w:r>
        <w:rPr>
          <w:rFonts w:hint="eastAsia" w:ascii="宋体" w:hAnsi="宋体"/>
        </w:rPr>
        <w:t>月</w:t>
      </w:r>
      <w:r>
        <w:rPr>
          <w:rFonts w:ascii="宋体" w:hAnsi="宋体"/>
        </w:rPr>
        <w:t>3</w:t>
      </w:r>
      <w:r>
        <w:rPr>
          <w:rFonts w:hint="eastAsia" w:ascii="宋体" w:hAnsi="宋体"/>
        </w:rPr>
        <w:t>日至</w:t>
      </w:r>
      <w:r>
        <w:rPr>
          <w:rFonts w:ascii="宋体" w:hAnsi="宋体"/>
        </w:rPr>
        <w:t>20</w:t>
      </w:r>
      <w:r>
        <w:rPr>
          <w:rFonts w:hint="eastAsia" w:ascii="宋体" w:hAnsi="宋体"/>
        </w:rPr>
        <w:t>2</w:t>
      </w:r>
      <w:r>
        <w:rPr>
          <w:rFonts w:ascii="宋体" w:hAnsi="宋体"/>
        </w:rPr>
        <w:t>6</w:t>
      </w:r>
      <w:r>
        <w:rPr>
          <w:rFonts w:hint="eastAsia" w:ascii="宋体" w:hAnsi="宋体"/>
        </w:rPr>
        <w:t>年</w:t>
      </w:r>
      <w:r>
        <w:rPr>
          <w:rFonts w:ascii="宋体" w:hAnsi="宋体"/>
        </w:rPr>
        <w:t>4</w:t>
      </w:r>
      <w:r>
        <w:rPr>
          <w:rFonts w:hint="eastAsia" w:ascii="宋体" w:hAnsi="宋体"/>
        </w:rPr>
        <w:t>月</w:t>
      </w:r>
      <w:r>
        <w:rPr>
          <w:rFonts w:ascii="宋体" w:hAnsi="宋体"/>
        </w:rPr>
        <w:t>30</w:t>
      </w:r>
      <w:r>
        <w:rPr>
          <w:rFonts w:hint="eastAsia" w:ascii="宋体" w:hAnsi="宋体"/>
        </w:rPr>
        <w:t>日止清算期间的银行存款利息收入、</w:t>
      </w:r>
      <w:r>
        <w:rPr>
          <w:rFonts w:hint="eastAsia" w:ascii="宋体" w:hAnsi="宋体"/>
          <w:lang w:val="en-US" w:eastAsia="zh-CN"/>
        </w:rPr>
        <w:t>结算</w:t>
      </w:r>
      <w:r>
        <w:rPr>
          <w:rFonts w:hint="eastAsia" w:ascii="宋体" w:hAnsi="宋体"/>
        </w:rPr>
        <w:t>备付金</w:t>
      </w:r>
      <w:r>
        <w:rPr>
          <w:rFonts w:ascii="宋体" w:hAnsi="宋体"/>
        </w:rPr>
        <w:t>利息收入</w:t>
      </w:r>
      <w:r>
        <w:rPr>
          <w:rFonts w:hint="eastAsia" w:ascii="宋体" w:hAnsi="宋体"/>
        </w:rPr>
        <w:t>和存出保证金利息收入。</w:t>
      </w:r>
    </w:p>
    <w:p w14:paraId="2BA7C7DF">
      <w:pPr>
        <w:rPr>
          <w:rFonts w:ascii="宋体"/>
        </w:rPr>
      </w:pPr>
      <w:r>
        <w:rPr>
          <w:rFonts w:ascii="宋体"/>
        </w:rPr>
        <w:t>2</w:t>
      </w:r>
      <w:r>
        <w:rPr>
          <w:rFonts w:hint="eastAsia" w:ascii="宋体"/>
        </w:rPr>
        <w:t>、本基金清算期间的律师费（如有）由基金管理人承担。</w:t>
      </w:r>
    </w:p>
    <w:p w14:paraId="3C789FC3">
      <w:pPr>
        <w:spacing w:before="156" w:beforeLines="50" w:after="156" w:afterLines="50"/>
        <w:rPr>
          <w:rFonts w:ascii="宋体" w:hAnsi="宋体"/>
          <w:b/>
        </w:rPr>
      </w:pPr>
      <w:r>
        <w:rPr>
          <w:rFonts w:hint="eastAsia" w:ascii="宋体" w:hAnsi="宋体"/>
          <w:b/>
        </w:rPr>
        <w:t>5、资产处置及负债清偿后的剩余资产分配情况</w:t>
      </w:r>
    </w:p>
    <w:tbl>
      <w:tblPr>
        <w:tblStyle w:val="11"/>
        <w:tblW w:w="85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40"/>
        <w:gridCol w:w="4192"/>
      </w:tblGrid>
      <w:tr w14:paraId="56DD0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0" w:type="dxa"/>
          </w:tcPr>
          <w:p w14:paraId="5D4ADD83">
            <w:pPr>
              <w:keepNext w:val="0"/>
              <w:keepLines w:val="0"/>
              <w:suppressLineNumbers w:val="0"/>
              <w:spacing w:before="0" w:beforeAutospacing="0" w:after="0" w:afterAutospacing="0"/>
              <w:ind w:left="0" w:right="0"/>
              <w:rPr>
                <w:rFonts w:hint="default" w:ascii="宋体"/>
                <w:sz w:val="20"/>
                <w:szCs w:val="20"/>
              </w:rPr>
            </w:pPr>
            <w:r>
              <w:rPr>
                <w:rFonts w:hint="eastAsia" w:ascii="宋体" w:hAnsi="宋体"/>
                <w:sz w:val="20"/>
                <w:szCs w:val="20"/>
              </w:rPr>
              <w:t>项目</w:t>
            </w:r>
          </w:p>
        </w:tc>
        <w:tc>
          <w:tcPr>
            <w:tcW w:w="4192" w:type="dxa"/>
          </w:tcPr>
          <w:p w14:paraId="738A461F">
            <w:pPr>
              <w:keepNext w:val="0"/>
              <w:keepLines w:val="0"/>
              <w:suppressLineNumbers w:val="0"/>
              <w:spacing w:before="0" w:beforeAutospacing="0" w:after="0" w:afterAutospacing="0"/>
              <w:ind w:left="0" w:right="0"/>
              <w:rPr>
                <w:rFonts w:hint="default" w:ascii="宋体"/>
                <w:sz w:val="20"/>
                <w:szCs w:val="20"/>
              </w:rPr>
            </w:pPr>
            <w:r>
              <w:rPr>
                <w:rFonts w:hint="eastAsia" w:ascii="宋体" w:hAnsi="宋体"/>
                <w:sz w:val="20"/>
                <w:szCs w:val="20"/>
              </w:rPr>
              <w:t>金额（单位：人民币元）</w:t>
            </w:r>
          </w:p>
        </w:tc>
      </w:tr>
      <w:tr w14:paraId="030DD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0" w:type="dxa"/>
          </w:tcPr>
          <w:p w14:paraId="4935FE16">
            <w:pPr>
              <w:keepNext w:val="0"/>
              <w:keepLines w:val="0"/>
              <w:suppressLineNumbers w:val="0"/>
              <w:spacing w:before="0" w:beforeAutospacing="0" w:after="0" w:afterAutospacing="0"/>
              <w:ind w:left="0" w:right="0"/>
              <w:rPr>
                <w:rFonts w:hint="default" w:ascii="宋体"/>
                <w:sz w:val="20"/>
                <w:szCs w:val="20"/>
              </w:rPr>
            </w:pPr>
            <w:r>
              <w:rPr>
                <w:rFonts w:hint="eastAsia" w:ascii="宋体" w:hAnsi="宋体"/>
                <w:sz w:val="20"/>
                <w:szCs w:val="20"/>
              </w:rPr>
              <w:t>一、最后运作日</w:t>
            </w:r>
            <w:r>
              <w:rPr>
                <w:rFonts w:hint="eastAsia" w:ascii="宋体"/>
                <w:sz w:val="20"/>
                <w:szCs w:val="20"/>
              </w:rPr>
              <w:t>202</w:t>
            </w:r>
            <w:r>
              <w:rPr>
                <w:rFonts w:hint="default" w:ascii="宋体"/>
                <w:sz w:val="20"/>
                <w:szCs w:val="20"/>
              </w:rPr>
              <w:t>6</w:t>
            </w:r>
            <w:r>
              <w:rPr>
                <w:rFonts w:hint="eastAsia" w:ascii="宋体"/>
                <w:sz w:val="20"/>
                <w:szCs w:val="20"/>
              </w:rPr>
              <w:t>年</w:t>
            </w:r>
            <w:r>
              <w:rPr>
                <w:rFonts w:hint="default" w:ascii="宋体"/>
                <w:sz w:val="20"/>
                <w:szCs w:val="20"/>
              </w:rPr>
              <w:t>4</w:t>
            </w:r>
            <w:r>
              <w:rPr>
                <w:rFonts w:hint="eastAsia" w:ascii="宋体"/>
                <w:sz w:val="20"/>
                <w:szCs w:val="20"/>
              </w:rPr>
              <w:t>月</w:t>
            </w:r>
            <w:r>
              <w:rPr>
                <w:rFonts w:hint="default" w:ascii="宋体"/>
                <w:sz w:val="20"/>
                <w:szCs w:val="20"/>
              </w:rPr>
              <w:t>2</w:t>
            </w:r>
            <w:r>
              <w:rPr>
                <w:rFonts w:hint="eastAsia" w:ascii="宋体"/>
                <w:sz w:val="20"/>
                <w:szCs w:val="20"/>
              </w:rPr>
              <w:t>日</w:t>
            </w:r>
            <w:r>
              <w:rPr>
                <w:rFonts w:hint="eastAsia" w:ascii="宋体" w:hAnsi="宋体"/>
                <w:sz w:val="20"/>
                <w:szCs w:val="20"/>
              </w:rPr>
              <w:t>基金净资产</w:t>
            </w:r>
          </w:p>
        </w:tc>
        <w:tc>
          <w:tcPr>
            <w:tcW w:w="4192" w:type="dxa"/>
            <w:vAlign w:val="center"/>
          </w:tcPr>
          <w:p w14:paraId="61688582">
            <w:pPr>
              <w:keepNext w:val="0"/>
              <w:keepLines w:val="0"/>
              <w:suppressLineNumbers w:val="0"/>
              <w:spacing w:before="0" w:beforeAutospacing="0" w:after="0" w:afterAutospacing="0"/>
              <w:ind w:left="0" w:right="0"/>
              <w:jc w:val="right"/>
              <w:rPr>
                <w:rFonts w:hint="default" w:ascii="宋体" w:hAnsi="宋体"/>
                <w:sz w:val="20"/>
                <w:szCs w:val="20"/>
              </w:rPr>
            </w:pPr>
            <w:r>
              <w:rPr>
                <w:rFonts w:hint="default" w:ascii="宋体" w:hAnsi="宋体"/>
                <w:sz w:val="20"/>
                <w:szCs w:val="20"/>
              </w:rPr>
              <w:t>40,136,631.88</w:t>
            </w:r>
          </w:p>
        </w:tc>
      </w:tr>
      <w:tr w14:paraId="6F5EE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0" w:type="dxa"/>
          </w:tcPr>
          <w:p w14:paraId="3FF9FD24">
            <w:pPr>
              <w:keepNext w:val="0"/>
              <w:keepLines w:val="0"/>
              <w:suppressLineNumbers w:val="0"/>
              <w:spacing w:before="0" w:beforeAutospacing="0" w:after="0" w:afterAutospacing="0"/>
              <w:ind w:left="0" w:right="0"/>
              <w:rPr>
                <w:rFonts w:hint="default" w:ascii="宋体"/>
                <w:sz w:val="20"/>
                <w:szCs w:val="20"/>
              </w:rPr>
            </w:pPr>
            <w:r>
              <w:rPr>
                <w:rFonts w:hint="eastAsia" w:ascii="宋体" w:hAnsi="宋体"/>
                <w:sz w:val="20"/>
                <w:szCs w:val="20"/>
              </w:rPr>
              <w:t>加：清算期间净收益</w:t>
            </w:r>
          </w:p>
        </w:tc>
        <w:tc>
          <w:tcPr>
            <w:tcW w:w="4192" w:type="dxa"/>
            <w:vAlign w:val="center"/>
          </w:tcPr>
          <w:p w14:paraId="62FE523A">
            <w:pPr>
              <w:keepNext w:val="0"/>
              <w:keepLines w:val="0"/>
              <w:suppressLineNumbers w:val="0"/>
              <w:spacing w:before="0" w:beforeAutospacing="0" w:after="0" w:afterAutospacing="0"/>
              <w:ind w:left="0" w:right="0"/>
              <w:jc w:val="right"/>
              <w:rPr>
                <w:rFonts w:hint="default" w:ascii="宋体" w:hAnsi="宋体"/>
                <w:sz w:val="20"/>
                <w:szCs w:val="20"/>
              </w:rPr>
            </w:pPr>
            <w:r>
              <w:rPr>
                <w:rFonts w:hint="default" w:ascii="宋体" w:hAnsi="宋体"/>
                <w:sz w:val="20"/>
                <w:szCs w:val="20"/>
              </w:rPr>
              <w:t>62,804.59</w:t>
            </w:r>
          </w:p>
        </w:tc>
      </w:tr>
      <w:tr w14:paraId="5D77E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0" w:type="dxa"/>
          </w:tcPr>
          <w:p w14:paraId="692F448C">
            <w:pPr>
              <w:keepNext w:val="0"/>
              <w:keepLines w:val="0"/>
              <w:suppressLineNumbers w:val="0"/>
              <w:spacing w:before="0" w:beforeAutospacing="0" w:after="0" w:afterAutospacing="0"/>
              <w:ind w:left="0" w:right="0"/>
              <w:rPr>
                <w:rFonts w:hint="default" w:ascii="宋体" w:hAnsi="宋体"/>
                <w:color w:val="FF0000"/>
                <w:sz w:val="20"/>
                <w:szCs w:val="20"/>
                <w:highlight w:val="yellow"/>
              </w:rPr>
            </w:pPr>
            <w:r>
              <w:rPr>
                <w:rFonts w:hint="eastAsia" w:ascii="宋体" w:hAnsi="宋体"/>
                <w:sz w:val="20"/>
                <w:szCs w:val="20"/>
              </w:rPr>
              <w:t>减：</w:t>
            </w:r>
            <w:r>
              <w:rPr>
                <w:rFonts w:hint="eastAsia" w:ascii="宋体"/>
                <w:sz w:val="20"/>
                <w:szCs w:val="20"/>
              </w:rPr>
              <w:t>202</w:t>
            </w:r>
            <w:r>
              <w:rPr>
                <w:rFonts w:hint="default" w:ascii="宋体"/>
                <w:sz w:val="20"/>
                <w:szCs w:val="20"/>
              </w:rPr>
              <w:t>6</w:t>
            </w:r>
            <w:r>
              <w:rPr>
                <w:rFonts w:hint="eastAsia" w:ascii="宋体"/>
                <w:sz w:val="20"/>
                <w:szCs w:val="20"/>
              </w:rPr>
              <w:t>年</w:t>
            </w:r>
            <w:r>
              <w:rPr>
                <w:rFonts w:hint="default" w:ascii="宋体"/>
                <w:sz w:val="20"/>
                <w:szCs w:val="20"/>
              </w:rPr>
              <w:t>4</w:t>
            </w:r>
            <w:r>
              <w:rPr>
                <w:rFonts w:hint="eastAsia" w:ascii="宋体"/>
                <w:sz w:val="20"/>
                <w:szCs w:val="20"/>
              </w:rPr>
              <w:t>月</w:t>
            </w:r>
            <w:r>
              <w:rPr>
                <w:rFonts w:hint="default" w:ascii="宋体"/>
                <w:sz w:val="20"/>
                <w:szCs w:val="20"/>
              </w:rPr>
              <w:t>3</w:t>
            </w:r>
            <w:r>
              <w:rPr>
                <w:rFonts w:hint="eastAsia" w:ascii="宋体"/>
                <w:sz w:val="20"/>
                <w:szCs w:val="20"/>
              </w:rPr>
              <w:t>日</w:t>
            </w:r>
            <w:r>
              <w:rPr>
                <w:rFonts w:hint="eastAsia" w:ascii="宋体" w:hAnsi="宋体"/>
                <w:sz w:val="20"/>
                <w:szCs w:val="20"/>
              </w:rPr>
              <w:t>确认的净赎回款</w:t>
            </w:r>
          </w:p>
        </w:tc>
        <w:tc>
          <w:tcPr>
            <w:tcW w:w="4192" w:type="dxa"/>
            <w:vAlign w:val="bottom"/>
          </w:tcPr>
          <w:p w14:paraId="5D1511BF">
            <w:pPr>
              <w:keepNext w:val="0"/>
              <w:keepLines w:val="0"/>
              <w:widowControl/>
              <w:suppressLineNumbers w:val="0"/>
              <w:spacing w:before="0" w:beforeAutospacing="0" w:after="0" w:afterAutospacing="0"/>
              <w:ind w:left="0" w:right="0"/>
              <w:jc w:val="right"/>
              <w:textAlignment w:val="bottom"/>
              <w:rPr>
                <w:rFonts w:hint="eastAsia" w:ascii="宋体" w:hAnsi="宋体"/>
                <w:sz w:val="20"/>
                <w:szCs w:val="20"/>
                <w:highlight w:val="yellow"/>
              </w:rPr>
            </w:pPr>
            <w:r>
              <w:rPr>
                <w:rFonts w:hint="default" w:ascii="宋体" w:hAnsi="宋体" w:cs="宋体"/>
                <w:color w:val="000000"/>
                <w:sz w:val="20"/>
                <w:szCs w:val="20"/>
                <w:lang w:bidi="ar"/>
              </w:rPr>
              <w:t>13,917,148.35</w:t>
            </w:r>
          </w:p>
        </w:tc>
      </w:tr>
      <w:tr w14:paraId="58EA3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4340" w:type="dxa"/>
          </w:tcPr>
          <w:p w14:paraId="2A664374">
            <w:pPr>
              <w:keepNext w:val="0"/>
              <w:keepLines w:val="0"/>
              <w:suppressLineNumbers w:val="0"/>
              <w:spacing w:before="0" w:beforeAutospacing="0" w:after="0" w:afterAutospacing="0"/>
              <w:ind w:left="0" w:right="0"/>
              <w:rPr>
                <w:rFonts w:hint="default" w:ascii="宋体"/>
                <w:sz w:val="20"/>
                <w:szCs w:val="20"/>
              </w:rPr>
            </w:pPr>
            <w:r>
              <w:rPr>
                <w:rFonts w:hint="eastAsia" w:ascii="宋体" w:hAnsi="宋体"/>
                <w:sz w:val="20"/>
                <w:szCs w:val="20"/>
              </w:rPr>
              <w:t>二、</w:t>
            </w:r>
            <w:r>
              <w:rPr>
                <w:rFonts w:hint="eastAsia" w:ascii="宋体"/>
                <w:sz w:val="20"/>
                <w:szCs w:val="20"/>
              </w:rPr>
              <w:t>202</w:t>
            </w:r>
            <w:r>
              <w:rPr>
                <w:rFonts w:hint="default" w:ascii="宋体"/>
                <w:sz w:val="20"/>
                <w:szCs w:val="20"/>
              </w:rPr>
              <w:t>6</w:t>
            </w:r>
            <w:r>
              <w:rPr>
                <w:rFonts w:hint="eastAsia" w:ascii="宋体"/>
                <w:sz w:val="20"/>
                <w:szCs w:val="20"/>
              </w:rPr>
              <w:t>年</w:t>
            </w:r>
            <w:r>
              <w:rPr>
                <w:rFonts w:hint="default" w:ascii="宋体"/>
                <w:sz w:val="20"/>
                <w:szCs w:val="20"/>
              </w:rPr>
              <w:t>4</w:t>
            </w:r>
            <w:r>
              <w:rPr>
                <w:rFonts w:hint="eastAsia" w:ascii="宋体"/>
                <w:sz w:val="20"/>
                <w:szCs w:val="20"/>
              </w:rPr>
              <w:t>月</w:t>
            </w:r>
            <w:r>
              <w:rPr>
                <w:rFonts w:hint="default" w:ascii="宋体"/>
                <w:sz w:val="20"/>
                <w:szCs w:val="20"/>
              </w:rPr>
              <w:t>30</w:t>
            </w:r>
            <w:r>
              <w:rPr>
                <w:rFonts w:hint="eastAsia" w:ascii="宋体"/>
                <w:sz w:val="20"/>
                <w:szCs w:val="20"/>
              </w:rPr>
              <w:t>日</w:t>
            </w:r>
            <w:r>
              <w:rPr>
                <w:rFonts w:hint="eastAsia" w:ascii="宋体" w:hAnsi="宋体"/>
                <w:sz w:val="20"/>
                <w:szCs w:val="20"/>
              </w:rPr>
              <w:t>基金净资产</w:t>
            </w:r>
          </w:p>
        </w:tc>
        <w:tc>
          <w:tcPr>
            <w:tcW w:w="4192" w:type="dxa"/>
          </w:tcPr>
          <w:p w14:paraId="62EC597C">
            <w:pPr>
              <w:keepNext w:val="0"/>
              <w:keepLines w:val="0"/>
              <w:suppressLineNumbers w:val="0"/>
              <w:spacing w:before="0" w:beforeAutospacing="0" w:after="0" w:afterAutospacing="0"/>
              <w:ind w:left="0" w:right="0"/>
              <w:jc w:val="right"/>
              <w:rPr>
                <w:rFonts w:hint="default" w:ascii="宋体" w:hAnsi="宋体"/>
                <w:sz w:val="20"/>
                <w:szCs w:val="20"/>
              </w:rPr>
            </w:pPr>
            <w:r>
              <w:rPr>
                <w:rFonts w:hint="default" w:ascii="宋体" w:hAnsi="宋体"/>
                <w:sz w:val="20"/>
                <w:szCs w:val="20"/>
              </w:rPr>
              <w:t>26,282,288.12</w:t>
            </w:r>
          </w:p>
        </w:tc>
      </w:tr>
    </w:tbl>
    <w:p w14:paraId="7276C00F">
      <w:pPr>
        <w:ind w:firstLine="400" w:firstLineChars="200"/>
        <w:rPr>
          <w:rFonts w:ascii="宋体"/>
        </w:rPr>
      </w:pPr>
      <w:r>
        <w:rPr>
          <w:rFonts w:hint="eastAsia" w:ascii="宋体" w:hAnsi="宋体"/>
        </w:rPr>
        <w:t>资产处置及负债清偿后，</w:t>
      </w:r>
      <w:r>
        <w:rPr>
          <w:rFonts w:hint="eastAsia" w:ascii="宋体"/>
        </w:rPr>
        <w:t>202</w:t>
      </w:r>
      <w:r>
        <w:rPr>
          <w:rFonts w:ascii="宋体"/>
        </w:rPr>
        <w:t>6</w:t>
      </w:r>
      <w:r>
        <w:rPr>
          <w:rFonts w:hint="eastAsia" w:ascii="宋体"/>
        </w:rPr>
        <w:t>年</w:t>
      </w:r>
      <w:r>
        <w:rPr>
          <w:rFonts w:ascii="宋体"/>
        </w:rPr>
        <w:t>4</w:t>
      </w:r>
      <w:r>
        <w:rPr>
          <w:rFonts w:hint="eastAsia" w:ascii="宋体"/>
        </w:rPr>
        <w:t>月</w:t>
      </w:r>
      <w:r>
        <w:rPr>
          <w:rFonts w:ascii="宋体"/>
        </w:rPr>
        <w:t>30</w:t>
      </w:r>
      <w:r>
        <w:rPr>
          <w:rFonts w:hint="eastAsia" w:ascii="宋体"/>
        </w:rPr>
        <w:t>日</w:t>
      </w:r>
      <w:r>
        <w:rPr>
          <w:rFonts w:hint="eastAsia" w:ascii="宋体" w:hAnsi="宋体"/>
        </w:rPr>
        <w:t>本基金剩余财产为人民币</w:t>
      </w:r>
      <w:r>
        <w:rPr>
          <w:rFonts w:ascii="宋体" w:hAnsi="宋体"/>
        </w:rPr>
        <w:t>26,282,288.12</w:t>
      </w:r>
      <w:r>
        <w:rPr>
          <w:rFonts w:hint="eastAsia" w:ascii="宋体" w:hAnsi="宋体"/>
        </w:rPr>
        <w:t>元，根据本基金的基金合同约定，依据基金财产清算的分配方案，将基金财产清算后的全部剩余资产扣除基金财产清算费用、缴纳所欠税款并清偿基金债务后，按基金份额持有人持有的基金份额比例进行分配。若后续清算中出现资产不足以支付债务的</w:t>
      </w:r>
      <w:r>
        <w:rPr>
          <w:rFonts w:ascii="宋体" w:hAnsi="宋体"/>
        </w:rPr>
        <w:t>情况，</w:t>
      </w:r>
      <w:r>
        <w:rPr>
          <w:rFonts w:hint="eastAsia" w:ascii="宋体" w:hAnsi="宋体"/>
        </w:rPr>
        <w:t>以持有人利益考虑，由基金管理人承担。</w:t>
      </w:r>
    </w:p>
    <w:p w14:paraId="3F1D1D46">
      <w:pPr>
        <w:ind w:firstLine="408"/>
        <w:rPr>
          <w:rFonts w:ascii="宋体" w:hAnsi="宋体"/>
        </w:rPr>
      </w:pPr>
      <w:r>
        <w:rPr>
          <w:rFonts w:hint="eastAsia" w:ascii="宋体" w:hAnsi="宋体"/>
        </w:rPr>
        <w:t>清算结束日</w:t>
      </w:r>
      <w:r>
        <w:rPr>
          <w:rFonts w:hint="eastAsia" w:ascii="宋体"/>
        </w:rPr>
        <w:t>202</w:t>
      </w:r>
      <w:r>
        <w:rPr>
          <w:rFonts w:ascii="宋体"/>
        </w:rPr>
        <w:t>6</w:t>
      </w:r>
      <w:r>
        <w:rPr>
          <w:rFonts w:hint="eastAsia" w:ascii="宋体"/>
        </w:rPr>
        <w:t>年</w:t>
      </w:r>
      <w:r>
        <w:rPr>
          <w:rFonts w:ascii="宋体"/>
        </w:rPr>
        <w:t>4</w:t>
      </w:r>
      <w:r>
        <w:rPr>
          <w:rFonts w:hint="eastAsia" w:ascii="宋体"/>
        </w:rPr>
        <w:t>月</w:t>
      </w:r>
      <w:r>
        <w:rPr>
          <w:rFonts w:ascii="宋体"/>
        </w:rPr>
        <w:t>30</w:t>
      </w:r>
      <w:r>
        <w:rPr>
          <w:rFonts w:hint="eastAsia" w:ascii="宋体"/>
        </w:rPr>
        <w:t>日</w:t>
      </w:r>
      <w:r>
        <w:rPr>
          <w:rFonts w:hint="eastAsia" w:ascii="宋体" w:hAnsi="宋体"/>
        </w:rPr>
        <w:t>至清算款划出日前一日的银行存款产生的利息亦属份额持有人所有。清算期间的应收利息将由基金管理人以自有资金垫付，于清算款划出日前划入托管账户。</w:t>
      </w:r>
      <w:r>
        <w:rPr>
          <w:rFonts w:hint="eastAsia" w:ascii="宋体"/>
        </w:rPr>
        <w:t>202</w:t>
      </w:r>
      <w:r>
        <w:rPr>
          <w:rFonts w:ascii="宋体"/>
        </w:rPr>
        <w:t>6</w:t>
      </w:r>
      <w:r>
        <w:rPr>
          <w:rFonts w:hint="eastAsia" w:ascii="宋体"/>
        </w:rPr>
        <w:t>年</w:t>
      </w:r>
      <w:r>
        <w:rPr>
          <w:rFonts w:ascii="宋体"/>
        </w:rPr>
        <w:t>4</w:t>
      </w:r>
      <w:r>
        <w:rPr>
          <w:rFonts w:hint="eastAsia" w:ascii="宋体"/>
        </w:rPr>
        <w:t>月</w:t>
      </w:r>
      <w:r>
        <w:rPr>
          <w:rFonts w:ascii="宋体"/>
        </w:rPr>
        <w:t>30</w:t>
      </w:r>
      <w:r>
        <w:rPr>
          <w:rFonts w:hint="eastAsia" w:ascii="宋体"/>
        </w:rPr>
        <w:t>日</w:t>
      </w:r>
      <w:r>
        <w:rPr>
          <w:rFonts w:hint="eastAsia" w:ascii="宋体" w:hAnsi="宋体"/>
        </w:rPr>
        <w:t>至清算款划出日前一日的银行存款产生的利息亦由基金管理人以自有资金垫付。实际结息金额与垫付金额的尾差由基金管理人承担。</w:t>
      </w:r>
    </w:p>
    <w:p w14:paraId="54804EB7">
      <w:pPr>
        <w:spacing w:before="156" w:beforeLines="50" w:after="156" w:afterLines="50"/>
        <w:rPr>
          <w:rFonts w:ascii="宋体" w:hAnsi="宋体"/>
          <w:b/>
        </w:rPr>
      </w:pPr>
      <w:r>
        <w:rPr>
          <w:rFonts w:hint="eastAsia" w:ascii="宋体" w:hAnsi="宋体"/>
          <w:b/>
        </w:rPr>
        <w:t>6、基金财产清算报告的告知安排</w:t>
      </w:r>
    </w:p>
    <w:p w14:paraId="17E4DC18">
      <w:pPr>
        <w:ind w:firstLine="408"/>
        <w:rPr>
          <w:rFonts w:ascii="宋体"/>
        </w:rPr>
      </w:pPr>
      <w:r>
        <w:rPr>
          <w:rFonts w:hint="eastAsia" w:ascii="宋体" w:hAnsi="宋体"/>
        </w:rPr>
        <w:t>清算报告已经基金托管人复核，在经会计师事务所审计、律师事务所出具法律意见书后，报中国证监会备案后向基金份额持有人公告。</w:t>
      </w:r>
    </w:p>
    <w:p w14:paraId="1D687D8C">
      <w:pPr>
        <w:spacing w:after="312" w:afterLines="100"/>
        <w:rPr>
          <w:rStyle w:val="14"/>
        </w:rPr>
      </w:pPr>
      <w:r>
        <w:rPr>
          <w:rStyle w:val="14"/>
          <w:rFonts w:hint="eastAsia"/>
        </w:rPr>
        <w:t>六、备查文件目录</w:t>
      </w:r>
    </w:p>
    <w:p w14:paraId="16646EE2">
      <w:pPr>
        <w:spacing w:before="156" w:beforeLines="50" w:after="156" w:afterLines="50"/>
        <w:rPr>
          <w:rFonts w:ascii="宋体" w:hAnsi="宋体"/>
          <w:b/>
        </w:rPr>
      </w:pPr>
      <w:r>
        <w:rPr>
          <w:rFonts w:hint="eastAsia" w:ascii="宋体" w:hAnsi="宋体"/>
          <w:b/>
        </w:rPr>
        <w:t>1、备查文件目录</w:t>
      </w:r>
    </w:p>
    <w:p w14:paraId="54889FB3">
      <w:pPr>
        <w:ind w:firstLine="396"/>
        <w:rPr>
          <w:rFonts w:ascii="宋体"/>
        </w:rPr>
      </w:pPr>
      <w:r>
        <w:rPr>
          <w:rFonts w:hint="eastAsia" w:ascii="宋体" w:hAnsi="宋体"/>
        </w:rPr>
        <w:t>（</w:t>
      </w:r>
      <w:r>
        <w:rPr>
          <w:rFonts w:ascii="宋体" w:hAnsi="宋体"/>
        </w:rPr>
        <w:t>1</w:t>
      </w:r>
      <w:r>
        <w:rPr>
          <w:rFonts w:hint="eastAsia" w:ascii="宋体" w:hAnsi="宋体"/>
        </w:rPr>
        <w:t>）《交银施罗德稳进回报六个月持有期混合型证券投资基金清算审计报告》；</w:t>
      </w:r>
    </w:p>
    <w:p w14:paraId="2A991763">
      <w:pPr>
        <w:ind w:firstLine="396"/>
        <w:rPr>
          <w:rFonts w:ascii="宋体" w:hAnsi="宋体"/>
        </w:rPr>
      </w:pPr>
      <w:r>
        <w:rPr>
          <w:rFonts w:hint="eastAsia" w:ascii="宋体" w:hAnsi="宋体"/>
        </w:rPr>
        <w:t>（2）《交银施罗德稳进回报六个月持有期混合型证券投资基金清算报告》的法律意见。</w:t>
      </w:r>
    </w:p>
    <w:p w14:paraId="52AB9877">
      <w:pPr>
        <w:spacing w:before="156" w:beforeLines="50" w:after="156" w:afterLines="50"/>
        <w:rPr>
          <w:rFonts w:ascii="宋体" w:hAnsi="宋体"/>
          <w:b/>
        </w:rPr>
      </w:pPr>
      <w:r>
        <w:rPr>
          <w:rFonts w:hint="eastAsia" w:ascii="宋体" w:hAnsi="宋体"/>
          <w:b/>
        </w:rPr>
        <w:t>2、存放地点</w:t>
      </w:r>
    </w:p>
    <w:p w14:paraId="727513F3">
      <w:pPr>
        <w:ind w:firstLine="408"/>
        <w:rPr>
          <w:rFonts w:ascii="宋体"/>
        </w:rPr>
      </w:pPr>
      <w:r>
        <w:rPr>
          <w:rFonts w:hint="eastAsia" w:ascii="宋体" w:hAnsi="宋体"/>
        </w:rPr>
        <w:t>上述备查文本存放在本基金管理人办公场所，投资者可免费查阅，在支付工本费后，可在合理时间内取得上述文件的复制件或复印件。相关公开披露的法律文件，投资者还可在本基金管理人网站（</w:t>
      </w:r>
      <w:r>
        <w:t>http://www.fund001.com</w:t>
      </w:r>
      <w:r>
        <w:rPr>
          <w:rFonts w:hint="eastAsia" w:ascii="宋体" w:hAnsi="宋体"/>
        </w:rPr>
        <w:t>）查阅。</w:t>
      </w:r>
    </w:p>
    <w:p w14:paraId="75C15887">
      <w:pPr>
        <w:spacing w:before="156" w:beforeLines="50" w:after="156" w:afterLines="50"/>
        <w:rPr>
          <w:rFonts w:ascii="宋体" w:hAnsi="宋体"/>
          <w:b/>
        </w:rPr>
      </w:pPr>
      <w:r>
        <w:rPr>
          <w:rFonts w:hint="eastAsia" w:ascii="宋体" w:hAnsi="宋体"/>
          <w:b/>
        </w:rPr>
        <w:t>3、查阅方式</w:t>
      </w:r>
    </w:p>
    <w:p w14:paraId="6EAC85AC">
      <w:pPr>
        <w:ind w:firstLine="396"/>
        <w:rPr>
          <w:rFonts w:ascii="宋体"/>
        </w:rPr>
      </w:pPr>
      <w:r>
        <w:rPr>
          <w:rFonts w:hint="eastAsia" w:ascii="宋体" w:hAnsi="宋体"/>
        </w:rPr>
        <w:t>本报告存放在本基金管理人及</w:t>
      </w:r>
      <w:r>
        <w:rPr>
          <w:rFonts w:hint="eastAsia" w:ascii="宋体" w:hAnsi="宋体"/>
          <w:lang w:val="en-US" w:eastAsia="zh-CN"/>
        </w:rPr>
        <w:t>基金</w:t>
      </w:r>
      <w:r>
        <w:rPr>
          <w:rFonts w:hint="eastAsia" w:ascii="宋体" w:hAnsi="宋体"/>
        </w:rPr>
        <w:t>托管人住所，供公众查阅、复制。</w:t>
      </w:r>
    </w:p>
    <w:p w14:paraId="6AB42055">
      <w:pPr>
        <w:ind w:firstLine="396"/>
        <w:rPr>
          <w:rFonts w:ascii="宋体"/>
        </w:rPr>
      </w:pPr>
    </w:p>
    <w:p w14:paraId="426575E6">
      <w:pPr>
        <w:ind w:firstLine="396"/>
        <w:rPr>
          <w:rFonts w:ascii="宋体"/>
        </w:rPr>
      </w:pPr>
    </w:p>
    <w:p w14:paraId="2B55D632">
      <w:pPr>
        <w:ind w:firstLine="396"/>
        <w:jc w:val="right"/>
        <w:rPr>
          <w:rFonts w:ascii="宋体" w:hAnsi="宋体"/>
        </w:rPr>
      </w:pPr>
      <w:r>
        <w:rPr>
          <w:rFonts w:hint="eastAsia" w:ascii="宋体" w:hAnsi="宋体"/>
        </w:rPr>
        <w:t>交银施罗德稳进回报六个月持有期混合型证券投资基金</w:t>
      </w:r>
    </w:p>
    <w:p w14:paraId="3DFB6CC0">
      <w:pPr>
        <w:ind w:firstLine="396"/>
        <w:jc w:val="right"/>
        <w:rPr>
          <w:rFonts w:ascii="宋体"/>
        </w:rPr>
      </w:pPr>
      <w:r>
        <w:rPr>
          <w:rFonts w:hint="eastAsia" w:ascii="宋体" w:hAnsi="宋体"/>
        </w:rPr>
        <w:t>基金财产清算小组</w:t>
      </w:r>
    </w:p>
    <w:p w14:paraId="72E45EAB">
      <w:pPr>
        <w:ind w:firstLine="396"/>
        <w:jc w:val="right"/>
        <w:rPr>
          <w:rFonts w:ascii="宋体"/>
        </w:rPr>
      </w:pPr>
      <w:r>
        <w:rPr>
          <w:rFonts w:ascii="宋体" w:hAnsi="宋体"/>
        </w:rPr>
        <w:t>20</w:t>
      </w:r>
      <w:r>
        <w:rPr>
          <w:rFonts w:hint="eastAsia" w:ascii="宋体" w:hAnsi="宋体"/>
        </w:rPr>
        <w:t>2</w:t>
      </w:r>
      <w:r>
        <w:rPr>
          <w:rFonts w:ascii="宋体" w:hAnsi="宋体"/>
        </w:rPr>
        <w:t>6</w:t>
      </w:r>
      <w:r>
        <w:rPr>
          <w:rFonts w:hint="eastAsia" w:ascii="宋体" w:hAnsi="宋体"/>
        </w:rPr>
        <w:t>年</w:t>
      </w:r>
      <w:r>
        <w:rPr>
          <w:rFonts w:hint="eastAsia" w:ascii="宋体" w:hAnsi="宋体"/>
          <w:lang w:val="en-US" w:eastAsia="zh-CN"/>
        </w:rPr>
        <w:t>5</w:t>
      </w:r>
      <w:r>
        <w:rPr>
          <w:rFonts w:hint="eastAsia" w:ascii="宋体" w:hAnsi="宋体"/>
        </w:rPr>
        <w:t>月</w:t>
      </w:r>
      <w:r>
        <w:rPr>
          <w:rFonts w:hint="eastAsia" w:ascii="宋体" w:hAnsi="宋体"/>
          <w:lang w:val="en-US" w:eastAsia="zh-CN"/>
        </w:rPr>
        <w:t>21</w:t>
      </w:r>
      <w:r>
        <w:rPr>
          <w:rFonts w:hint="eastAsia" w:ascii="宋体" w:hAnsi="宋体"/>
        </w:rPr>
        <w:t>日</w:t>
      </w: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0E585">
    <w:pPr>
      <w:pStyle w:val="6"/>
      <w:jc w:val="center"/>
    </w:pPr>
    <w:r>
      <w:rPr>
        <w:lang w:val="zh-CN"/>
      </w:rPr>
      <w:t xml:space="preserve"> </w:t>
    </w:r>
    <w:r>
      <w:rPr>
        <w:b/>
      </w:rPr>
      <w:fldChar w:fldCharType="begin"/>
    </w:r>
    <w:r>
      <w:rPr>
        <w:b/>
      </w:rPr>
      <w:instrText xml:space="preserve">PAGE</w:instrText>
    </w:r>
    <w:r>
      <w:rPr>
        <w:b/>
      </w:rPr>
      <w:fldChar w:fldCharType="separate"/>
    </w:r>
    <w:r>
      <w:rPr>
        <w:b/>
      </w:rPr>
      <w:t>7</w:t>
    </w:r>
    <w:r>
      <w:rPr>
        <w:b/>
      </w:rPr>
      <w:fldChar w:fldCharType="end"/>
    </w:r>
    <w:r>
      <w:rPr>
        <w:lang w:val="zh-CN"/>
      </w:rPr>
      <w:t xml:space="preserve"> / </w:t>
    </w:r>
    <w:r>
      <w:rPr>
        <w:b/>
      </w:rPr>
      <w:fldChar w:fldCharType="begin"/>
    </w:r>
    <w:r>
      <w:rPr>
        <w:b/>
      </w:rPr>
      <w:instrText xml:space="preserve">NUMPAGES</w:instrText>
    </w:r>
    <w:r>
      <w:rPr>
        <w:b/>
      </w:rPr>
      <w:fldChar w:fldCharType="separate"/>
    </w:r>
    <w:r>
      <w:rPr>
        <w:b/>
      </w:rPr>
      <w:t>7</w:t>
    </w:r>
    <w:r>
      <w:rPr>
        <w:b/>
      </w:rPr>
      <w:fldChar w:fldCharType="end"/>
    </w:r>
  </w:p>
  <w:p w14:paraId="4D583893">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D7DC0">
    <w:pPr>
      <w:pStyle w:val="7"/>
      <w:rPr>
        <w:rFonts w:ascii="宋体" w:hAnsi="宋体" w:cs="宋体"/>
      </w:rPr>
    </w:pPr>
    <w:r>
      <w:rPr>
        <w:rFonts w:hint="eastAsia" w:ascii="宋体" w:hAnsi="宋体" w:cs="宋体"/>
      </w:rPr>
      <w:t>交银施罗德稳</w:t>
    </w:r>
    <w:r>
      <w:rPr>
        <w:rFonts w:hint="eastAsia" w:ascii="宋体" w:hAnsi="宋体" w:cs="宋体"/>
        <w:lang w:val="en-US" w:eastAsia="zh-CN"/>
      </w:rPr>
      <w:t>进</w:t>
    </w:r>
    <w:r>
      <w:rPr>
        <w:rFonts w:hint="eastAsia" w:ascii="宋体" w:hAnsi="宋体" w:cs="宋体"/>
      </w:rPr>
      <w:t>回报六个月持有期混合型证券投资基金清算报告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D73"/>
    <w:rsid w:val="00003342"/>
    <w:rsid w:val="00003397"/>
    <w:rsid w:val="00004249"/>
    <w:rsid w:val="00004C87"/>
    <w:rsid w:val="00005704"/>
    <w:rsid w:val="000165AB"/>
    <w:rsid w:val="00017D01"/>
    <w:rsid w:val="00024F9F"/>
    <w:rsid w:val="000308F8"/>
    <w:rsid w:val="00036817"/>
    <w:rsid w:val="00041179"/>
    <w:rsid w:val="0004187B"/>
    <w:rsid w:val="00047577"/>
    <w:rsid w:val="0006105C"/>
    <w:rsid w:val="000635AB"/>
    <w:rsid w:val="0006571A"/>
    <w:rsid w:val="000667F3"/>
    <w:rsid w:val="00070567"/>
    <w:rsid w:val="00070754"/>
    <w:rsid w:val="00070872"/>
    <w:rsid w:val="00081056"/>
    <w:rsid w:val="00083B02"/>
    <w:rsid w:val="00086426"/>
    <w:rsid w:val="00086FBB"/>
    <w:rsid w:val="00087A25"/>
    <w:rsid w:val="00090CE2"/>
    <w:rsid w:val="000A6784"/>
    <w:rsid w:val="000B1A05"/>
    <w:rsid w:val="000B253B"/>
    <w:rsid w:val="000B6D18"/>
    <w:rsid w:val="000B6DEC"/>
    <w:rsid w:val="000D4429"/>
    <w:rsid w:val="000D5DE1"/>
    <w:rsid w:val="000D76F6"/>
    <w:rsid w:val="000D7740"/>
    <w:rsid w:val="000E10B2"/>
    <w:rsid w:val="000E1C02"/>
    <w:rsid w:val="000E75FE"/>
    <w:rsid w:val="000E79B9"/>
    <w:rsid w:val="000F62B1"/>
    <w:rsid w:val="000F6D2E"/>
    <w:rsid w:val="00103333"/>
    <w:rsid w:val="0010427A"/>
    <w:rsid w:val="001044A0"/>
    <w:rsid w:val="00104B6C"/>
    <w:rsid w:val="00104D0B"/>
    <w:rsid w:val="00107C94"/>
    <w:rsid w:val="00115D72"/>
    <w:rsid w:val="0011628A"/>
    <w:rsid w:val="00116696"/>
    <w:rsid w:val="001328C0"/>
    <w:rsid w:val="00135A9D"/>
    <w:rsid w:val="0014090E"/>
    <w:rsid w:val="00142365"/>
    <w:rsid w:val="00145EDE"/>
    <w:rsid w:val="00146EC8"/>
    <w:rsid w:val="001519D7"/>
    <w:rsid w:val="00152371"/>
    <w:rsid w:val="001533BB"/>
    <w:rsid w:val="00154637"/>
    <w:rsid w:val="001579F3"/>
    <w:rsid w:val="0016262F"/>
    <w:rsid w:val="0017798A"/>
    <w:rsid w:val="0018253F"/>
    <w:rsid w:val="001839B2"/>
    <w:rsid w:val="001853D4"/>
    <w:rsid w:val="001A48E6"/>
    <w:rsid w:val="001A6512"/>
    <w:rsid w:val="001A7847"/>
    <w:rsid w:val="001B4F64"/>
    <w:rsid w:val="001B6855"/>
    <w:rsid w:val="001B761C"/>
    <w:rsid w:val="001C7ACD"/>
    <w:rsid w:val="001D0BB8"/>
    <w:rsid w:val="001D2408"/>
    <w:rsid w:val="001D35CF"/>
    <w:rsid w:val="001D663B"/>
    <w:rsid w:val="001F0B55"/>
    <w:rsid w:val="001F22F5"/>
    <w:rsid w:val="002007EA"/>
    <w:rsid w:val="00200D08"/>
    <w:rsid w:val="00215F4F"/>
    <w:rsid w:val="00216357"/>
    <w:rsid w:val="00217302"/>
    <w:rsid w:val="00221DA0"/>
    <w:rsid w:val="00227B2B"/>
    <w:rsid w:val="00232D71"/>
    <w:rsid w:val="002373EE"/>
    <w:rsid w:val="002435CA"/>
    <w:rsid w:val="00246722"/>
    <w:rsid w:val="00246755"/>
    <w:rsid w:val="0024746F"/>
    <w:rsid w:val="0025249A"/>
    <w:rsid w:val="002563E1"/>
    <w:rsid w:val="0026281F"/>
    <w:rsid w:val="00272D47"/>
    <w:rsid w:val="002747E2"/>
    <w:rsid w:val="002776B0"/>
    <w:rsid w:val="002819E4"/>
    <w:rsid w:val="00281CCF"/>
    <w:rsid w:val="00282A7D"/>
    <w:rsid w:val="00286F85"/>
    <w:rsid w:val="00287357"/>
    <w:rsid w:val="00290253"/>
    <w:rsid w:val="00291EB5"/>
    <w:rsid w:val="00294F6C"/>
    <w:rsid w:val="002A1625"/>
    <w:rsid w:val="002A2848"/>
    <w:rsid w:val="002B2418"/>
    <w:rsid w:val="002B7ACE"/>
    <w:rsid w:val="002C0BA3"/>
    <w:rsid w:val="002C2CAE"/>
    <w:rsid w:val="002C4383"/>
    <w:rsid w:val="002D60B9"/>
    <w:rsid w:val="002D6B3F"/>
    <w:rsid w:val="002D7D4E"/>
    <w:rsid w:val="002E2255"/>
    <w:rsid w:val="002E27AC"/>
    <w:rsid w:val="002F08D1"/>
    <w:rsid w:val="002F14AC"/>
    <w:rsid w:val="002F423D"/>
    <w:rsid w:val="002F6065"/>
    <w:rsid w:val="002F6DF6"/>
    <w:rsid w:val="00302882"/>
    <w:rsid w:val="003118F9"/>
    <w:rsid w:val="00312942"/>
    <w:rsid w:val="0031513A"/>
    <w:rsid w:val="00317466"/>
    <w:rsid w:val="00322DB3"/>
    <w:rsid w:val="00324E38"/>
    <w:rsid w:val="00326678"/>
    <w:rsid w:val="00326DDB"/>
    <w:rsid w:val="00336134"/>
    <w:rsid w:val="0033615C"/>
    <w:rsid w:val="00350AC2"/>
    <w:rsid w:val="0035109E"/>
    <w:rsid w:val="003514A8"/>
    <w:rsid w:val="003514C4"/>
    <w:rsid w:val="003520F5"/>
    <w:rsid w:val="00354A64"/>
    <w:rsid w:val="00354F90"/>
    <w:rsid w:val="00361006"/>
    <w:rsid w:val="00363514"/>
    <w:rsid w:val="00367E7F"/>
    <w:rsid w:val="003717BE"/>
    <w:rsid w:val="00371AAD"/>
    <w:rsid w:val="003732D0"/>
    <w:rsid w:val="003759E5"/>
    <w:rsid w:val="00380EB5"/>
    <w:rsid w:val="00385840"/>
    <w:rsid w:val="00386DF5"/>
    <w:rsid w:val="00387A8C"/>
    <w:rsid w:val="00387CFF"/>
    <w:rsid w:val="00391171"/>
    <w:rsid w:val="00392A0C"/>
    <w:rsid w:val="00396AD2"/>
    <w:rsid w:val="003A142F"/>
    <w:rsid w:val="003A2273"/>
    <w:rsid w:val="003B0022"/>
    <w:rsid w:val="003B2660"/>
    <w:rsid w:val="003B5599"/>
    <w:rsid w:val="003B68C1"/>
    <w:rsid w:val="003B70BC"/>
    <w:rsid w:val="003B7BD7"/>
    <w:rsid w:val="003C29FF"/>
    <w:rsid w:val="003C45D2"/>
    <w:rsid w:val="003C4958"/>
    <w:rsid w:val="003C7775"/>
    <w:rsid w:val="003D54AA"/>
    <w:rsid w:val="003D668D"/>
    <w:rsid w:val="003D6EFA"/>
    <w:rsid w:val="003E457F"/>
    <w:rsid w:val="003E47B7"/>
    <w:rsid w:val="003F1ACD"/>
    <w:rsid w:val="003F3486"/>
    <w:rsid w:val="003F3765"/>
    <w:rsid w:val="003F5981"/>
    <w:rsid w:val="004004E4"/>
    <w:rsid w:val="00403F97"/>
    <w:rsid w:val="004101AC"/>
    <w:rsid w:val="00413595"/>
    <w:rsid w:val="00432DB3"/>
    <w:rsid w:val="00434F5A"/>
    <w:rsid w:val="00436E86"/>
    <w:rsid w:val="00437CE9"/>
    <w:rsid w:val="0044741A"/>
    <w:rsid w:val="00452316"/>
    <w:rsid w:val="004542B7"/>
    <w:rsid w:val="00463517"/>
    <w:rsid w:val="004653A6"/>
    <w:rsid w:val="0046689D"/>
    <w:rsid w:val="00466ADB"/>
    <w:rsid w:val="00470691"/>
    <w:rsid w:val="004709C6"/>
    <w:rsid w:val="00477040"/>
    <w:rsid w:val="00477D58"/>
    <w:rsid w:val="004803BF"/>
    <w:rsid w:val="0048193C"/>
    <w:rsid w:val="00484900"/>
    <w:rsid w:val="00485816"/>
    <w:rsid w:val="00485E74"/>
    <w:rsid w:val="00486B53"/>
    <w:rsid w:val="00487020"/>
    <w:rsid w:val="0049073C"/>
    <w:rsid w:val="004932B6"/>
    <w:rsid w:val="00495CF3"/>
    <w:rsid w:val="004972F4"/>
    <w:rsid w:val="00497A3D"/>
    <w:rsid w:val="004A0214"/>
    <w:rsid w:val="004A398B"/>
    <w:rsid w:val="004A418D"/>
    <w:rsid w:val="004B0EB0"/>
    <w:rsid w:val="004B285A"/>
    <w:rsid w:val="004C2EC7"/>
    <w:rsid w:val="004C69DF"/>
    <w:rsid w:val="004E43FD"/>
    <w:rsid w:val="004E4A5F"/>
    <w:rsid w:val="004E69B1"/>
    <w:rsid w:val="004F56DC"/>
    <w:rsid w:val="004F7582"/>
    <w:rsid w:val="00501855"/>
    <w:rsid w:val="00502320"/>
    <w:rsid w:val="005126D9"/>
    <w:rsid w:val="00513347"/>
    <w:rsid w:val="00514141"/>
    <w:rsid w:val="00517426"/>
    <w:rsid w:val="005202DB"/>
    <w:rsid w:val="005217A3"/>
    <w:rsid w:val="00523C14"/>
    <w:rsid w:val="00527156"/>
    <w:rsid w:val="00533C66"/>
    <w:rsid w:val="00536B53"/>
    <w:rsid w:val="00553182"/>
    <w:rsid w:val="00555724"/>
    <w:rsid w:val="00556CBC"/>
    <w:rsid w:val="005603F0"/>
    <w:rsid w:val="005614BC"/>
    <w:rsid w:val="00570FD4"/>
    <w:rsid w:val="00584816"/>
    <w:rsid w:val="005A1DF4"/>
    <w:rsid w:val="005A7553"/>
    <w:rsid w:val="005B3374"/>
    <w:rsid w:val="005B35D5"/>
    <w:rsid w:val="005E33F8"/>
    <w:rsid w:val="005E648B"/>
    <w:rsid w:val="005F2103"/>
    <w:rsid w:val="005F2BE5"/>
    <w:rsid w:val="005F67AB"/>
    <w:rsid w:val="005F76E5"/>
    <w:rsid w:val="006012FA"/>
    <w:rsid w:val="00606889"/>
    <w:rsid w:val="006078B2"/>
    <w:rsid w:val="00610688"/>
    <w:rsid w:val="00612866"/>
    <w:rsid w:val="00615E0D"/>
    <w:rsid w:val="0061621F"/>
    <w:rsid w:val="0061744A"/>
    <w:rsid w:val="00621504"/>
    <w:rsid w:val="00623D4C"/>
    <w:rsid w:val="00630A04"/>
    <w:rsid w:val="00630A4F"/>
    <w:rsid w:val="0063163F"/>
    <w:rsid w:val="0064381D"/>
    <w:rsid w:val="00645DC0"/>
    <w:rsid w:val="00647B6B"/>
    <w:rsid w:val="00653258"/>
    <w:rsid w:val="006537C5"/>
    <w:rsid w:val="00653C91"/>
    <w:rsid w:val="00654599"/>
    <w:rsid w:val="00654D15"/>
    <w:rsid w:val="00655438"/>
    <w:rsid w:val="00671BD0"/>
    <w:rsid w:val="006827A8"/>
    <w:rsid w:val="00684D16"/>
    <w:rsid w:val="00685493"/>
    <w:rsid w:val="00686E18"/>
    <w:rsid w:val="00690772"/>
    <w:rsid w:val="00695EC6"/>
    <w:rsid w:val="006A1DAA"/>
    <w:rsid w:val="006A6031"/>
    <w:rsid w:val="006B4E62"/>
    <w:rsid w:val="006B69EA"/>
    <w:rsid w:val="006D1534"/>
    <w:rsid w:val="006D6381"/>
    <w:rsid w:val="006E1BBB"/>
    <w:rsid w:val="006F15B3"/>
    <w:rsid w:val="006F33A4"/>
    <w:rsid w:val="006F388E"/>
    <w:rsid w:val="006F4A0D"/>
    <w:rsid w:val="006F5713"/>
    <w:rsid w:val="00702CFC"/>
    <w:rsid w:val="00702D4A"/>
    <w:rsid w:val="00704551"/>
    <w:rsid w:val="007078C1"/>
    <w:rsid w:val="00707986"/>
    <w:rsid w:val="00710725"/>
    <w:rsid w:val="00711DD2"/>
    <w:rsid w:val="007265C1"/>
    <w:rsid w:val="007345AB"/>
    <w:rsid w:val="0073471B"/>
    <w:rsid w:val="007348E3"/>
    <w:rsid w:val="00737905"/>
    <w:rsid w:val="00742A8C"/>
    <w:rsid w:val="00756B63"/>
    <w:rsid w:val="00764942"/>
    <w:rsid w:val="007839C4"/>
    <w:rsid w:val="00787C37"/>
    <w:rsid w:val="00795524"/>
    <w:rsid w:val="007A0445"/>
    <w:rsid w:val="007A27A8"/>
    <w:rsid w:val="007B530C"/>
    <w:rsid w:val="007B6201"/>
    <w:rsid w:val="007C03B7"/>
    <w:rsid w:val="007C05AF"/>
    <w:rsid w:val="007C11D8"/>
    <w:rsid w:val="007C3A50"/>
    <w:rsid w:val="007E300F"/>
    <w:rsid w:val="007E62E9"/>
    <w:rsid w:val="007F2FDD"/>
    <w:rsid w:val="007F5687"/>
    <w:rsid w:val="00801893"/>
    <w:rsid w:val="00802145"/>
    <w:rsid w:val="0080674B"/>
    <w:rsid w:val="00807A5F"/>
    <w:rsid w:val="00817B68"/>
    <w:rsid w:val="00822B78"/>
    <w:rsid w:val="0082481D"/>
    <w:rsid w:val="008258B6"/>
    <w:rsid w:val="00826590"/>
    <w:rsid w:val="00826F50"/>
    <w:rsid w:val="00830473"/>
    <w:rsid w:val="00832185"/>
    <w:rsid w:val="00836BDC"/>
    <w:rsid w:val="00843A50"/>
    <w:rsid w:val="00843A79"/>
    <w:rsid w:val="00844EAD"/>
    <w:rsid w:val="00854BC4"/>
    <w:rsid w:val="00854CFF"/>
    <w:rsid w:val="0085735E"/>
    <w:rsid w:val="00860A0D"/>
    <w:rsid w:val="00873396"/>
    <w:rsid w:val="00880E4F"/>
    <w:rsid w:val="00891EB1"/>
    <w:rsid w:val="00892AC7"/>
    <w:rsid w:val="008A1D7A"/>
    <w:rsid w:val="008A44A3"/>
    <w:rsid w:val="008A7521"/>
    <w:rsid w:val="008A7E08"/>
    <w:rsid w:val="008B0458"/>
    <w:rsid w:val="008C204D"/>
    <w:rsid w:val="008E0C63"/>
    <w:rsid w:val="008E2893"/>
    <w:rsid w:val="008E2D42"/>
    <w:rsid w:val="008E409B"/>
    <w:rsid w:val="008F262E"/>
    <w:rsid w:val="008F2A1B"/>
    <w:rsid w:val="008F5E06"/>
    <w:rsid w:val="00903958"/>
    <w:rsid w:val="00910719"/>
    <w:rsid w:val="009159A0"/>
    <w:rsid w:val="009207C8"/>
    <w:rsid w:val="0092151B"/>
    <w:rsid w:val="009334D7"/>
    <w:rsid w:val="009344B6"/>
    <w:rsid w:val="00934E68"/>
    <w:rsid w:val="009361B1"/>
    <w:rsid w:val="00936C10"/>
    <w:rsid w:val="00941525"/>
    <w:rsid w:val="00942FD8"/>
    <w:rsid w:val="00946CC2"/>
    <w:rsid w:val="00952DAE"/>
    <w:rsid w:val="00961826"/>
    <w:rsid w:val="0096721B"/>
    <w:rsid w:val="00995547"/>
    <w:rsid w:val="009961D2"/>
    <w:rsid w:val="009A150A"/>
    <w:rsid w:val="009A4EB1"/>
    <w:rsid w:val="009A5128"/>
    <w:rsid w:val="009A644C"/>
    <w:rsid w:val="009A7257"/>
    <w:rsid w:val="009B1679"/>
    <w:rsid w:val="009B75F3"/>
    <w:rsid w:val="009C135B"/>
    <w:rsid w:val="009D3291"/>
    <w:rsid w:val="009D688F"/>
    <w:rsid w:val="009D6E94"/>
    <w:rsid w:val="009D71A7"/>
    <w:rsid w:val="009D79CD"/>
    <w:rsid w:val="009E6C68"/>
    <w:rsid w:val="009F135C"/>
    <w:rsid w:val="009F2F09"/>
    <w:rsid w:val="009F3626"/>
    <w:rsid w:val="009F3CED"/>
    <w:rsid w:val="00A013F0"/>
    <w:rsid w:val="00A04BBE"/>
    <w:rsid w:val="00A05E50"/>
    <w:rsid w:val="00A07889"/>
    <w:rsid w:val="00A07E18"/>
    <w:rsid w:val="00A12110"/>
    <w:rsid w:val="00A15D9E"/>
    <w:rsid w:val="00A211A2"/>
    <w:rsid w:val="00A24D0E"/>
    <w:rsid w:val="00A25BB8"/>
    <w:rsid w:val="00A31D9C"/>
    <w:rsid w:val="00A33D06"/>
    <w:rsid w:val="00A340DF"/>
    <w:rsid w:val="00A361FF"/>
    <w:rsid w:val="00A47669"/>
    <w:rsid w:val="00A50782"/>
    <w:rsid w:val="00A63346"/>
    <w:rsid w:val="00A633EC"/>
    <w:rsid w:val="00A63C4C"/>
    <w:rsid w:val="00A64EE8"/>
    <w:rsid w:val="00A84108"/>
    <w:rsid w:val="00A90D9B"/>
    <w:rsid w:val="00A92200"/>
    <w:rsid w:val="00A952DA"/>
    <w:rsid w:val="00AA0803"/>
    <w:rsid w:val="00AA19E6"/>
    <w:rsid w:val="00AA4A20"/>
    <w:rsid w:val="00AB14E2"/>
    <w:rsid w:val="00AB2B65"/>
    <w:rsid w:val="00AB33BA"/>
    <w:rsid w:val="00AC04BC"/>
    <w:rsid w:val="00AC637A"/>
    <w:rsid w:val="00AC6AC9"/>
    <w:rsid w:val="00AD0105"/>
    <w:rsid w:val="00AD6BA9"/>
    <w:rsid w:val="00AE1CF6"/>
    <w:rsid w:val="00AE2FD8"/>
    <w:rsid w:val="00AE3A1C"/>
    <w:rsid w:val="00AE3B5A"/>
    <w:rsid w:val="00AE40E6"/>
    <w:rsid w:val="00AF487E"/>
    <w:rsid w:val="00AF61E5"/>
    <w:rsid w:val="00B107D9"/>
    <w:rsid w:val="00B12CDD"/>
    <w:rsid w:val="00B13BCF"/>
    <w:rsid w:val="00B176F3"/>
    <w:rsid w:val="00B21790"/>
    <w:rsid w:val="00B21E1D"/>
    <w:rsid w:val="00B22D2C"/>
    <w:rsid w:val="00B241C1"/>
    <w:rsid w:val="00B24FFA"/>
    <w:rsid w:val="00B267DA"/>
    <w:rsid w:val="00B31785"/>
    <w:rsid w:val="00B31A0B"/>
    <w:rsid w:val="00B34AE0"/>
    <w:rsid w:val="00B43672"/>
    <w:rsid w:val="00B443E9"/>
    <w:rsid w:val="00B505B6"/>
    <w:rsid w:val="00B56C7B"/>
    <w:rsid w:val="00B603F7"/>
    <w:rsid w:val="00B63FE6"/>
    <w:rsid w:val="00B64CA4"/>
    <w:rsid w:val="00B70975"/>
    <w:rsid w:val="00B739A0"/>
    <w:rsid w:val="00B73D67"/>
    <w:rsid w:val="00B74E18"/>
    <w:rsid w:val="00B7536D"/>
    <w:rsid w:val="00B76168"/>
    <w:rsid w:val="00B90415"/>
    <w:rsid w:val="00BA0F3F"/>
    <w:rsid w:val="00BA1039"/>
    <w:rsid w:val="00BA27FD"/>
    <w:rsid w:val="00BA7891"/>
    <w:rsid w:val="00BB15B5"/>
    <w:rsid w:val="00BB2C30"/>
    <w:rsid w:val="00BB5C21"/>
    <w:rsid w:val="00BB7735"/>
    <w:rsid w:val="00BD7F80"/>
    <w:rsid w:val="00BE4D9E"/>
    <w:rsid w:val="00BE7191"/>
    <w:rsid w:val="00BF0602"/>
    <w:rsid w:val="00BF74ED"/>
    <w:rsid w:val="00BF751A"/>
    <w:rsid w:val="00C04892"/>
    <w:rsid w:val="00C0582F"/>
    <w:rsid w:val="00C067DD"/>
    <w:rsid w:val="00C13F53"/>
    <w:rsid w:val="00C14181"/>
    <w:rsid w:val="00C16F1F"/>
    <w:rsid w:val="00C1709A"/>
    <w:rsid w:val="00C17285"/>
    <w:rsid w:val="00C20DB8"/>
    <w:rsid w:val="00C21563"/>
    <w:rsid w:val="00C22050"/>
    <w:rsid w:val="00C36E1C"/>
    <w:rsid w:val="00C42C61"/>
    <w:rsid w:val="00C43916"/>
    <w:rsid w:val="00C476C3"/>
    <w:rsid w:val="00C50AAF"/>
    <w:rsid w:val="00C52F8B"/>
    <w:rsid w:val="00C57C74"/>
    <w:rsid w:val="00C63370"/>
    <w:rsid w:val="00C8401D"/>
    <w:rsid w:val="00C93386"/>
    <w:rsid w:val="00C95394"/>
    <w:rsid w:val="00CA0E77"/>
    <w:rsid w:val="00CA4D26"/>
    <w:rsid w:val="00CA59D7"/>
    <w:rsid w:val="00CA7BCB"/>
    <w:rsid w:val="00CA7C3E"/>
    <w:rsid w:val="00CA7C64"/>
    <w:rsid w:val="00CB1A0B"/>
    <w:rsid w:val="00CB2707"/>
    <w:rsid w:val="00CC0D2E"/>
    <w:rsid w:val="00CD41BA"/>
    <w:rsid w:val="00CD6F74"/>
    <w:rsid w:val="00CD7142"/>
    <w:rsid w:val="00CE5FDA"/>
    <w:rsid w:val="00CE6421"/>
    <w:rsid w:val="00CF1DEA"/>
    <w:rsid w:val="00CF4CE9"/>
    <w:rsid w:val="00CF69E3"/>
    <w:rsid w:val="00D0743F"/>
    <w:rsid w:val="00D143B9"/>
    <w:rsid w:val="00D16C1D"/>
    <w:rsid w:val="00D216F5"/>
    <w:rsid w:val="00D257D3"/>
    <w:rsid w:val="00D2690D"/>
    <w:rsid w:val="00D33914"/>
    <w:rsid w:val="00D36385"/>
    <w:rsid w:val="00D53D73"/>
    <w:rsid w:val="00D62916"/>
    <w:rsid w:val="00D72CB6"/>
    <w:rsid w:val="00D76523"/>
    <w:rsid w:val="00D801D9"/>
    <w:rsid w:val="00D878D7"/>
    <w:rsid w:val="00D90870"/>
    <w:rsid w:val="00D92FE1"/>
    <w:rsid w:val="00D93F99"/>
    <w:rsid w:val="00D9609A"/>
    <w:rsid w:val="00DA0F35"/>
    <w:rsid w:val="00DB2C9A"/>
    <w:rsid w:val="00DB44A4"/>
    <w:rsid w:val="00DB7642"/>
    <w:rsid w:val="00DC3906"/>
    <w:rsid w:val="00DC7D1E"/>
    <w:rsid w:val="00DD0D39"/>
    <w:rsid w:val="00DE0689"/>
    <w:rsid w:val="00DE2523"/>
    <w:rsid w:val="00DE2B2E"/>
    <w:rsid w:val="00DE3307"/>
    <w:rsid w:val="00DE63BF"/>
    <w:rsid w:val="00DE7F36"/>
    <w:rsid w:val="00DF0AF1"/>
    <w:rsid w:val="00DF15D2"/>
    <w:rsid w:val="00DF3837"/>
    <w:rsid w:val="00DF4F60"/>
    <w:rsid w:val="00DF5C7F"/>
    <w:rsid w:val="00E03A07"/>
    <w:rsid w:val="00E03B53"/>
    <w:rsid w:val="00E051CF"/>
    <w:rsid w:val="00E06C0D"/>
    <w:rsid w:val="00E07013"/>
    <w:rsid w:val="00E131B7"/>
    <w:rsid w:val="00E16031"/>
    <w:rsid w:val="00E201AA"/>
    <w:rsid w:val="00E21BF1"/>
    <w:rsid w:val="00E269BD"/>
    <w:rsid w:val="00E32FC2"/>
    <w:rsid w:val="00E33EB8"/>
    <w:rsid w:val="00E35EDF"/>
    <w:rsid w:val="00E37A4C"/>
    <w:rsid w:val="00E46C22"/>
    <w:rsid w:val="00E47DC0"/>
    <w:rsid w:val="00E51055"/>
    <w:rsid w:val="00E51DA1"/>
    <w:rsid w:val="00E5597F"/>
    <w:rsid w:val="00E5623B"/>
    <w:rsid w:val="00E6410D"/>
    <w:rsid w:val="00E7003B"/>
    <w:rsid w:val="00E7065F"/>
    <w:rsid w:val="00E82751"/>
    <w:rsid w:val="00E84A89"/>
    <w:rsid w:val="00E903DF"/>
    <w:rsid w:val="00E907E3"/>
    <w:rsid w:val="00E93A5B"/>
    <w:rsid w:val="00E959B0"/>
    <w:rsid w:val="00EA06D5"/>
    <w:rsid w:val="00EA3A1B"/>
    <w:rsid w:val="00EA50E9"/>
    <w:rsid w:val="00EB0BF5"/>
    <w:rsid w:val="00EB204A"/>
    <w:rsid w:val="00EB2CB3"/>
    <w:rsid w:val="00EB6F1B"/>
    <w:rsid w:val="00EC1CCC"/>
    <w:rsid w:val="00EC4953"/>
    <w:rsid w:val="00ED04D8"/>
    <w:rsid w:val="00ED1FAE"/>
    <w:rsid w:val="00ED2EA3"/>
    <w:rsid w:val="00ED2FF2"/>
    <w:rsid w:val="00ED3524"/>
    <w:rsid w:val="00ED3DF0"/>
    <w:rsid w:val="00ED4016"/>
    <w:rsid w:val="00ED425C"/>
    <w:rsid w:val="00ED54CA"/>
    <w:rsid w:val="00ED5971"/>
    <w:rsid w:val="00EE0E1A"/>
    <w:rsid w:val="00EE1CF6"/>
    <w:rsid w:val="00EE3FD2"/>
    <w:rsid w:val="00EE4A9E"/>
    <w:rsid w:val="00EE5277"/>
    <w:rsid w:val="00EF2ECD"/>
    <w:rsid w:val="00EF397F"/>
    <w:rsid w:val="00EF4435"/>
    <w:rsid w:val="00EF5114"/>
    <w:rsid w:val="00EF6970"/>
    <w:rsid w:val="00EF6A73"/>
    <w:rsid w:val="00F021DE"/>
    <w:rsid w:val="00F03300"/>
    <w:rsid w:val="00F06788"/>
    <w:rsid w:val="00F127E3"/>
    <w:rsid w:val="00F165B0"/>
    <w:rsid w:val="00F17BC7"/>
    <w:rsid w:val="00F17DEE"/>
    <w:rsid w:val="00F2382B"/>
    <w:rsid w:val="00F341D4"/>
    <w:rsid w:val="00F46754"/>
    <w:rsid w:val="00F5016E"/>
    <w:rsid w:val="00F530F3"/>
    <w:rsid w:val="00F57828"/>
    <w:rsid w:val="00F81C73"/>
    <w:rsid w:val="00F867ED"/>
    <w:rsid w:val="00F94699"/>
    <w:rsid w:val="00FA1505"/>
    <w:rsid w:val="00FA4863"/>
    <w:rsid w:val="00FB6086"/>
    <w:rsid w:val="00FB6290"/>
    <w:rsid w:val="00FC3B02"/>
    <w:rsid w:val="00FC52EA"/>
    <w:rsid w:val="00FD1887"/>
    <w:rsid w:val="00FD371E"/>
    <w:rsid w:val="00FD5213"/>
    <w:rsid w:val="00FE15C6"/>
    <w:rsid w:val="00FE3D41"/>
    <w:rsid w:val="00FE5A05"/>
    <w:rsid w:val="00FF1655"/>
    <w:rsid w:val="00FF3D4D"/>
    <w:rsid w:val="018471D7"/>
    <w:rsid w:val="05570264"/>
    <w:rsid w:val="06886F63"/>
    <w:rsid w:val="06CE0504"/>
    <w:rsid w:val="09C45BB3"/>
    <w:rsid w:val="0A9B4D34"/>
    <w:rsid w:val="0BD004B8"/>
    <w:rsid w:val="0C4D203F"/>
    <w:rsid w:val="0C5A51DD"/>
    <w:rsid w:val="0DE4383B"/>
    <w:rsid w:val="0E110D22"/>
    <w:rsid w:val="11430EC2"/>
    <w:rsid w:val="128A7BF7"/>
    <w:rsid w:val="13465239"/>
    <w:rsid w:val="136E36ED"/>
    <w:rsid w:val="13AD5B6F"/>
    <w:rsid w:val="14A26068"/>
    <w:rsid w:val="155B515D"/>
    <w:rsid w:val="164E3D34"/>
    <w:rsid w:val="16D90A2F"/>
    <w:rsid w:val="17A36019"/>
    <w:rsid w:val="184D106D"/>
    <w:rsid w:val="189101BE"/>
    <w:rsid w:val="1A134061"/>
    <w:rsid w:val="1A453A2A"/>
    <w:rsid w:val="1A8B6099"/>
    <w:rsid w:val="1C8A4972"/>
    <w:rsid w:val="1E40742E"/>
    <w:rsid w:val="1E76570A"/>
    <w:rsid w:val="1EC55DE8"/>
    <w:rsid w:val="20785E1B"/>
    <w:rsid w:val="20D10B80"/>
    <w:rsid w:val="25FD3041"/>
    <w:rsid w:val="2653388E"/>
    <w:rsid w:val="277C6859"/>
    <w:rsid w:val="29932D65"/>
    <w:rsid w:val="29D62C0D"/>
    <w:rsid w:val="2A34234D"/>
    <w:rsid w:val="2AD84683"/>
    <w:rsid w:val="2FFC423C"/>
    <w:rsid w:val="32673584"/>
    <w:rsid w:val="33627F5C"/>
    <w:rsid w:val="35331B32"/>
    <w:rsid w:val="35AB3B5B"/>
    <w:rsid w:val="365D6127"/>
    <w:rsid w:val="3B493497"/>
    <w:rsid w:val="3E040F4F"/>
    <w:rsid w:val="3E255ED5"/>
    <w:rsid w:val="3E8952AB"/>
    <w:rsid w:val="3FA376F7"/>
    <w:rsid w:val="402F4D5C"/>
    <w:rsid w:val="40CA0701"/>
    <w:rsid w:val="45363968"/>
    <w:rsid w:val="46381A5C"/>
    <w:rsid w:val="46B12D46"/>
    <w:rsid w:val="46BB7BFA"/>
    <w:rsid w:val="4A10644C"/>
    <w:rsid w:val="4A190B1F"/>
    <w:rsid w:val="4A5E2BCE"/>
    <w:rsid w:val="4D2853BF"/>
    <w:rsid w:val="4DE9121D"/>
    <w:rsid w:val="4E825093"/>
    <w:rsid w:val="50AB1303"/>
    <w:rsid w:val="510400F1"/>
    <w:rsid w:val="51705550"/>
    <w:rsid w:val="51CA3113"/>
    <w:rsid w:val="52D82877"/>
    <w:rsid w:val="533A7098"/>
    <w:rsid w:val="5361615C"/>
    <w:rsid w:val="54A3598E"/>
    <w:rsid w:val="54C45F7D"/>
    <w:rsid w:val="5519123C"/>
    <w:rsid w:val="553A45E0"/>
    <w:rsid w:val="56B039B3"/>
    <w:rsid w:val="574014B2"/>
    <w:rsid w:val="59C95F8C"/>
    <w:rsid w:val="5A3B7573"/>
    <w:rsid w:val="5CFC5608"/>
    <w:rsid w:val="5E064456"/>
    <w:rsid w:val="5EB247EC"/>
    <w:rsid w:val="5EB37407"/>
    <w:rsid w:val="61FB637A"/>
    <w:rsid w:val="62392559"/>
    <w:rsid w:val="63646DC8"/>
    <w:rsid w:val="63A21181"/>
    <w:rsid w:val="64E13483"/>
    <w:rsid w:val="653667D3"/>
    <w:rsid w:val="65906963"/>
    <w:rsid w:val="676A1537"/>
    <w:rsid w:val="688356D2"/>
    <w:rsid w:val="689217BA"/>
    <w:rsid w:val="693E6400"/>
    <w:rsid w:val="6AB2532A"/>
    <w:rsid w:val="6B0D1397"/>
    <w:rsid w:val="6BBD6F57"/>
    <w:rsid w:val="6C61362D"/>
    <w:rsid w:val="6E552BF0"/>
    <w:rsid w:val="6F322870"/>
    <w:rsid w:val="711A32FB"/>
    <w:rsid w:val="723E4AAF"/>
    <w:rsid w:val="72C309D4"/>
    <w:rsid w:val="73062743"/>
    <w:rsid w:val="74E74271"/>
    <w:rsid w:val="75797EB6"/>
    <w:rsid w:val="77361CD6"/>
    <w:rsid w:val="7A4B2A2F"/>
    <w:rsid w:val="7B43757B"/>
    <w:rsid w:val="7B7F18D8"/>
    <w:rsid w:val="7C4B6B2A"/>
    <w:rsid w:val="7ECB6D11"/>
    <w:rsid w:val="7EEB50E5"/>
    <w:rsid w:val="7EFA5662"/>
    <w:rsid w:val="7F6210E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jc w:val="both"/>
      <w:textAlignment w:val="baseline"/>
    </w:pPr>
    <w:rPr>
      <w:rFonts w:ascii="Times New Roman" w:hAnsi="Times New Roman" w:eastAsia="宋体" w:cs="Times New Roman"/>
      <w:lang w:val="en-US" w:eastAsia="zh-CN" w:bidi="ar-SA"/>
    </w:rPr>
  </w:style>
  <w:style w:type="paragraph" w:styleId="2">
    <w:name w:val="heading 1"/>
    <w:basedOn w:val="1"/>
    <w:next w:val="1"/>
    <w:link w:val="24"/>
    <w:qFormat/>
    <w:locked/>
    <w:uiPriority w:val="0"/>
    <w:pPr>
      <w:keepNext/>
      <w:keepLines/>
      <w:spacing w:before="340" w:after="330" w:line="578" w:lineRule="atLeast"/>
      <w:outlineLvl w:val="0"/>
    </w:pPr>
    <w:rPr>
      <w:b/>
      <w:bCs/>
      <w:kern w:val="44"/>
      <w:sz w:val="44"/>
      <w:szCs w:val="44"/>
    </w:rPr>
  </w:style>
  <w:style w:type="paragraph" w:styleId="3">
    <w:name w:val="heading 2"/>
    <w:basedOn w:val="1"/>
    <w:next w:val="1"/>
    <w:link w:val="17"/>
    <w:qFormat/>
    <w:uiPriority w:val="99"/>
    <w:pPr>
      <w:keepNext/>
      <w:keepLines/>
      <w:spacing w:before="260" w:after="260" w:line="416" w:lineRule="auto"/>
      <w:outlineLvl w:val="1"/>
    </w:pPr>
    <w:rPr>
      <w:rFonts w:ascii="Cambria" w:hAnsi="Cambria"/>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annotation text"/>
    <w:basedOn w:val="1"/>
    <w:link w:val="21"/>
    <w:semiHidden/>
    <w:qFormat/>
    <w:uiPriority w:val="99"/>
    <w:pPr>
      <w:jc w:val="left"/>
    </w:pPr>
  </w:style>
  <w:style w:type="paragraph" w:styleId="5">
    <w:name w:val="Balloon Text"/>
    <w:basedOn w:val="1"/>
    <w:link w:val="20"/>
    <w:semiHidden/>
    <w:qFormat/>
    <w:uiPriority w:val="99"/>
    <w:rPr>
      <w:sz w:val="18"/>
      <w:szCs w:val="18"/>
    </w:rPr>
  </w:style>
  <w:style w:type="paragraph" w:styleId="6">
    <w:name w:val="footer"/>
    <w:basedOn w:val="1"/>
    <w:link w:val="19"/>
    <w:qFormat/>
    <w:uiPriority w:val="99"/>
    <w:pPr>
      <w:tabs>
        <w:tab w:val="center" w:pos="4153"/>
        <w:tab w:val="right" w:pos="8306"/>
      </w:tabs>
      <w:snapToGrid w:val="0"/>
      <w:jc w:val="left"/>
    </w:pPr>
    <w:rPr>
      <w:sz w:val="18"/>
      <w:szCs w:val="18"/>
    </w:rPr>
  </w:style>
  <w:style w:type="paragraph" w:styleId="7">
    <w:name w:val="header"/>
    <w:basedOn w:val="1"/>
    <w:link w:val="18"/>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sz w:val="24"/>
      <w:szCs w:val="24"/>
    </w:rPr>
  </w:style>
  <w:style w:type="paragraph" w:styleId="9">
    <w:name w:val="Title"/>
    <w:basedOn w:val="1"/>
    <w:next w:val="1"/>
    <w:link w:val="26"/>
    <w:qFormat/>
    <w:locked/>
    <w:uiPriority w:val="10"/>
    <w:pPr>
      <w:spacing w:before="240" w:after="60"/>
      <w:jc w:val="center"/>
      <w:outlineLvl w:val="0"/>
    </w:pPr>
    <w:rPr>
      <w:rFonts w:ascii="Calibri Light" w:hAnsi="Calibri Light"/>
      <w:b/>
      <w:bCs/>
      <w:sz w:val="32"/>
      <w:szCs w:val="32"/>
    </w:rPr>
  </w:style>
  <w:style w:type="paragraph" w:styleId="10">
    <w:name w:val="annotation subject"/>
    <w:basedOn w:val="4"/>
    <w:next w:val="4"/>
    <w:link w:val="22"/>
    <w:semiHidden/>
    <w:qFormat/>
    <w:uiPriority w:val="99"/>
    <w:rPr>
      <w:b/>
      <w:bCs/>
    </w:rPr>
  </w:style>
  <w:style w:type="table" w:styleId="12">
    <w:name w:val="Table Grid"/>
    <w:basedOn w:val="11"/>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99"/>
    <w:rPr>
      <w:rFonts w:cs="Times New Roman"/>
      <w:b/>
      <w:bCs/>
    </w:rPr>
  </w:style>
  <w:style w:type="character" w:styleId="15">
    <w:name w:val="Hyperlink"/>
    <w:basedOn w:val="13"/>
    <w:qFormat/>
    <w:uiPriority w:val="99"/>
    <w:rPr>
      <w:rFonts w:cs="Times New Roman"/>
      <w:color w:val="0000FF"/>
      <w:u w:val="single"/>
    </w:rPr>
  </w:style>
  <w:style w:type="character" w:styleId="16">
    <w:name w:val="annotation reference"/>
    <w:basedOn w:val="13"/>
    <w:semiHidden/>
    <w:qFormat/>
    <w:uiPriority w:val="99"/>
    <w:rPr>
      <w:rFonts w:cs="Times New Roman"/>
      <w:sz w:val="21"/>
      <w:szCs w:val="21"/>
    </w:rPr>
  </w:style>
  <w:style w:type="character" w:customStyle="1" w:styleId="17">
    <w:name w:val="标题 2 字符"/>
    <w:basedOn w:val="13"/>
    <w:link w:val="3"/>
    <w:qFormat/>
    <w:locked/>
    <w:uiPriority w:val="99"/>
    <w:rPr>
      <w:rFonts w:ascii="Cambria" w:hAnsi="Cambria" w:eastAsia="宋体" w:cs="Times New Roman"/>
      <w:b/>
      <w:bCs/>
      <w:sz w:val="32"/>
      <w:szCs w:val="32"/>
    </w:rPr>
  </w:style>
  <w:style w:type="character" w:customStyle="1" w:styleId="18">
    <w:name w:val="页眉 字符"/>
    <w:basedOn w:val="13"/>
    <w:link w:val="7"/>
    <w:qFormat/>
    <w:locked/>
    <w:uiPriority w:val="99"/>
    <w:rPr>
      <w:rFonts w:cs="Times New Roman"/>
      <w:sz w:val="18"/>
      <w:szCs w:val="18"/>
    </w:rPr>
  </w:style>
  <w:style w:type="character" w:customStyle="1" w:styleId="19">
    <w:name w:val="页脚 字符"/>
    <w:basedOn w:val="13"/>
    <w:link w:val="6"/>
    <w:qFormat/>
    <w:locked/>
    <w:uiPriority w:val="99"/>
    <w:rPr>
      <w:rFonts w:cs="Times New Roman"/>
      <w:sz w:val="18"/>
      <w:szCs w:val="18"/>
    </w:rPr>
  </w:style>
  <w:style w:type="character" w:customStyle="1" w:styleId="20">
    <w:name w:val="批注框文本 字符"/>
    <w:basedOn w:val="13"/>
    <w:link w:val="5"/>
    <w:semiHidden/>
    <w:qFormat/>
    <w:locked/>
    <w:uiPriority w:val="99"/>
    <w:rPr>
      <w:rFonts w:cs="Times New Roman"/>
      <w:sz w:val="18"/>
      <w:szCs w:val="18"/>
    </w:rPr>
  </w:style>
  <w:style w:type="character" w:customStyle="1" w:styleId="21">
    <w:name w:val="批注文字 字符"/>
    <w:basedOn w:val="13"/>
    <w:link w:val="4"/>
    <w:semiHidden/>
    <w:qFormat/>
    <w:locked/>
    <w:uiPriority w:val="99"/>
    <w:rPr>
      <w:rFonts w:ascii="Times New Roman" w:hAnsi="Times New Roman" w:cs="Times New Roman"/>
      <w:kern w:val="0"/>
      <w:sz w:val="20"/>
      <w:szCs w:val="20"/>
    </w:rPr>
  </w:style>
  <w:style w:type="character" w:customStyle="1" w:styleId="22">
    <w:name w:val="批注主题 字符"/>
    <w:basedOn w:val="21"/>
    <w:link w:val="10"/>
    <w:semiHidden/>
    <w:qFormat/>
    <w:locked/>
    <w:uiPriority w:val="99"/>
    <w:rPr>
      <w:rFonts w:ascii="Times New Roman" w:hAnsi="Times New Roman" w:cs="Times New Roman"/>
      <w:b/>
      <w:bCs/>
      <w:kern w:val="0"/>
      <w:sz w:val="20"/>
      <w:szCs w:val="20"/>
    </w:rPr>
  </w:style>
  <w:style w:type="paragraph" w:customStyle="1" w:styleId="23">
    <w:name w:val="修订1"/>
    <w:hidden/>
    <w:semiHidden/>
    <w:qFormat/>
    <w:uiPriority w:val="99"/>
    <w:rPr>
      <w:rFonts w:ascii="Times New Roman" w:hAnsi="Times New Roman" w:eastAsia="宋体" w:cs="Times New Roman"/>
      <w:lang w:val="en-US" w:eastAsia="zh-CN" w:bidi="ar-SA"/>
    </w:rPr>
  </w:style>
  <w:style w:type="character" w:customStyle="1" w:styleId="24">
    <w:name w:val="标题 1 字符"/>
    <w:basedOn w:val="13"/>
    <w:link w:val="2"/>
    <w:qFormat/>
    <w:uiPriority w:val="0"/>
    <w:rPr>
      <w:rFonts w:ascii="Times New Roman" w:hAnsi="Times New Roman"/>
      <w:b/>
      <w:bCs/>
      <w:kern w:val="44"/>
      <w:sz w:val="44"/>
      <w:szCs w:val="44"/>
    </w:rPr>
  </w:style>
  <w:style w:type="paragraph" w:styleId="25">
    <w:name w:val="List Paragraph"/>
    <w:basedOn w:val="1"/>
    <w:qFormat/>
    <w:uiPriority w:val="34"/>
    <w:pPr>
      <w:ind w:firstLine="420" w:firstLineChars="200"/>
    </w:pPr>
  </w:style>
  <w:style w:type="character" w:customStyle="1" w:styleId="26">
    <w:name w:val="标题 字符"/>
    <w:link w:val="9"/>
    <w:qFormat/>
    <w:uiPriority w:val="10"/>
    <w:rPr>
      <w:rFonts w:ascii="Calibri Light" w:hAnsi="Calibri Light"/>
      <w:b/>
      <w:bCs/>
      <w:sz w:val="32"/>
      <w:szCs w:val="32"/>
    </w:rPr>
  </w:style>
  <w:style w:type="paragraph" w:customStyle="1" w:styleId="27">
    <w:name w:val="修订2"/>
    <w:hidden/>
    <w:semiHidden/>
    <w:qFormat/>
    <w:uiPriority w:val="99"/>
    <w:rPr>
      <w:rFonts w:ascii="Times New Roman" w:hAnsi="Times New Roman" w:eastAsia="宋体" w:cs="Times New Roman"/>
      <w:lang w:val="en-US" w:eastAsia="zh-CN" w:bidi="ar-SA"/>
    </w:rPr>
  </w:style>
  <w:style w:type="paragraph" w:customStyle="1" w:styleId="28">
    <w:name w:val="修订3"/>
    <w:hidden/>
    <w:semiHidden/>
    <w:qFormat/>
    <w:uiPriority w:val="99"/>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5EE6F-3789-4BC4-B839-0D9E6C890DB4}">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7</Pages>
  <Words>877</Words>
  <Characters>5004</Characters>
  <Lines>41</Lines>
  <Paragraphs>11</Paragraphs>
  <TotalTime>0</TotalTime>
  <ScaleCrop>false</ScaleCrop>
  <LinksUpToDate>false</LinksUpToDate>
  <CharactersWithSpaces>5870</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2025-11-20T09:36:00Z</dcterms:created>
  <dc:creator>zhangfe</dc:creator>
  <cp:lastModifiedBy>刘晨晨</cp:lastModifiedBy>
  <cp:lastPrinted>2018-10-12T05:32:00Z</cp:lastPrinted>
  <dcterms:modified xsi:type="dcterms:W3CDTF">2026-05-19T08:25:45Z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ICV">
    <vt:lpwstr>3F1DE400235645FCBD6AF9EC48B828AF_13</vt:lpwstr>
  </property>
</Properties>
</file>