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A843F7">
      <w:pPr>
        <w:rPr>
          <w:sz w:val="32"/>
        </w:rPr>
      </w:pPr>
    </w:p>
    <w:p w14:paraId="0F9C9791">
      <w:pPr>
        <w:rPr>
          <w:sz w:val="32"/>
        </w:rPr>
      </w:pPr>
    </w:p>
    <w:p w14:paraId="104E5E6A">
      <w:pPr>
        <w:rPr>
          <w:sz w:val="32"/>
        </w:rPr>
      </w:pPr>
    </w:p>
    <w:p w14:paraId="24E6E42B">
      <w:pPr>
        <w:jc w:val="center"/>
        <w:rPr>
          <w:sz w:val="32"/>
        </w:rPr>
      </w:pPr>
    </w:p>
    <w:p w14:paraId="3A39A0F7">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1D04A5CE">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795C4103">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交银施罗德信用添利债券证券投资基金（LOF）</w:t>
      </w:r>
    </w:p>
    <w:p w14:paraId="5BBAEE7E">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7290317A">
      <w:pPr>
        <w:snapToGrid w:val="0"/>
        <w:spacing w:line="360" w:lineRule="auto"/>
        <w:jc w:val="center"/>
        <w:rPr>
          <w:rFonts w:ascii="宋体" w:hAnsi="宋体"/>
          <w:b/>
          <w:sz w:val="30"/>
          <w:szCs w:val="30"/>
        </w:rPr>
      </w:pPr>
    </w:p>
    <w:p w14:paraId="79295E18">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725FA022">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059F4E37">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9112E08">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A9EA3CD">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7D16F6AB">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28085F4">
      <w:pPr>
        <w:autoSpaceDE w:val="0"/>
        <w:autoSpaceDN w:val="0"/>
        <w:adjustRightInd w:val="0"/>
        <w:snapToGrid w:val="0"/>
        <w:spacing w:line="360" w:lineRule="auto"/>
        <w:ind w:firstLine="1410"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1084A5DD">
      <w:pPr>
        <w:autoSpaceDE w:val="0"/>
        <w:autoSpaceDN w:val="0"/>
        <w:adjustRightInd w:val="0"/>
        <w:snapToGrid w:val="0"/>
        <w:spacing w:line="360" w:lineRule="auto"/>
        <w:ind w:firstLine="1410"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14:paraId="5A13F960">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0E88393">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752C9AF">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w:t>
      </w:r>
      <w:r>
        <w:rPr>
          <w:rFonts w:hint="eastAsia" w:ascii="Times New Roman" w:hAnsi="Times New Roman"/>
          <w:b/>
          <w:spacing w:val="2"/>
          <w:w w:val="99"/>
          <w:kern w:val="0"/>
          <w:sz w:val="28"/>
          <w:szCs w:val="32"/>
          <w:lang w:val="en-US" w:eastAsia="zh-CN"/>
        </w:rPr>
        <w:t>六</w:t>
      </w:r>
      <w:r>
        <w:rPr>
          <w:rFonts w:ascii="Times New Roman" w:hAnsi="Times New Roman"/>
          <w:b/>
          <w:spacing w:val="2"/>
          <w:w w:val="99"/>
          <w:kern w:val="0"/>
          <w:sz w:val="28"/>
          <w:szCs w:val="32"/>
        </w:rPr>
        <w:t>年</w:t>
      </w:r>
      <w:r>
        <w:rPr>
          <w:rFonts w:hint="eastAsia" w:ascii="Times New Roman" w:hAnsi="Times New Roman"/>
          <w:b/>
          <w:spacing w:val="2"/>
          <w:w w:val="99"/>
          <w:kern w:val="0"/>
          <w:sz w:val="28"/>
          <w:szCs w:val="32"/>
          <w:lang w:val="en-US" w:eastAsia="zh-CN"/>
        </w:rPr>
        <w:t>五</w:t>
      </w:r>
      <w:r>
        <w:rPr>
          <w:rFonts w:ascii="Times New Roman" w:hAnsi="Times New Roman"/>
          <w:b/>
          <w:spacing w:val="2"/>
          <w:w w:val="99"/>
          <w:kern w:val="0"/>
          <w:sz w:val="28"/>
          <w:szCs w:val="32"/>
        </w:rPr>
        <w:t>月</w:t>
      </w:r>
    </w:p>
    <w:p w14:paraId="3441973E">
      <w:pPr>
        <w:autoSpaceDE w:val="0"/>
        <w:autoSpaceDN w:val="0"/>
        <w:adjustRightInd w:val="0"/>
        <w:snapToGrid w:val="0"/>
        <w:spacing w:line="360" w:lineRule="auto"/>
        <w:ind w:left="1347" w:right="13" w:rightChars="6"/>
        <w:rPr>
          <w:rFonts w:ascii="宋体" w:hAnsi="宋体"/>
          <w:kern w:val="0"/>
          <w:sz w:val="32"/>
          <w:szCs w:val="32"/>
        </w:rPr>
        <w:sectPr>
          <w:headerReference r:id="rId5"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14:paraId="0CD21DEB">
      <w:pPr>
        <w:pStyle w:val="2"/>
        <w:snapToGrid w:val="0"/>
        <w:spacing w:before="240" w:beforeLines="0" w:after="240"/>
        <w:rPr>
          <w:rFonts w:ascii="宋体" w:hAnsi="宋体"/>
          <w:kern w:val="0"/>
        </w:rPr>
      </w:pPr>
      <w:bookmarkStart w:id="0" w:name="_Toc496884613"/>
      <w:bookmarkStart w:id="1" w:name="_Toc324920538"/>
      <w:bookmarkStart w:id="2" w:name="_Toc202960190"/>
      <w:r>
        <w:rPr>
          <w:rFonts w:ascii="Times New Roman" w:hAnsi="Times New Roman"/>
          <w:kern w:val="0"/>
        </w:rPr>
        <w:t>重要提示</w:t>
      </w:r>
      <w:bookmarkEnd w:id="0"/>
      <w:bookmarkEnd w:id="1"/>
      <w:bookmarkEnd w:id="2"/>
    </w:p>
    <w:p w14:paraId="2EC922B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交银施罗德信用添利债券证券投资基金（以下简称“本基金”）经2010年11月12日中国证券监督管理委员会证监许可【2010】1601号文核准募集。本基金基金合同于2011年1月27日正式生效。</w:t>
      </w:r>
    </w:p>
    <w:p w14:paraId="3F1055F9">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14:paraId="74D7F7F9">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1F6D22D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依据基金合同约定自2014年1月28日起自动转为上市开放式基金（LOF）。转入开放期后，通过场外认（申）购登记在基金登记系统中的基金份额可通过基金销售机构申请场外赎回，但不能上市交易，可通过跨系统转托管转至证券登记系统后再上市交易（本基金后端基金份额未开通上市交易业务以及场内申购赎回业务，跨系统转托管业务仅适用于前端基金份额，投资人就持有的后端基金份额不能跨系统转托管到场内）；通过场内认（申）购登记在证券登记系统的前端基金份额可以在深圳证券交易所上市交易，也可直接申请场内赎回；投资者可通过跨系统转托管业务实现前端基金份额在两个注册登记系统之间的转换。</w:t>
      </w:r>
      <w:r>
        <w:rPr>
          <w:rFonts w:hint="eastAsia"/>
          <w:bCs/>
          <w:sz w:val="24"/>
        </w:rPr>
        <w:t>如无特别说明，</w:t>
      </w:r>
      <w:r>
        <w:rPr>
          <w:rFonts w:hint="eastAsia"/>
          <w:bCs/>
          <w:sz w:val="24"/>
          <w:lang w:val="en-US" w:eastAsia="zh-CN"/>
        </w:rPr>
        <w:t>前述</w:t>
      </w:r>
      <w:r>
        <w:rPr>
          <w:rFonts w:hint="eastAsia"/>
          <w:bCs/>
          <w:sz w:val="24"/>
        </w:rPr>
        <w:t>约定仅适用于本基金</w:t>
      </w:r>
      <w:r>
        <w:rPr>
          <w:rFonts w:hint="eastAsia" w:ascii="Times New Roman" w:hAnsi="Times New Roman"/>
          <w:kern w:val="0"/>
          <w:sz w:val="24"/>
          <w:lang w:val="en-US" w:eastAsia="zh-CN"/>
        </w:rPr>
        <w:t>A类</w:t>
      </w:r>
      <w:r>
        <w:rPr>
          <w:rFonts w:hint="eastAsia"/>
          <w:bCs/>
          <w:sz w:val="24"/>
        </w:rPr>
        <w:t>基金份额。</w:t>
      </w:r>
    </w:p>
    <w:p w14:paraId="024D77F0">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本基金投资债券引发的信用风险，以及本基金投资策略所特有的风险等等。本基金是一只债券型基金，属于基金中的中等风险品种，本基金的风险与预期收益高于货币市场基金，低于股票型基金和混合型基金。</w:t>
      </w:r>
    </w:p>
    <w:p w14:paraId="10B3C25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投资有风险，投资者在投资本基金前应认真阅读本基金的《招募说明书》、《基金合同》和基金产品资料概要。基金的过往业绩并不代表其未来表现。基金管理人管理的其他基金的业绩</w:t>
      </w:r>
      <w:bookmarkStart w:id="31" w:name="_GoBack"/>
      <w:bookmarkEnd w:id="31"/>
      <w:r>
        <w:rPr>
          <w:rFonts w:ascii="Times New Roman" w:hAnsi="Times New Roman"/>
          <w:kern w:val="0"/>
          <w:sz w:val="24"/>
        </w:rPr>
        <w:t>并不构成对本基金业绩表现的保证。</w:t>
      </w:r>
    </w:p>
    <w:p w14:paraId="2B0911C9">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Times New Roman" w:hAnsi="Times New Roman"/>
          <w:kern w:val="0"/>
          <w:sz w:val="24"/>
        </w:rPr>
        <w:t>本次更新招募说明书主要对增加C类基金份额的相关事项进行更新，更新截止日为2026年</w:t>
      </w:r>
      <w:r>
        <w:rPr>
          <w:rFonts w:hint="eastAsia" w:ascii="Times New Roman" w:hAnsi="Times New Roman"/>
          <w:kern w:val="0"/>
          <w:sz w:val="24"/>
          <w:lang w:val="en-US" w:eastAsia="zh-CN"/>
        </w:rPr>
        <w:t>05</w:t>
      </w:r>
      <w:r>
        <w:rPr>
          <w:rFonts w:hint="eastAsia" w:ascii="Times New Roman" w:hAnsi="Times New Roman"/>
          <w:kern w:val="0"/>
          <w:sz w:val="24"/>
        </w:rPr>
        <w:t>月</w:t>
      </w:r>
      <w:r>
        <w:rPr>
          <w:rFonts w:hint="eastAsia" w:ascii="Times New Roman" w:hAnsi="Times New Roman"/>
          <w:kern w:val="0"/>
          <w:sz w:val="24"/>
          <w:lang w:val="en-US" w:eastAsia="zh-CN"/>
        </w:rPr>
        <w:t>20</w:t>
      </w:r>
      <w:r>
        <w:rPr>
          <w:rFonts w:hint="eastAsia" w:ascii="Times New Roman" w:hAnsi="Times New Roman"/>
          <w:kern w:val="0"/>
          <w:sz w:val="24"/>
        </w:rPr>
        <w:t>日，除非另有说明，</w:t>
      </w:r>
      <w:r>
        <w:rPr>
          <w:rFonts w:ascii="Times New Roman" w:hAnsi="Times New Roman"/>
          <w:kern w:val="0"/>
          <w:sz w:val="24"/>
        </w:rPr>
        <w:t>本招募说明书</w:t>
      </w:r>
      <w:r>
        <w:rPr>
          <w:rFonts w:hint="eastAsia" w:ascii="Times New Roman" w:hAnsi="Times New Roman"/>
          <w:kern w:val="0"/>
          <w:sz w:val="24"/>
          <w:lang w:val="en-US" w:eastAsia="zh-CN"/>
        </w:rPr>
        <w:t>其他</w:t>
      </w:r>
      <w:r>
        <w:rPr>
          <w:rFonts w:ascii="Times New Roman" w:hAnsi="Times New Roman"/>
          <w:kern w:val="0"/>
          <w:sz w:val="24"/>
        </w:rPr>
        <w:t>所载内容截止日为2025年06月20日，有关财务数据和净值表现截止日为2025年03月31日。本招募说明书所载的财务数据未经审计。</w:t>
      </w:r>
    </w:p>
    <w:p w14:paraId="32F25992">
      <w:pPr>
        <w:autoSpaceDE w:val="0"/>
        <w:autoSpaceDN w:val="0"/>
        <w:adjustRightInd w:val="0"/>
        <w:snapToGrid w:val="0"/>
        <w:spacing w:before="51" w:line="360" w:lineRule="auto"/>
        <w:ind w:left="120" w:right="13" w:rightChars="6" w:firstLine="480"/>
        <w:rPr>
          <w:rFonts w:ascii="宋体" w:hAnsi="宋体"/>
          <w:kern w:val="0"/>
          <w:szCs w:val="24"/>
        </w:rPr>
        <w:sectPr>
          <w:headerReference r:id="rId8" w:type="default"/>
          <w:pgSz w:w="11920" w:h="16840"/>
          <w:pgMar w:top="1440" w:right="1680" w:bottom="280" w:left="1680" w:header="0" w:footer="1073" w:gutter="0"/>
          <w:pgNumType w:start="1"/>
          <w:cols w:space="720" w:num="1"/>
        </w:sectPr>
      </w:pPr>
    </w:p>
    <w:p w14:paraId="5F689D0F">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5F2E9627">
      <w:pPr>
        <w:pStyle w:val="10"/>
        <w:tabs>
          <w:tab w:val="right" w:leader="dot" w:pos="8550"/>
        </w:tabs>
        <w:spacing w:line="360" w:lineRule="auto"/>
        <w:rPr>
          <w:rFonts w:ascii="宋体" w:hAnsi="宋体" w:cstheme="minorBidi"/>
          <w:sz w:val="24"/>
        </w:rPr>
      </w:pPr>
      <w:r>
        <w:fldChar w:fldCharType="begin"/>
      </w:r>
      <w:r>
        <w:instrText xml:space="preserve"> HYPERLINK \l "_Toc202960190"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_Toc202960190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5D05643E">
      <w:pPr>
        <w:pStyle w:val="10"/>
        <w:tabs>
          <w:tab w:val="right" w:leader="dot" w:pos="8550"/>
        </w:tabs>
        <w:spacing w:line="360" w:lineRule="auto"/>
        <w:rPr>
          <w:rFonts w:ascii="宋体" w:hAnsi="宋体" w:cstheme="minorBidi"/>
          <w:sz w:val="24"/>
        </w:rPr>
      </w:pPr>
      <w:r>
        <w:fldChar w:fldCharType="begin"/>
      </w:r>
      <w:r>
        <w:instrText xml:space="preserve"> HYPERLINK \l "_Toc202960191"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_Toc202960191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52BAF8EA">
      <w:pPr>
        <w:pStyle w:val="10"/>
        <w:tabs>
          <w:tab w:val="right" w:leader="dot" w:pos="8550"/>
        </w:tabs>
        <w:spacing w:line="360" w:lineRule="auto"/>
        <w:rPr>
          <w:rFonts w:ascii="宋体" w:hAnsi="宋体" w:cstheme="minorBidi"/>
          <w:sz w:val="24"/>
        </w:rPr>
      </w:pPr>
      <w:r>
        <w:fldChar w:fldCharType="begin"/>
      </w:r>
      <w:r>
        <w:instrText xml:space="preserve"> HYPERLINK \l "_Toc202960192"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_Toc202960192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14:paraId="17F7CB0A">
      <w:pPr>
        <w:pStyle w:val="10"/>
        <w:tabs>
          <w:tab w:val="right" w:leader="dot" w:pos="8550"/>
        </w:tabs>
        <w:spacing w:line="360" w:lineRule="auto"/>
        <w:rPr>
          <w:rFonts w:ascii="宋体" w:hAnsi="宋体" w:cstheme="minorBidi"/>
          <w:sz w:val="24"/>
        </w:rPr>
      </w:pPr>
      <w:r>
        <w:fldChar w:fldCharType="begin"/>
      </w:r>
      <w:r>
        <w:instrText xml:space="preserve"> HYPERLINK \l "_Toc202960193"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_Toc202960193 \h </w:instrText>
      </w:r>
      <w:r>
        <w:rPr>
          <w:rFonts w:ascii="宋体" w:hAnsi="宋体"/>
          <w:sz w:val="24"/>
        </w:rPr>
        <w:fldChar w:fldCharType="separate"/>
      </w:r>
      <w:r>
        <w:rPr>
          <w:rFonts w:ascii="宋体" w:hAnsi="宋体"/>
          <w:sz w:val="24"/>
        </w:rPr>
        <w:t>12</w:t>
      </w:r>
      <w:r>
        <w:rPr>
          <w:rFonts w:ascii="宋体" w:hAnsi="宋体"/>
          <w:sz w:val="24"/>
        </w:rPr>
        <w:fldChar w:fldCharType="end"/>
      </w:r>
      <w:r>
        <w:rPr>
          <w:rFonts w:ascii="宋体" w:hAnsi="宋体"/>
          <w:sz w:val="24"/>
        </w:rPr>
        <w:fldChar w:fldCharType="end"/>
      </w:r>
    </w:p>
    <w:p w14:paraId="52811EFE">
      <w:pPr>
        <w:pStyle w:val="10"/>
        <w:tabs>
          <w:tab w:val="right" w:leader="dot" w:pos="8550"/>
        </w:tabs>
        <w:spacing w:line="360" w:lineRule="auto"/>
        <w:rPr>
          <w:rFonts w:ascii="宋体" w:hAnsi="宋体" w:cstheme="minorBidi"/>
          <w:sz w:val="24"/>
        </w:rPr>
      </w:pPr>
      <w:r>
        <w:fldChar w:fldCharType="begin"/>
      </w:r>
      <w:r>
        <w:instrText xml:space="preserve"> HYPERLINK \l "_Toc202960194"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_Toc202960194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14:paraId="294FA7C9">
      <w:pPr>
        <w:pStyle w:val="10"/>
        <w:tabs>
          <w:tab w:val="right" w:leader="dot" w:pos="8550"/>
        </w:tabs>
        <w:spacing w:line="360" w:lineRule="auto"/>
        <w:rPr>
          <w:rFonts w:ascii="宋体" w:hAnsi="宋体" w:cstheme="minorBidi"/>
          <w:sz w:val="24"/>
        </w:rPr>
      </w:pPr>
      <w:r>
        <w:fldChar w:fldCharType="begin"/>
      </w:r>
      <w:r>
        <w:instrText xml:space="preserve"> HYPERLINK \l "_Toc202960195"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_Toc202960195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14:paraId="03AFD052">
      <w:pPr>
        <w:pStyle w:val="10"/>
        <w:tabs>
          <w:tab w:val="right" w:leader="dot" w:pos="8550"/>
        </w:tabs>
        <w:spacing w:line="360" w:lineRule="auto"/>
        <w:rPr>
          <w:rFonts w:ascii="宋体" w:hAnsi="宋体" w:cstheme="minorBidi"/>
          <w:sz w:val="24"/>
        </w:rPr>
      </w:pPr>
      <w:r>
        <w:fldChar w:fldCharType="begin"/>
      </w:r>
      <w:r>
        <w:instrText xml:space="preserve"> HYPERLINK \l "_Toc202960196"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_Toc202960196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14:paraId="0488555C">
      <w:pPr>
        <w:pStyle w:val="10"/>
        <w:tabs>
          <w:tab w:val="right" w:leader="dot" w:pos="8550"/>
        </w:tabs>
        <w:spacing w:line="360" w:lineRule="auto"/>
        <w:rPr>
          <w:rFonts w:ascii="宋体" w:hAnsi="宋体" w:cstheme="minorBidi"/>
          <w:sz w:val="24"/>
        </w:rPr>
      </w:pPr>
      <w:r>
        <w:fldChar w:fldCharType="begin"/>
      </w:r>
      <w:r>
        <w:instrText xml:space="preserve"> HYPERLINK \l "_Toc202960197"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_Toc202960197 \h </w:instrText>
      </w:r>
      <w:r>
        <w:rPr>
          <w:rFonts w:ascii="宋体" w:hAnsi="宋体"/>
          <w:sz w:val="24"/>
        </w:rPr>
        <w:fldChar w:fldCharType="separate"/>
      </w:r>
      <w:r>
        <w:rPr>
          <w:rFonts w:ascii="宋体" w:hAnsi="宋体"/>
          <w:sz w:val="24"/>
        </w:rPr>
        <w:t>57</w:t>
      </w:r>
      <w:r>
        <w:rPr>
          <w:rFonts w:ascii="宋体" w:hAnsi="宋体"/>
          <w:sz w:val="24"/>
        </w:rPr>
        <w:fldChar w:fldCharType="end"/>
      </w:r>
      <w:r>
        <w:rPr>
          <w:rFonts w:ascii="宋体" w:hAnsi="宋体"/>
          <w:sz w:val="24"/>
        </w:rPr>
        <w:fldChar w:fldCharType="end"/>
      </w:r>
    </w:p>
    <w:p w14:paraId="5C1660E9">
      <w:pPr>
        <w:pStyle w:val="10"/>
        <w:tabs>
          <w:tab w:val="right" w:leader="dot" w:pos="8550"/>
        </w:tabs>
        <w:spacing w:line="360" w:lineRule="auto"/>
        <w:rPr>
          <w:rFonts w:ascii="宋体" w:hAnsi="宋体" w:cstheme="minorBidi"/>
          <w:sz w:val="24"/>
        </w:rPr>
      </w:pPr>
      <w:r>
        <w:fldChar w:fldCharType="begin"/>
      </w:r>
      <w:r>
        <w:instrText xml:space="preserve"> HYPERLINK \l "_Toc202960198" </w:instrText>
      </w:r>
      <w:r>
        <w:fldChar w:fldCharType="separate"/>
      </w:r>
      <w:r>
        <w:rPr>
          <w:rStyle w:val="18"/>
          <w:rFonts w:hint="eastAsia" w:ascii="宋体" w:hAnsi="宋体"/>
          <w:sz w:val="24"/>
        </w:rPr>
        <w:t>八、基金份额的上市交易</w:t>
      </w:r>
      <w:r>
        <w:rPr>
          <w:rFonts w:ascii="宋体" w:hAnsi="宋体"/>
          <w:sz w:val="24"/>
        </w:rPr>
        <w:tab/>
      </w:r>
      <w:r>
        <w:rPr>
          <w:rFonts w:ascii="宋体" w:hAnsi="宋体"/>
          <w:sz w:val="24"/>
        </w:rPr>
        <w:fldChar w:fldCharType="begin"/>
      </w:r>
      <w:r>
        <w:rPr>
          <w:rFonts w:ascii="宋体" w:hAnsi="宋体"/>
          <w:sz w:val="24"/>
        </w:rPr>
        <w:instrText xml:space="preserve"> PAGEREF _Toc202960198 \h </w:instrText>
      </w:r>
      <w:r>
        <w:rPr>
          <w:rFonts w:ascii="宋体" w:hAnsi="宋体"/>
          <w:sz w:val="24"/>
        </w:rPr>
        <w:fldChar w:fldCharType="separate"/>
      </w:r>
      <w:r>
        <w:rPr>
          <w:rFonts w:ascii="宋体" w:hAnsi="宋体"/>
          <w:sz w:val="24"/>
        </w:rPr>
        <w:t>58</w:t>
      </w:r>
      <w:r>
        <w:rPr>
          <w:rFonts w:ascii="宋体" w:hAnsi="宋体"/>
          <w:sz w:val="24"/>
        </w:rPr>
        <w:fldChar w:fldCharType="end"/>
      </w:r>
      <w:r>
        <w:rPr>
          <w:rFonts w:ascii="宋体" w:hAnsi="宋体"/>
          <w:sz w:val="24"/>
        </w:rPr>
        <w:fldChar w:fldCharType="end"/>
      </w:r>
    </w:p>
    <w:p w14:paraId="3004186A">
      <w:pPr>
        <w:pStyle w:val="10"/>
        <w:tabs>
          <w:tab w:val="right" w:leader="dot" w:pos="8550"/>
        </w:tabs>
        <w:spacing w:line="360" w:lineRule="auto"/>
        <w:rPr>
          <w:rFonts w:ascii="宋体" w:hAnsi="宋体" w:cstheme="minorBidi"/>
          <w:sz w:val="24"/>
        </w:rPr>
      </w:pPr>
      <w:r>
        <w:fldChar w:fldCharType="begin"/>
      </w:r>
      <w:r>
        <w:instrText xml:space="preserve"> HYPERLINK \l "_Toc202960199" </w:instrText>
      </w:r>
      <w:r>
        <w:fldChar w:fldCharType="separate"/>
      </w:r>
      <w:r>
        <w:rPr>
          <w:rStyle w:val="18"/>
          <w:rFonts w:hint="eastAsia" w:ascii="宋体" w:hAnsi="宋体"/>
          <w:sz w:val="24"/>
        </w:rPr>
        <w:t>九、基金份额的申购与赎回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_Toc202960199 \h </w:instrText>
      </w:r>
      <w:r>
        <w:rPr>
          <w:rFonts w:ascii="宋体" w:hAnsi="宋体"/>
          <w:sz w:val="24"/>
        </w:rPr>
        <w:fldChar w:fldCharType="separate"/>
      </w:r>
      <w:r>
        <w:rPr>
          <w:rFonts w:ascii="宋体" w:hAnsi="宋体"/>
          <w:sz w:val="24"/>
        </w:rPr>
        <w:t>61</w:t>
      </w:r>
      <w:r>
        <w:rPr>
          <w:rFonts w:ascii="宋体" w:hAnsi="宋体"/>
          <w:sz w:val="24"/>
        </w:rPr>
        <w:fldChar w:fldCharType="end"/>
      </w:r>
      <w:r>
        <w:rPr>
          <w:rFonts w:ascii="宋体" w:hAnsi="宋体"/>
          <w:sz w:val="24"/>
        </w:rPr>
        <w:fldChar w:fldCharType="end"/>
      </w:r>
    </w:p>
    <w:p w14:paraId="7CBC2500">
      <w:pPr>
        <w:pStyle w:val="10"/>
        <w:tabs>
          <w:tab w:val="right" w:leader="dot" w:pos="8550"/>
        </w:tabs>
        <w:spacing w:line="360" w:lineRule="auto"/>
        <w:rPr>
          <w:rFonts w:ascii="宋体" w:hAnsi="宋体" w:cstheme="minorBidi"/>
          <w:sz w:val="24"/>
        </w:rPr>
      </w:pPr>
      <w:r>
        <w:fldChar w:fldCharType="begin"/>
      </w:r>
      <w:r>
        <w:instrText xml:space="preserve"> HYPERLINK \l "_Toc202960200" </w:instrText>
      </w:r>
      <w:r>
        <w:fldChar w:fldCharType="separate"/>
      </w:r>
      <w:r>
        <w:rPr>
          <w:rStyle w:val="18"/>
          <w:rFonts w:hint="eastAsia" w:ascii="宋体" w:hAnsi="宋体"/>
          <w:sz w:val="24"/>
        </w:rPr>
        <w:t>十、基金运作方式的变更、转换运作方式的条件及相关事项</w:t>
      </w:r>
      <w:r>
        <w:rPr>
          <w:rFonts w:ascii="宋体" w:hAnsi="宋体"/>
          <w:sz w:val="24"/>
        </w:rPr>
        <w:tab/>
      </w:r>
      <w:r>
        <w:rPr>
          <w:rFonts w:ascii="宋体" w:hAnsi="宋体"/>
          <w:sz w:val="24"/>
        </w:rPr>
        <w:fldChar w:fldCharType="begin"/>
      </w:r>
      <w:r>
        <w:rPr>
          <w:rFonts w:ascii="宋体" w:hAnsi="宋体"/>
          <w:sz w:val="24"/>
        </w:rPr>
        <w:instrText xml:space="preserve"> PAGEREF _Toc202960200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14:paraId="5399A62B">
      <w:pPr>
        <w:pStyle w:val="10"/>
        <w:tabs>
          <w:tab w:val="right" w:leader="dot" w:pos="8550"/>
        </w:tabs>
        <w:spacing w:line="360" w:lineRule="auto"/>
        <w:rPr>
          <w:rFonts w:ascii="宋体" w:hAnsi="宋体" w:cstheme="minorBidi"/>
          <w:sz w:val="24"/>
        </w:rPr>
      </w:pPr>
      <w:r>
        <w:fldChar w:fldCharType="begin"/>
      </w:r>
      <w:r>
        <w:instrText xml:space="preserve"> HYPERLINK \l "_Toc202960201" </w:instrText>
      </w:r>
      <w:r>
        <w:fldChar w:fldCharType="separate"/>
      </w:r>
      <w:r>
        <w:rPr>
          <w:rStyle w:val="18"/>
          <w:rFonts w:hint="eastAsia" w:ascii="宋体" w:hAnsi="宋体"/>
          <w:sz w:val="24"/>
        </w:rPr>
        <w:t>十一、基金的转换</w:t>
      </w:r>
      <w:r>
        <w:rPr>
          <w:rFonts w:ascii="宋体" w:hAnsi="宋体"/>
          <w:sz w:val="24"/>
        </w:rPr>
        <w:tab/>
      </w:r>
      <w:r>
        <w:rPr>
          <w:rFonts w:ascii="宋体" w:hAnsi="宋体"/>
          <w:sz w:val="24"/>
        </w:rPr>
        <w:fldChar w:fldCharType="begin"/>
      </w:r>
      <w:r>
        <w:rPr>
          <w:rFonts w:ascii="宋体" w:hAnsi="宋体"/>
          <w:sz w:val="24"/>
        </w:rPr>
        <w:instrText xml:space="preserve"> PAGEREF _Toc202960201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14:paraId="4DA52DB4">
      <w:pPr>
        <w:pStyle w:val="10"/>
        <w:tabs>
          <w:tab w:val="right" w:leader="dot" w:pos="8550"/>
        </w:tabs>
        <w:spacing w:line="360" w:lineRule="auto"/>
        <w:rPr>
          <w:rFonts w:ascii="宋体" w:hAnsi="宋体" w:cstheme="minorBidi"/>
          <w:sz w:val="24"/>
        </w:rPr>
      </w:pPr>
      <w:r>
        <w:fldChar w:fldCharType="begin"/>
      </w:r>
      <w:r>
        <w:instrText xml:space="preserve"> HYPERLINK \l "_Toc202960202" </w:instrText>
      </w:r>
      <w:r>
        <w:fldChar w:fldCharType="separate"/>
      </w:r>
      <w:r>
        <w:rPr>
          <w:rStyle w:val="18"/>
          <w:rFonts w:hint="eastAsia" w:ascii="宋体" w:hAnsi="宋体"/>
          <w:sz w:val="24"/>
        </w:rPr>
        <w:t>十二、基金的投资</w:t>
      </w:r>
      <w:r>
        <w:rPr>
          <w:rFonts w:ascii="宋体" w:hAnsi="宋体"/>
          <w:sz w:val="24"/>
        </w:rPr>
        <w:tab/>
      </w:r>
      <w:r>
        <w:rPr>
          <w:rFonts w:ascii="宋体" w:hAnsi="宋体"/>
          <w:sz w:val="24"/>
        </w:rPr>
        <w:fldChar w:fldCharType="begin"/>
      </w:r>
      <w:r>
        <w:rPr>
          <w:rFonts w:ascii="宋体" w:hAnsi="宋体"/>
          <w:sz w:val="24"/>
        </w:rPr>
        <w:instrText xml:space="preserve"> PAGEREF _Toc202960202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14:paraId="596A7C62">
      <w:pPr>
        <w:pStyle w:val="10"/>
        <w:tabs>
          <w:tab w:val="right" w:leader="dot" w:pos="8550"/>
        </w:tabs>
        <w:spacing w:line="360" w:lineRule="auto"/>
        <w:rPr>
          <w:rFonts w:ascii="宋体" w:hAnsi="宋体" w:cstheme="minorBidi"/>
          <w:sz w:val="24"/>
        </w:rPr>
      </w:pPr>
      <w:r>
        <w:fldChar w:fldCharType="begin"/>
      </w:r>
      <w:r>
        <w:instrText xml:space="preserve"> HYPERLINK \l "_Toc202960203" </w:instrText>
      </w:r>
      <w:r>
        <w:fldChar w:fldCharType="separate"/>
      </w:r>
      <w:r>
        <w:rPr>
          <w:rStyle w:val="18"/>
          <w:rFonts w:hint="eastAsia" w:ascii="宋体" w:hAnsi="宋体"/>
          <w:sz w:val="24"/>
        </w:rPr>
        <w:t>十三、基金的业绩</w:t>
      </w:r>
      <w:r>
        <w:rPr>
          <w:rFonts w:ascii="宋体" w:hAnsi="宋体"/>
          <w:sz w:val="24"/>
        </w:rPr>
        <w:tab/>
      </w:r>
      <w:r>
        <w:rPr>
          <w:rFonts w:ascii="宋体" w:hAnsi="宋体"/>
          <w:sz w:val="24"/>
        </w:rPr>
        <w:fldChar w:fldCharType="begin"/>
      </w:r>
      <w:r>
        <w:rPr>
          <w:rFonts w:ascii="宋体" w:hAnsi="宋体"/>
          <w:sz w:val="24"/>
        </w:rPr>
        <w:instrText xml:space="preserve"> PAGEREF _Toc202960203 \h </w:instrText>
      </w:r>
      <w:r>
        <w:rPr>
          <w:rFonts w:ascii="宋体" w:hAnsi="宋体"/>
          <w:sz w:val="24"/>
        </w:rPr>
        <w:fldChar w:fldCharType="separate"/>
      </w:r>
      <w:r>
        <w:rPr>
          <w:rFonts w:ascii="宋体" w:hAnsi="宋体"/>
          <w:sz w:val="24"/>
        </w:rPr>
        <w:t>99</w:t>
      </w:r>
      <w:r>
        <w:rPr>
          <w:rFonts w:ascii="宋体" w:hAnsi="宋体"/>
          <w:sz w:val="24"/>
        </w:rPr>
        <w:fldChar w:fldCharType="end"/>
      </w:r>
      <w:r>
        <w:rPr>
          <w:rFonts w:ascii="宋体" w:hAnsi="宋体"/>
          <w:sz w:val="24"/>
        </w:rPr>
        <w:fldChar w:fldCharType="end"/>
      </w:r>
    </w:p>
    <w:p w14:paraId="3E0ED087">
      <w:pPr>
        <w:pStyle w:val="10"/>
        <w:tabs>
          <w:tab w:val="right" w:leader="dot" w:pos="8550"/>
        </w:tabs>
        <w:spacing w:line="360" w:lineRule="auto"/>
        <w:rPr>
          <w:rFonts w:ascii="宋体" w:hAnsi="宋体" w:cstheme="minorBidi"/>
          <w:sz w:val="24"/>
        </w:rPr>
      </w:pPr>
      <w:r>
        <w:fldChar w:fldCharType="begin"/>
      </w:r>
      <w:r>
        <w:instrText xml:space="preserve"> HYPERLINK \l "_Toc202960204" </w:instrText>
      </w:r>
      <w:r>
        <w:fldChar w:fldCharType="separate"/>
      </w:r>
      <w:r>
        <w:rPr>
          <w:rStyle w:val="18"/>
          <w:rFonts w:hint="eastAsia" w:ascii="宋体" w:hAnsi="宋体"/>
          <w:sz w:val="24"/>
        </w:rPr>
        <w:t>十四、基金的财产</w:t>
      </w:r>
      <w:r>
        <w:rPr>
          <w:rFonts w:ascii="宋体" w:hAnsi="宋体"/>
          <w:sz w:val="24"/>
        </w:rPr>
        <w:tab/>
      </w:r>
      <w:r>
        <w:rPr>
          <w:rFonts w:ascii="宋体" w:hAnsi="宋体"/>
          <w:sz w:val="24"/>
        </w:rPr>
        <w:fldChar w:fldCharType="begin"/>
      </w:r>
      <w:r>
        <w:rPr>
          <w:rFonts w:ascii="宋体" w:hAnsi="宋体"/>
          <w:sz w:val="24"/>
        </w:rPr>
        <w:instrText xml:space="preserve"> PAGEREF _Toc202960204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14:paraId="182B1947">
      <w:pPr>
        <w:pStyle w:val="10"/>
        <w:tabs>
          <w:tab w:val="right" w:leader="dot" w:pos="8550"/>
        </w:tabs>
        <w:spacing w:line="360" w:lineRule="auto"/>
        <w:rPr>
          <w:rFonts w:ascii="宋体" w:hAnsi="宋体" w:cstheme="minorBidi"/>
          <w:sz w:val="24"/>
        </w:rPr>
      </w:pPr>
      <w:r>
        <w:fldChar w:fldCharType="begin"/>
      </w:r>
      <w:r>
        <w:instrText xml:space="preserve"> HYPERLINK \l "_Toc202960205" </w:instrText>
      </w:r>
      <w:r>
        <w:fldChar w:fldCharType="separate"/>
      </w:r>
      <w:r>
        <w:rPr>
          <w:rStyle w:val="18"/>
          <w:rFonts w:hint="eastAsia" w:ascii="宋体" w:hAnsi="宋体"/>
          <w:sz w:val="24"/>
        </w:rPr>
        <w:t>十五、基金资产的估值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_Toc202960205 \h </w:instrText>
      </w:r>
      <w:r>
        <w:rPr>
          <w:rFonts w:ascii="宋体" w:hAnsi="宋体"/>
          <w:sz w:val="24"/>
        </w:rPr>
        <w:fldChar w:fldCharType="separate"/>
      </w:r>
      <w:r>
        <w:rPr>
          <w:rFonts w:ascii="宋体" w:hAnsi="宋体"/>
          <w:sz w:val="24"/>
        </w:rPr>
        <w:t>102</w:t>
      </w:r>
      <w:r>
        <w:rPr>
          <w:rFonts w:ascii="宋体" w:hAnsi="宋体"/>
          <w:sz w:val="24"/>
        </w:rPr>
        <w:fldChar w:fldCharType="end"/>
      </w:r>
      <w:r>
        <w:rPr>
          <w:rFonts w:ascii="宋体" w:hAnsi="宋体"/>
          <w:sz w:val="24"/>
        </w:rPr>
        <w:fldChar w:fldCharType="end"/>
      </w:r>
    </w:p>
    <w:p w14:paraId="6092B513">
      <w:pPr>
        <w:pStyle w:val="10"/>
        <w:tabs>
          <w:tab w:val="right" w:leader="dot" w:pos="8550"/>
        </w:tabs>
        <w:spacing w:line="360" w:lineRule="auto"/>
        <w:rPr>
          <w:rFonts w:ascii="宋体" w:hAnsi="宋体" w:cstheme="minorBidi"/>
          <w:sz w:val="24"/>
        </w:rPr>
      </w:pPr>
      <w:r>
        <w:fldChar w:fldCharType="begin"/>
      </w:r>
      <w:r>
        <w:instrText xml:space="preserve"> HYPERLINK \l "_Toc202960206" </w:instrText>
      </w:r>
      <w:r>
        <w:fldChar w:fldCharType="separate"/>
      </w:r>
      <w:r>
        <w:rPr>
          <w:rStyle w:val="18"/>
          <w:rFonts w:hint="eastAsia" w:ascii="宋体" w:hAnsi="宋体"/>
          <w:sz w:val="24"/>
        </w:rPr>
        <w:t>十六、基金的收益与分配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_Toc202960206 \h </w:instrText>
      </w:r>
      <w:r>
        <w:rPr>
          <w:rFonts w:ascii="宋体" w:hAnsi="宋体"/>
          <w:sz w:val="24"/>
        </w:rPr>
        <w:fldChar w:fldCharType="separate"/>
      </w:r>
      <w:r>
        <w:rPr>
          <w:rFonts w:ascii="宋体" w:hAnsi="宋体"/>
          <w:sz w:val="24"/>
        </w:rPr>
        <w:t>109</w:t>
      </w:r>
      <w:r>
        <w:rPr>
          <w:rFonts w:ascii="宋体" w:hAnsi="宋体"/>
          <w:sz w:val="24"/>
        </w:rPr>
        <w:fldChar w:fldCharType="end"/>
      </w:r>
      <w:r>
        <w:rPr>
          <w:rFonts w:ascii="宋体" w:hAnsi="宋体"/>
          <w:sz w:val="24"/>
        </w:rPr>
        <w:fldChar w:fldCharType="end"/>
      </w:r>
    </w:p>
    <w:p w14:paraId="482765C4">
      <w:pPr>
        <w:pStyle w:val="10"/>
        <w:tabs>
          <w:tab w:val="right" w:leader="dot" w:pos="8550"/>
        </w:tabs>
        <w:spacing w:line="360" w:lineRule="auto"/>
        <w:rPr>
          <w:rFonts w:ascii="宋体" w:hAnsi="宋体" w:cstheme="minorBidi"/>
          <w:sz w:val="24"/>
        </w:rPr>
      </w:pPr>
      <w:r>
        <w:fldChar w:fldCharType="begin"/>
      </w:r>
      <w:r>
        <w:instrText xml:space="preserve"> HYPERLINK \l "_Toc202960207" </w:instrText>
      </w:r>
      <w:r>
        <w:fldChar w:fldCharType="separate"/>
      </w:r>
      <w:r>
        <w:rPr>
          <w:rStyle w:val="18"/>
          <w:rFonts w:hint="eastAsia" w:ascii="宋体" w:hAnsi="宋体"/>
          <w:sz w:val="24"/>
        </w:rPr>
        <w:t>十七、基金的费用与税收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_Toc202960207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14:paraId="7FD7D645">
      <w:pPr>
        <w:pStyle w:val="10"/>
        <w:tabs>
          <w:tab w:val="right" w:leader="dot" w:pos="8550"/>
        </w:tabs>
        <w:spacing w:line="360" w:lineRule="auto"/>
        <w:rPr>
          <w:rFonts w:ascii="宋体" w:hAnsi="宋体" w:cstheme="minorBidi"/>
          <w:sz w:val="24"/>
        </w:rPr>
      </w:pPr>
      <w:r>
        <w:fldChar w:fldCharType="begin"/>
      </w:r>
      <w:r>
        <w:instrText xml:space="preserve"> HYPERLINK \l "_Toc202960208" </w:instrText>
      </w:r>
      <w:r>
        <w:fldChar w:fldCharType="separate"/>
      </w:r>
      <w:r>
        <w:rPr>
          <w:rStyle w:val="18"/>
          <w:rFonts w:hint="eastAsia" w:ascii="宋体" w:hAnsi="宋体"/>
          <w:sz w:val="24"/>
        </w:rPr>
        <w:t>十八、基金的会计与审计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_Toc202960208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14:paraId="0076BB0C">
      <w:pPr>
        <w:pStyle w:val="10"/>
        <w:tabs>
          <w:tab w:val="right" w:leader="dot" w:pos="8550"/>
        </w:tabs>
        <w:spacing w:line="360" w:lineRule="auto"/>
        <w:rPr>
          <w:rFonts w:ascii="宋体" w:hAnsi="宋体" w:cstheme="minorBidi"/>
          <w:sz w:val="24"/>
        </w:rPr>
      </w:pPr>
      <w:r>
        <w:fldChar w:fldCharType="begin"/>
      </w:r>
      <w:r>
        <w:instrText xml:space="preserve"> HYPERLINK \l "_Toc202960209" </w:instrText>
      </w:r>
      <w:r>
        <w:fldChar w:fldCharType="separate"/>
      </w:r>
      <w:r>
        <w:rPr>
          <w:rStyle w:val="18"/>
          <w:rFonts w:hint="eastAsia" w:ascii="宋体" w:hAnsi="宋体"/>
          <w:sz w:val="24"/>
        </w:rPr>
        <w:t>十九、基金的信息披露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_Toc202960209 \h </w:instrText>
      </w:r>
      <w:r>
        <w:rPr>
          <w:rFonts w:ascii="宋体" w:hAnsi="宋体"/>
          <w:sz w:val="24"/>
        </w:rPr>
        <w:fldChar w:fldCharType="separate"/>
      </w:r>
      <w:r>
        <w:rPr>
          <w:rFonts w:ascii="宋体" w:hAnsi="宋体"/>
          <w:sz w:val="24"/>
        </w:rPr>
        <w:t>115</w:t>
      </w:r>
      <w:r>
        <w:rPr>
          <w:rFonts w:ascii="宋体" w:hAnsi="宋体"/>
          <w:sz w:val="24"/>
        </w:rPr>
        <w:fldChar w:fldCharType="end"/>
      </w:r>
      <w:r>
        <w:rPr>
          <w:rFonts w:ascii="宋体" w:hAnsi="宋体"/>
          <w:sz w:val="24"/>
        </w:rPr>
        <w:fldChar w:fldCharType="end"/>
      </w:r>
    </w:p>
    <w:p w14:paraId="13AA2446">
      <w:pPr>
        <w:pStyle w:val="10"/>
        <w:tabs>
          <w:tab w:val="right" w:leader="dot" w:pos="8550"/>
        </w:tabs>
        <w:spacing w:line="360" w:lineRule="auto"/>
        <w:rPr>
          <w:rFonts w:ascii="宋体" w:hAnsi="宋体" w:cstheme="minorBidi"/>
          <w:sz w:val="24"/>
        </w:rPr>
      </w:pPr>
      <w:r>
        <w:fldChar w:fldCharType="begin"/>
      </w:r>
      <w:r>
        <w:instrText xml:space="preserve"> HYPERLINK \l "_Toc202960210" </w:instrText>
      </w:r>
      <w:r>
        <w:fldChar w:fldCharType="separate"/>
      </w:r>
      <w:r>
        <w:rPr>
          <w:rStyle w:val="18"/>
          <w:rFonts w:hint="eastAsia" w:ascii="宋体" w:hAnsi="宋体"/>
          <w:sz w:val="24"/>
        </w:rPr>
        <w:t>二十、侧袋机制</w:t>
      </w:r>
      <w:r>
        <w:rPr>
          <w:rFonts w:ascii="宋体" w:hAnsi="宋体"/>
          <w:sz w:val="24"/>
        </w:rPr>
        <w:tab/>
      </w:r>
      <w:r>
        <w:rPr>
          <w:rFonts w:ascii="宋体" w:hAnsi="宋体"/>
          <w:sz w:val="24"/>
        </w:rPr>
        <w:fldChar w:fldCharType="begin"/>
      </w:r>
      <w:r>
        <w:rPr>
          <w:rFonts w:ascii="宋体" w:hAnsi="宋体"/>
          <w:sz w:val="24"/>
        </w:rPr>
        <w:instrText xml:space="preserve"> PAGEREF _Toc202960210 \h </w:instrText>
      </w:r>
      <w:r>
        <w:rPr>
          <w:rFonts w:ascii="宋体" w:hAnsi="宋体"/>
          <w:sz w:val="24"/>
        </w:rPr>
        <w:fldChar w:fldCharType="separate"/>
      </w:r>
      <w:r>
        <w:rPr>
          <w:rFonts w:ascii="宋体" w:hAnsi="宋体"/>
          <w:sz w:val="24"/>
        </w:rPr>
        <w:t>121</w:t>
      </w:r>
      <w:r>
        <w:rPr>
          <w:rFonts w:ascii="宋体" w:hAnsi="宋体"/>
          <w:sz w:val="24"/>
        </w:rPr>
        <w:fldChar w:fldCharType="end"/>
      </w:r>
      <w:r>
        <w:rPr>
          <w:rFonts w:ascii="宋体" w:hAnsi="宋体"/>
          <w:sz w:val="24"/>
        </w:rPr>
        <w:fldChar w:fldCharType="end"/>
      </w:r>
    </w:p>
    <w:p w14:paraId="5A61AA52">
      <w:pPr>
        <w:pStyle w:val="10"/>
        <w:tabs>
          <w:tab w:val="right" w:leader="dot" w:pos="8550"/>
        </w:tabs>
        <w:spacing w:line="360" w:lineRule="auto"/>
        <w:rPr>
          <w:rFonts w:ascii="宋体" w:hAnsi="宋体" w:cstheme="minorBidi"/>
          <w:sz w:val="24"/>
        </w:rPr>
      </w:pPr>
      <w:r>
        <w:fldChar w:fldCharType="begin"/>
      </w:r>
      <w:r>
        <w:instrText xml:space="preserve"> HYPERLINK \l "_Toc202960211" </w:instrText>
      </w:r>
      <w:r>
        <w:fldChar w:fldCharType="separate"/>
      </w:r>
      <w:r>
        <w:rPr>
          <w:rStyle w:val="18"/>
          <w:rFonts w:hint="eastAsia" w:ascii="宋体" w:hAnsi="宋体"/>
          <w:sz w:val="24"/>
        </w:rPr>
        <w:t>二十一、风险揭示</w:t>
      </w:r>
      <w:r>
        <w:rPr>
          <w:rFonts w:ascii="宋体" w:hAnsi="宋体"/>
          <w:sz w:val="24"/>
        </w:rPr>
        <w:tab/>
      </w:r>
      <w:r>
        <w:rPr>
          <w:rFonts w:ascii="宋体" w:hAnsi="宋体"/>
          <w:sz w:val="24"/>
        </w:rPr>
        <w:fldChar w:fldCharType="begin"/>
      </w:r>
      <w:r>
        <w:rPr>
          <w:rFonts w:ascii="宋体" w:hAnsi="宋体"/>
          <w:sz w:val="24"/>
        </w:rPr>
        <w:instrText xml:space="preserve"> PAGEREF _Toc202960211 \h </w:instrText>
      </w:r>
      <w:r>
        <w:rPr>
          <w:rFonts w:ascii="宋体" w:hAnsi="宋体"/>
          <w:sz w:val="24"/>
        </w:rPr>
        <w:fldChar w:fldCharType="separate"/>
      </w:r>
      <w:r>
        <w:rPr>
          <w:rFonts w:ascii="宋体" w:hAnsi="宋体"/>
          <w:sz w:val="24"/>
        </w:rPr>
        <w:t>123</w:t>
      </w:r>
      <w:r>
        <w:rPr>
          <w:rFonts w:ascii="宋体" w:hAnsi="宋体"/>
          <w:sz w:val="24"/>
        </w:rPr>
        <w:fldChar w:fldCharType="end"/>
      </w:r>
      <w:r>
        <w:rPr>
          <w:rFonts w:ascii="宋体" w:hAnsi="宋体"/>
          <w:sz w:val="24"/>
        </w:rPr>
        <w:fldChar w:fldCharType="end"/>
      </w:r>
    </w:p>
    <w:p w14:paraId="2E813520">
      <w:pPr>
        <w:pStyle w:val="10"/>
        <w:tabs>
          <w:tab w:val="right" w:leader="dot" w:pos="8550"/>
        </w:tabs>
        <w:spacing w:line="360" w:lineRule="auto"/>
        <w:rPr>
          <w:rFonts w:ascii="宋体" w:hAnsi="宋体" w:cstheme="minorBidi"/>
          <w:sz w:val="24"/>
        </w:rPr>
      </w:pPr>
      <w:r>
        <w:fldChar w:fldCharType="begin"/>
      </w:r>
      <w:r>
        <w:instrText xml:space="preserve"> HYPERLINK \l "_Toc202960212" </w:instrText>
      </w:r>
      <w:r>
        <w:fldChar w:fldCharType="separate"/>
      </w:r>
      <w:r>
        <w:rPr>
          <w:rStyle w:val="18"/>
          <w:rFonts w:hint="eastAsia" w:ascii="宋体" w:hAnsi="宋体"/>
          <w:sz w:val="24"/>
        </w:rPr>
        <w:t>二十二、基金合同的变更、终止与基金财产的清算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_Toc202960212 \h </w:instrText>
      </w:r>
      <w:r>
        <w:rPr>
          <w:rFonts w:ascii="宋体" w:hAnsi="宋体"/>
          <w:sz w:val="24"/>
        </w:rPr>
        <w:fldChar w:fldCharType="separate"/>
      </w:r>
      <w:r>
        <w:rPr>
          <w:rFonts w:ascii="宋体" w:hAnsi="宋体"/>
          <w:sz w:val="24"/>
        </w:rPr>
        <w:t>129</w:t>
      </w:r>
      <w:r>
        <w:rPr>
          <w:rFonts w:ascii="宋体" w:hAnsi="宋体"/>
          <w:sz w:val="24"/>
        </w:rPr>
        <w:fldChar w:fldCharType="end"/>
      </w:r>
      <w:r>
        <w:rPr>
          <w:rFonts w:ascii="宋体" w:hAnsi="宋体"/>
          <w:sz w:val="24"/>
        </w:rPr>
        <w:fldChar w:fldCharType="end"/>
      </w:r>
    </w:p>
    <w:p w14:paraId="05BDB9C8">
      <w:pPr>
        <w:pStyle w:val="10"/>
        <w:tabs>
          <w:tab w:val="right" w:leader="dot" w:pos="8550"/>
        </w:tabs>
        <w:spacing w:line="360" w:lineRule="auto"/>
        <w:rPr>
          <w:rFonts w:ascii="宋体" w:hAnsi="宋体" w:cstheme="minorBidi"/>
          <w:sz w:val="24"/>
        </w:rPr>
      </w:pPr>
      <w:r>
        <w:fldChar w:fldCharType="begin"/>
      </w:r>
      <w:r>
        <w:instrText xml:space="preserve"> HYPERLINK \l "_Toc202960213" </w:instrText>
      </w:r>
      <w:r>
        <w:fldChar w:fldCharType="separate"/>
      </w:r>
      <w:r>
        <w:rPr>
          <w:rStyle w:val="18"/>
          <w:rFonts w:hint="eastAsia" w:ascii="宋体" w:hAnsi="宋体"/>
          <w:sz w:val="24"/>
        </w:rPr>
        <w:t>二十三、基金合同内容摘要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_Toc202960213 \h </w:instrText>
      </w:r>
      <w:r>
        <w:rPr>
          <w:rFonts w:ascii="宋体" w:hAnsi="宋体"/>
          <w:sz w:val="24"/>
        </w:rPr>
        <w:fldChar w:fldCharType="separate"/>
      </w:r>
      <w:r>
        <w:rPr>
          <w:rFonts w:ascii="宋体" w:hAnsi="宋体"/>
          <w:sz w:val="24"/>
        </w:rPr>
        <w:t>132</w:t>
      </w:r>
      <w:r>
        <w:rPr>
          <w:rFonts w:ascii="宋体" w:hAnsi="宋体"/>
          <w:sz w:val="24"/>
        </w:rPr>
        <w:fldChar w:fldCharType="end"/>
      </w:r>
      <w:r>
        <w:rPr>
          <w:rFonts w:ascii="宋体" w:hAnsi="宋体"/>
          <w:sz w:val="24"/>
        </w:rPr>
        <w:fldChar w:fldCharType="end"/>
      </w:r>
    </w:p>
    <w:p w14:paraId="410C4668">
      <w:pPr>
        <w:pStyle w:val="10"/>
        <w:tabs>
          <w:tab w:val="right" w:leader="dot" w:pos="8550"/>
        </w:tabs>
        <w:spacing w:line="360" w:lineRule="auto"/>
        <w:rPr>
          <w:rFonts w:ascii="宋体" w:hAnsi="宋体" w:cstheme="minorBidi"/>
          <w:sz w:val="24"/>
        </w:rPr>
      </w:pPr>
      <w:r>
        <w:fldChar w:fldCharType="begin"/>
      </w:r>
      <w:r>
        <w:instrText xml:space="preserve"> HYPERLINK \l "_Toc202960214" </w:instrText>
      </w:r>
      <w:r>
        <w:fldChar w:fldCharType="separate"/>
      </w:r>
      <w:r>
        <w:rPr>
          <w:rStyle w:val="18"/>
          <w:rFonts w:hint="eastAsia" w:ascii="宋体" w:hAnsi="宋体"/>
          <w:sz w:val="24"/>
        </w:rPr>
        <w:t>二十四、托管协议的内容摘要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_Toc202960214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14:paraId="67520A59">
      <w:pPr>
        <w:pStyle w:val="10"/>
        <w:tabs>
          <w:tab w:val="right" w:leader="dot" w:pos="8550"/>
        </w:tabs>
        <w:spacing w:line="360" w:lineRule="auto"/>
        <w:rPr>
          <w:rFonts w:ascii="宋体" w:hAnsi="宋体" w:cstheme="minorBidi"/>
          <w:sz w:val="24"/>
        </w:rPr>
      </w:pPr>
      <w:r>
        <w:fldChar w:fldCharType="begin"/>
      </w:r>
      <w:r>
        <w:instrText xml:space="preserve"> HYPERLINK \l "_Toc202960215" </w:instrText>
      </w:r>
      <w:r>
        <w:fldChar w:fldCharType="separate"/>
      </w:r>
      <w:r>
        <w:rPr>
          <w:rStyle w:val="18"/>
          <w:rFonts w:hint="eastAsia" w:ascii="宋体" w:hAnsi="宋体"/>
          <w:sz w:val="24"/>
        </w:rPr>
        <w:t>二十五、对基金份额持有人的服务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_Toc202960215 \h </w:instrText>
      </w:r>
      <w:r>
        <w:rPr>
          <w:rFonts w:ascii="宋体" w:hAnsi="宋体"/>
          <w:sz w:val="24"/>
        </w:rPr>
        <w:fldChar w:fldCharType="separate"/>
      </w:r>
      <w:r>
        <w:rPr>
          <w:rFonts w:ascii="宋体" w:hAnsi="宋体"/>
          <w:sz w:val="24"/>
        </w:rPr>
        <w:t>164</w:t>
      </w:r>
      <w:r>
        <w:rPr>
          <w:rFonts w:ascii="宋体" w:hAnsi="宋体"/>
          <w:sz w:val="24"/>
        </w:rPr>
        <w:fldChar w:fldCharType="end"/>
      </w:r>
      <w:r>
        <w:rPr>
          <w:rFonts w:ascii="宋体" w:hAnsi="宋体"/>
          <w:sz w:val="24"/>
        </w:rPr>
        <w:fldChar w:fldCharType="end"/>
      </w:r>
    </w:p>
    <w:p w14:paraId="51B676F0">
      <w:pPr>
        <w:pStyle w:val="10"/>
        <w:tabs>
          <w:tab w:val="right" w:leader="dot" w:pos="8550"/>
        </w:tabs>
        <w:spacing w:line="360" w:lineRule="auto"/>
        <w:rPr>
          <w:rFonts w:ascii="宋体" w:hAnsi="宋体" w:cstheme="minorBidi"/>
          <w:sz w:val="24"/>
        </w:rPr>
      </w:pPr>
      <w:r>
        <w:fldChar w:fldCharType="begin"/>
      </w:r>
      <w:r>
        <w:instrText xml:space="preserve"> HYPERLINK \l "_Toc202960216" </w:instrText>
      </w:r>
      <w:r>
        <w:fldChar w:fldCharType="separate"/>
      </w:r>
      <w:r>
        <w:rPr>
          <w:rStyle w:val="18"/>
          <w:rFonts w:hint="eastAsia" w:ascii="宋体" w:hAnsi="宋体"/>
          <w:sz w:val="24"/>
        </w:rPr>
        <w:t>二十六、其他应披露事项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_Toc202960216 \h </w:instrText>
      </w:r>
      <w:r>
        <w:rPr>
          <w:rFonts w:ascii="宋体" w:hAnsi="宋体"/>
          <w:sz w:val="24"/>
        </w:rPr>
        <w:fldChar w:fldCharType="separate"/>
      </w:r>
      <w:r>
        <w:rPr>
          <w:rFonts w:ascii="宋体" w:hAnsi="宋体"/>
          <w:sz w:val="24"/>
        </w:rPr>
        <w:t>166</w:t>
      </w:r>
      <w:r>
        <w:rPr>
          <w:rFonts w:ascii="宋体" w:hAnsi="宋体"/>
          <w:sz w:val="24"/>
        </w:rPr>
        <w:fldChar w:fldCharType="end"/>
      </w:r>
      <w:r>
        <w:rPr>
          <w:rFonts w:ascii="宋体" w:hAnsi="宋体"/>
          <w:sz w:val="24"/>
        </w:rPr>
        <w:fldChar w:fldCharType="end"/>
      </w:r>
    </w:p>
    <w:p w14:paraId="5BBA6B5F">
      <w:pPr>
        <w:pStyle w:val="10"/>
        <w:tabs>
          <w:tab w:val="right" w:leader="dot" w:pos="8550"/>
        </w:tabs>
        <w:spacing w:line="360" w:lineRule="auto"/>
        <w:rPr>
          <w:rFonts w:ascii="宋体" w:hAnsi="宋体" w:cstheme="minorBidi"/>
          <w:sz w:val="24"/>
        </w:rPr>
      </w:pPr>
      <w:r>
        <w:fldChar w:fldCharType="begin"/>
      </w:r>
      <w:r>
        <w:instrText xml:space="preserve"> HYPERLINK \l "_Toc202960217" </w:instrText>
      </w:r>
      <w:r>
        <w:fldChar w:fldCharType="separate"/>
      </w:r>
      <w:r>
        <w:rPr>
          <w:rStyle w:val="18"/>
          <w:rFonts w:hint="eastAsia" w:ascii="宋体" w:hAnsi="宋体"/>
          <w:sz w:val="24"/>
        </w:rPr>
        <w:t>二十七、招募说明书的存放及查阅方式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_Toc202960217 \h </w:instrText>
      </w:r>
      <w:r>
        <w:rPr>
          <w:rFonts w:ascii="宋体" w:hAnsi="宋体"/>
          <w:sz w:val="24"/>
        </w:rPr>
        <w:fldChar w:fldCharType="separate"/>
      </w:r>
      <w:r>
        <w:rPr>
          <w:rFonts w:ascii="宋体" w:hAnsi="宋体"/>
          <w:sz w:val="24"/>
        </w:rPr>
        <w:t>169</w:t>
      </w:r>
      <w:r>
        <w:rPr>
          <w:rFonts w:ascii="宋体" w:hAnsi="宋体"/>
          <w:sz w:val="24"/>
        </w:rPr>
        <w:fldChar w:fldCharType="end"/>
      </w:r>
      <w:r>
        <w:rPr>
          <w:rFonts w:ascii="宋体" w:hAnsi="宋体"/>
          <w:sz w:val="24"/>
        </w:rPr>
        <w:fldChar w:fldCharType="end"/>
      </w:r>
    </w:p>
    <w:p w14:paraId="2A8DA0E4">
      <w:pPr>
        <w:pStyle w:val="10"/>
        <w:tabs>
          <w:tab w:val="right" w:leader="dot" w:pos="8550"/>
        </w:tabs>
        <w:spacing w:line="360" w:lineRule="auto"/>
        <w:rPr>
          <w:rFonts w:ascii="宋体" w:hAnsi="宋体" w:cstheme="minorBidi"/>
          <w:sz w:val="24"/>
        </w:rPr>
      </w:pPr>
      <w:r>
        <w:fldChar w:fldCharType="begin"/>
      </w:r>
      <w:r>
        <w:instrText xml:space="preserve"> HYPERLINK \l "_Toc202960218" </w:instrText>
      </w:r>
      <w:r>
        <w:fldChar w:fldCharType="separate"/>
      </w:r>
      <w:r>
        <w:rPr>
          <w:rStyle w:val="18"/>
          <w:rFonts w:hint="eastAsia" w:ascii="宋体" w:hAnsi="宋体"/>
          <w:sz w:val="24"/>
        </w:rPr>
        <w:t>二十八、备查文件</w:t>
      </w:r>
      <w:r>
        <w:rPr>
          <w:rFonts w:ascii="宋体" w:hAnsi="宋体"/>
          <w:sz w:val="24"/>
        </w:rPr>
        <w:tab/>
      </w:r>
      <w:r>
        <w:rPr>
          <w:rFonts w:ascii="宋体" w:hAnsi="宋体"/>
          <w:sz w:val="24"/>
        </w:rPr>
        <w:fldChar w:fldCharType="begin"/>
      </w:r>
      <w:r>
        <w:rPr>
          <w:rFonts w:ascii="宋体" w:hAnsi="宋体"/>
          <w:sz w:val="24"/>
        </w:rPr>
        <w:instrText xml:space="preserve"> PAGEREF _Toc202960218 \h </w:instrText>
      </w:r>
      <w:r>
        <w:rPr>
          <w:rFonts w:ascii="宋体" w:hAnsi="宋体"/>
          <w:sz w:val="24"/>
        </w:rPr>
        <w:fldChar w:fldCharType="separate"/>
      </w:r>
      <w:r>
        <w:rPr>
          <w:rFonts w:ascii="宋体" w:hAnsi="宋体"/>
          <w:sz w:val="24"/>
        </w:rPr>
        <w:t>170</w:t>
      </w:r>
      <w:r>
        <w:rPr>
          <w:rFonts w:ascii="宋体" w:hAnsi="宋体"/>
          <w:sz w:val="24"/>
        </w:rPr>
        <w:fldChar w:fldCharType="end"/>
      </w:r>
      <w:r>
        <w:rPr>
          <w:rFonts w:ascii="宋体" w:hAnsi="宋体"/>
          <w:sz w:val="24"/>
        </w:rPr>
        <w:fldChar w:fldCharType="end"/>
      </w:r>
    </w:p>
    <w:p w14:paraId="21A670AE">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14:paraId="578DE608">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3DB6038A">
      <w:pPr>
        <w:pStyle w:val="2"/>
        <w:snapToGrid w:val="0"/>
        <w:spacing w:before="240" w:beforeLines="0" w:after="240"/>
        <w:rPr>
          <w:rFonts w:ascii="宋体" w:hAnsi="宋体"/>
          <w:szCs w:val="30"/>
        </w:rPr>
      </w:pPr>
      <w:bookmarkStart w:id="3" w:name="_Toc202960191"/>
      <w:r>
        <w:rPr>
          <w:rFonts w:ascii="Times New Roman" w:hAnsi="Times New Roman"/>
          <w:sz w:val="30"/>
        </w:rPr>
        <w:t>一、绪言</w:t>
      </w:r>
      <w:bookmarkEnd w:id="3"/>
    </w:p>
    <w:p w14:paraId="47407D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《交银施罗德信用添利债券证券投资基金</w:t>
      </w:r>
      <w:r>
        <w:rPr>
          <w:rFonts w:hint="eastAsia" w:ascii="宋体" w:hAnsi="宋体"/>
          <w:sz w:val="24"/>
          <w:lang w:eastAsia="zh-CN"/>
        </w:rPr>
        <w:t>（</w:t>
      </w:r>
      <w:r>
        <w:rPr>
          <w:rFonts w:hint="eastAsia" w:ascii="宋体" w:hAnsi="宋体"/>
          <w:sz w:val="24"/>
          <w:lang w:val="en-US" w:eastAsia="zh-CN"/>
        </w:rPr>
        <w:t>LOF</w:t>
      </w:r>
      <w:r>
        <w:rPr>
          <w:rFonts w:hint="eastAsia" w:ascii="宋体" w:hAnsi="宋体"/>
          <w:sz w:val="24"/>
          <w:lang w:eastAsia="zh-CN"/>
        </w:rPr>
        <w:t>）</w:t>
      </w:r>
      <w:r>
        <w:rPr>
          <w:rFonts w:ascii="宋体" w:hAnsi="宋体"/>
          <w:sz w:val="24"/>
        </w:rPr>
        <w:t>招募说明书》（以下简称“本招募说明书”）依据《中华人民共和国证券投资基金法》、《证券投资基金运作管理办法》、《证券投资基金销售管理办法》、《</w:t>
      </w:r>
      <w:r>
        <w:rPr>
          <w:rFonts w:hint="eastAsia" w:ascii="宋体" w:hAnsi="宋体"/>
          <w:sz w:val="24"/>
        </w:rPr>
        <w:t>公开募集</w:t>
      </w:r>
      <w:r>
        <w:rPr>
          <w:rFonts w:ascii="宋体" w:hAnsi="宋体"/>
          <w:sz w:val="24"/>
        </w:rPr>
        <w:t>证券投资基金信息披露管理办法》、《公开募集开放式证券投资基金流动性风险管理规定》(以下简称“《流动性规定》”)和其他相关法律法规的规定以及《交银施罗德信用添利债券证券投资基金</w:t>
      </w:r>
      <w:r>
        <w:rPr>
          <w:rFonts w:hint="eastAsia" w:ascii="宋体" w:hAnsi="宋体"/>
          <w:sz w:val="24"/>
          <w:lang w:eastAsia="zh-CN"/>
        </w:rPr>
        <w:t>（</w:t>
      </w:r>
      <w:r>
        <w:rPr>
          <w:rFonts w:hint="eastAsia" w:ascii="宋体" w:hAnsi="宋体"/>
          <w:sz w:val="24"/>
          <w:lang w:val="en-US" w:eastAsia="zh-CN"/>
        </w:rPr>
        <w:t>LOF</w:t>
      </w:r>
      <w:r>
        <w:rPr>
          <w:rFonts w:hint="eastAsia" w:ascii="宋体" w:hAnsi="宋体"/>
          <w:sz w:val="24"/>
          <w:lang w:eastAsia="zh-CN"/>
        </w:rPr>
        <w:t>）</w:t>
      </w:r>
      <w:r>
        <w:rPr>
          <w:rFonts w:ascii="宋体" w:hAnsi="宋体"/>
          <w:sz w:val="24"/>
        </w:rPr>
        <w:t>基金合同》（以下简称“基金合同”）编写。</w:t>
      </w:r>
    </w:p>
    <w:p w14:paraId="0BE704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w:t>
      </w:r>
      <w:r>
        <w:rPr>
          <w:rFonts w:hint="eastAsia" w:ascii="宋体" w:hAnsi="宋体"/>
          <w:sz w:val="24"/>
          <w:lang w:eastAsia="zh-CN"/>
        </w:rPr>
        <w:t>，</w:t>
      </w:r>
      <w:r>
        <w:rPr>
          <w:rFonts w:ascii="宋体" w:hAnsi="宋体"/>
          <w:sz w:val="24"/>
        </w:rPr>
        <w:t>或对本招募说明书作任何解释或者说明。</w:t>
      </w:r>
    </w:p>
    <w:p w14:paraId="40856E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14:paraId="35241FF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F9F25FD">
      <w:pPr>
        <w:pStyle w:val="2"/>
        <w:snapToGrid w:val="0"/>
        <w:spacing w:before="240" w:beforeLines="0" w:after="240"/>
        <w:rPr>
          <w:rFonts w:ascii="宋体" w:hAnsi="宋体"/>
          <w:szCs w:val="30"/>
        </w:rPr>
      </w:pPr>
      <w:bookmarkStart w:id="4" w:name="_Toc202960192"/>
      <w:r>
        <w:rPr>
          <w:rFonts w:ascii="Times New Roman" w:hAnsi="Times New Roman"/>
          <w:sz w:val="30"/>
        </w:rPr>
        <w:t>二、释义</w:t>
      </w:r>
      <w:bookmarkEnd w:id="4"/>
    </w:p>
    <w:p w14:paraId="169F9A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tbl>
      <w:tblPr>
        <w:tblStyle w:val="14"/>
        <w:tblW w:w="5000" w:type="pct"/>
        <w:tblInd w:w="0" w:type="dxa"/>
        <w:tblLayout w:type="autofit"/>
        <w:tblCellMar>
          <w:top w:w="0" w:type="dxa"/>
          <w:left w:w="0" w:type="dxa"/>
          <w:bottom w:w="0" w:type="dxa"/>
          <w:right w:w="0" w:type="dxa"/>
        </w:tblCellMar>
      </w:tblPr>
      <w:tblGrid>
        <w:gridCol w:w="2167"/>
        <w:gridCol w:w="6503"/>
      </w:tblGrid>
      <w:tr w14:paraId="744DECF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926E4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color="auto" w:sz="4" w:space="0"/>
              <w:left w:val="single" w:color="auto" w:sz="4" w:space="0"/>
              <w:bottom w:val="single" w:color="auto" w:sz="4" w:space="0"/>
              <w:right w:val="single" w:color="auto" w:sz="4" w:space="0"/>
            </w:tcBorders>
            <w:vAlign w:val="center"/>
          </w:tcPr>
          <w:p w14:paraId="2487B6F6">
            <w:pPr>
              <w:widowControl/>
              <w:snapToGrid w:val="0"/>
              <w:jc w:val="left"/>
              <w:rPr>
                <w:rFonts w:hint="eastAsia" w:ascii="宋体" w:hAnsi="宋体" w:eastAsia="宋体"/>
                <w:color w:val="000000"/>
                <w:kern w:val="0"/>
                <w:sz w:val="25"/>
                <w:szCs w:val="24"/>
                <w:lang w:eastAsia="zh-CN"/>
              </w:rPr>
            </w:pPr>
            <w:r>
              <w:rPr>
                <w:rFonts w:ascii="Times New Roman" w:hAnsi="Times New Roman"/>
                <w:color w:val="000000"/>
                <w:kern w:val="0"/>
                <w:sz w:val="25"/>
                <w:szCs w:val="24"/>
              </w:rPr>
              <w:t>指交银施罗德信用添利债券证券投资基金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p>
        </w:tc>
      </w:tr>
      <w:tr w14:paraId="34C28E0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50F11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color="auto" w:sz="4" w:space="0"/>
              <w:left w:val="single" w:color="auto" w:sz="4" w:space="0"/>
              <w:bottom w:val="single" w:color="auto" w:sz="4" w:space="0"/>
              <w:right w:val="single" w:color="auto" w:sz="4" w:space="0"/>
            </w:tcBorders>
            <w:vAlign w:val="center"/>
          </w:tcPr>
          <w:p w14:paraId="07ECE9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14:paraId="18DAD4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EBCAB0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color="auto" w:sz="4" w:space="0"/>
              <w:left w:val="single" w:color="auto" w:sz="4" w:space="0"/>
              <w:bottom w:val="single" w:color="auto" w:sz="4" w:space="0"/>
              <w:right w:val="single" w:color="auto" w:sz="4" w:space="0"/>
            </w:tcBorders>
            <w:vAlign w:val="center"/>
          </w:tcPr>
          <w:p w14:paraId="55EB063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14:paraId="7384E86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EF4E8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color="auto" w:sz="4" w:space="0"/>
              <w:left w:val="single" w:color="auto" w:sz="4" w:space="0"/>
              <w:bottom w:val="single" w:color="auto" w:sz="4" w:space="0"/>
              <w:right w:val="single" w:color="auto" w:sz="4" w:space="0"/>
            </w:tcBorders>
            <w:vAlign w:val="center"/>
          </w:tcPr>
          <w:p w14:paraId="7A1B87C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r>
              <w:rPr>
                <w:rFonts w:ascii="Times New Roman" w:hAnsi="Times New Roman"/>
                <w:color w:val="000000"/>
                <w:kern w:val="0"/>
                <w:sz w:val="25"/>
                <w:szCs w:val="24"/>
              </w:rPr>
              <w:t>基金合同》及对基金合同的任何有效修订和补充</w:t>
            </w:r>
          </w:p>
        </w:tc>
      </w:tr>
      <w:tr w14:paraId="444B9C9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27A3104">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color="auto" w:sz="4" w:space="0"/>
              <w:left w:val="single" w:color="auto" w:sz="4" w:space="0"/>
              <w:bottom w:val="single" w:color="auto" w:sz="4" w:space="0"/>
              <w:right w:val="single" w:color="auto" w:sz="4" w:space="0"/>
            </w:tcBorders>
            <w:vAlign w:val="center"/>
          </w:tcPr>
          <w:p w14:paraId="13AFB0B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r>
              <w:rPr>
                <w:rFonts w:ascii="Times New Roman" w:hAnsi="Times New Roman"/>
                <w:color w:val="000000"/>
                <w:kern w:val="0"/>
                <w:sz w:val="25"/>
                <w:szCs w:val="24"/>
              </w:rPr>
              <w:t>托管协议》及对该托管协议的任何有效修订和补充</w:t>
            </w:r>
          </w:p>
        </w:tc>
      </w:tr>
      <w:tr w14:paraId="6A3A9A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03CD75">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招募说明书或本招募说明书</w:t>
            </w:r>
          </w:p>
        </w:tc>
        <w:tc>
          <w:tcPr>
            <w:tcW w:w="750" w:type="pct"/>
            <w:tcBorders>
              <w:top w:val="single" w:color="auto" w:sz="4" w:space="0"/>
              <w:left w:val="single" w:color="auto" w:sz="4" w:space="0"/>
              <w:bottom w:val="single" w:color="auto" w:sz="4" w:space="0"/>
              <w:right w:val="single" w:color="auto" w:sz="4" w:space="0"/>
            </w:tcBorders>
            <w:vAlign w:val="center"/>
          </w:tcPr>
          <w:p w14:paraId="561414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r>
              <w:rPr>
                <w:rFonts w:ascii="Times New Roman" w:hAnsi="Times New Roman"/>
                <w:color w:val="000000"/>
                <w:kern w:val="0"/>
                <w:sz w:val="25"/>
                <w:szCs w:val="24"/>
              </w:rPr>
              <w:t>招募说明书》及其更新</w:t>
            </w:r>
          </w:p>
        </w:tc>
      </w:tr>
      <w:tr w14:paraId="6A0A6C2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FB6681">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发售公告</w:t>
            </w:r>
          </w:p>
        </w:tc>
        <w:tc>
          <w:tcPr>
            <w:tcW w:w="750" w:type="pct"/>
            <w:tcBorders>
              <w:top w:val="single" w:color="auto" w:sz="4" w:space="0"/>
              <w:left w:val="single" w:color="auto" w:sz="4" w:space="0"/>
              <w:bottom w:val="single" w:color="auto" w:sz="4" w:space="0"/>
              <w:right w:val="single" w:color="auto" w:sz="4" w:space="0"/>
            </w:tcBorders>
            <w:vAlign w:val="center"/>
          </w:tcPr>
          <w:p w14:paraId="4E8A2AE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指《交银施罗德信用添利债券证券投资基金份额发售公告》</w:t>
            </w:r>
          </w:p>
        </w:tc>
      </w:tr>
      <w:tr w14:paraId="74B41A1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D7DAC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14:paraId="6ED78D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r>
              <w:rPr>
                <w:rFonts w:ascii="Times New Roman" w:hAnsi="Times New Roman"/>
                <w:color w:val="000000"/>
                <w:kern w:val="0"/>
                <w:sz w:val="25"/>
                <w:szCs w:val="24"/>
              </w:rPr>
              <w:t>基金产品资料概要》及其更新</w:t>
            </w:r>
          </w:p>
        </w:tc>
      </w:tr>
      <w:tr w14:paraId="08401D9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9DA78D">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color="auto" w:sz="4" w:space="0"/>
              <w:left w:val="single" w:color="auto" w:sz="4" w:space="0"/>
              <w:bottom w:val="single" w:color="auto" w:sz="4" w:space="0"/>
              <w:right w:val="single" w:color="auto" w:sz="4" w:space="0"/>
            </w:tcBorders>
            <w:vAlign w:val="center"/>
          </w:tcPr>
          <w:p w14:paraId="19056CA1">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指中国现行有效并公布实施的法律、行政法规、司法解释、部门规章、地方性法规、地方政府规章及其他对基金合同当事人有约束力的规范性文件及对该等法律法规不时作出的修订</w:t>
            </w:r>
          </w:p>
        </w:tc>
      </w:tr>
      <w:tr w14:paraId="13F274D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F475DD7">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color="auto" w:sz="4" w:space="0"/>
              <w:left w:val="single" w:color="auto" w:sz="4" w:space="0"/>
              <w:bottom w:val="single" w:color="auto" w:sz="4" w:space="0"/>
              <w:right w:val="single" w:color="auto" w:sz="4" w:space="0"/>
            </w:tcBorders>
            <w:vAlign w:val="center"/>
          </w:tcPr>
          <w:p w14:paraId="190A8265">
            <w:pPr>
              <w:widowControl/>
              <w:snapToGrid w:val="0"/>
              <w:jc w:val="left"/>
              <w:rPr>
                <w:rFonts w:ascii="宋体" w:hAnsi="宋体"/>
                <w:color w:val="000000"/>
                <w:kern w:val="0"/>
                <w:sz w:val="25"/>
                <w:szCs w:val="24"/>
              </w:rPr>
            </w:pPr>
            <w:r>
              <w:rPr>
                <w:rFonts w:ascii="Times New Roman" w:hAnsi="Times New Roman"/>
                <w:color w:val="000000"/>
                <w:kern w:val="0"/>
                <w:sz w:val="25"/>
                <w:szCs w:val="24"/>
              </w:rPr>
              <w:t>指2005年10月27日经第十届全国人民代表大会常务委员会第十八次会议通过，自2006年1月1日实施的《中华人民共和国证券法》及颁布机关对其不时做出的修订</w:t>
            </w:r>
          </w:p>
        </w:tc>
      </w:tr>
      <w:tr w14:paraId="50D49A8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85535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color="auto" w:sz="4" w:space="0"/>
              <w:left w:val="single" w:color="auto" w:sz="4" w:space="0"/>
              <w:bottom w:val="single" w:color="auto" w:sz="4" w:space="0"/>
              <w:right w:val="single" w:color="auto" w:sz="4" w:space="0"/>
            </w:tcBorders>
            <w:vAlign w:val="center"/>
          </w:tcPr>
          <w:p w14:paraId="51A0AFB7">
            <w:pPr>
              <w:widowControl/>
              <w:snapToGrid w:val="0"/>
              <w:jc w:val="left"/>
              <w:rPr>
                <w:rFonts w:ascii="宋体" w:hAnsi="宋体"/>
                <w:color w:val="000000"/>
                <w:kern w:val="0"/>
                <w:sz w:val="25"/>
                <w:szCs w:val="24"/>
              </w:rPr>
            </w:pPr>
            <w:r>
              <w:rPr>
                <w:rFonts w:ascii="Times New Roman" w:hAnsi="Times New Roman"/>
                <w:color w:val="000000"/>
                <w:kern w:val="0"/>
                <w:sz w:val="25"/>
                <w:szCs w:val="24"/>
              </w:rPr>
              <w:t>指2003年10月28日经第十届全国人民代表大会常务委员会第五次会议通过，自2004年6月1日起实施的《中华人民共和国证券投资基金法》及颁布机关对其不时作出的修订</w:t>
            </w:r>
          </w:p>
        </w:tc>
      </w:tr>
      <w:tr w14:paraId="18E249B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8688AC">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color="auto" w:sz="4" w:space="0"/>
              <w:left w:val="single" w:color="auto" w:sz="4" w:space="0"/>
              <w:bottom w:val="single" w:color="auto" w:sz="4" w:space="0"/>
              <w:right w:val="single" w:color="auto" w:sz="4" w:space="0"/>
            </w:tcBorders>
            <w:vAlign w:val="center"/>
          </w:tcPr>
          <w:p w14:paraId="6BDC1CF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指中国证监会2011年6月9日颁布、同年10月1日实施的《证券投资基金销售管理办法》及对其不时作出的修订</w:t>
            </w:r>
          </w:p>
        </w:tc>
      </w:tr>
      <w:tr w14:paraId="3A77E02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A353E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color="auto" w:sz="4" w:space="0"/>
              <w:left w:val="single" w:color="auto" w:sz="4" w:space="0"/>
              <w:bottom w:val="single" w:color="auto" w:sz="4" w:space="0"/>
              <w:right w:val="single" w:color="auto" w:sz="4" w:space="0"/>
            </w:tcBorders>
            <w:vAlign w:val="center"/>
          </w:tcPr>
          <w:p w14:paraId="51B9902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指中国证监会2019年7月26日颁布、同年9月1日实施的《公开募集证券投资基金信息披露管理办法》及对其不时作出的修订）</w:t>
            </w:r>
          </w:p>
        </w:tc>
      </w:tr>
      <w:tr w14:paraId="6FA52EC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FD2D91">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color="auto" w:sz="4" w:space="0"/>
              <w:left w:val="single" w:color="auto" w:sz="4" w:space="0"/>
              <w:bottom w:val="single" w:color="auto" w:sz="4" w:space="0"/>
              <w:right w:val="single" w:color="auto" w:sz="4" w:space="0"/>
            </w:tcBorders>
            <w:vAlign w:val="center"/>
          </w:tcPr>
          <w:p w14:paraId="66CBF85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指中国证监会2004年6月29日颁布、同年7月1日实施的《证券投资基金运作管理办法》及对其不时作出的修订</w:t>
            </w:r>
          </w:p>
        </w:tc>
      </w:tr>
      <w:tr w14:paraId="3783A40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CC595C">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color="auto" w:sz="4" w:space="0"/>
              <w:left w:val="single" w:color="auto" w:sz="4" w:space="0"/>
              <w:bottom w:val="single" w:color="auto" w:sz="4" w:space="0"/>
              <w:right w:val="single" w:color="auto" w:sz="4" w:space="0"/>
            </w:tcBorders>
            <w:vAlign w:val="center"/>
          </w:tcPr>
          <w:p w14:paraId="3E1ACE1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指中国证监会2017年8月31日颁布、同年10月1日实施的《公开募集开放式证券投资基金流动性风险管理规定》及颁布机关对其不时做出的修订</w:t>
            </w:r>
          </w:p>
        </w:tc>
      </w:tr>
      <w:tr w14:paraId="56FF6E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21817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w:t>
            </w:r>
          </w:p>
        </w:tc>
        <w:tc>
          <w:tcPr>
            <w:tcW w:w="750" w:type="pct"/>
            <w:tcBorders>
              <w:top w:val="single" w:color="auto" w:sz="4" w:space="0"/>
              <w:left w:val="single" w:color="auto" w:sz="4" w:space="0"/>
              <w:bottom w:val="single" w:color="auto" w:sz="4" w:space="0"/>
              <w:right w:val="single" w:color="auto" w:sz="4" w:space="0"/>
            </w:tcBorders>
            <w:vAlign w:val="center"/>
          </w:tcPr>
          <w:p w14:paraId="109E731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指中华人民共和国，就基金合同而言，不包括香港特别行政区、澳门特别行政区和台湾地区</w:t>
            </w:r>
          </w:p>
        </w:tc>
      </w:tr>
      <w:tr w14:paraId="218334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3D6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color="auto" w:sz="4" w:space="0"/>
              <w:left w:val="single" w:color="auto" w:sz="4" w:space="0"/>
              <w:bottom w:val="single" w:color="auto" w:sz="4" w:space="0"/>
              <w:right w:val="single" w:color="auto" w:sz="4" w:space="0"/>
            </w:tcBorders>
            <w:vAlign w:val="center"/>
          </w:tcPr>
          <w:p w14:paraId="7C92B01D">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14:paraId="5636E1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5020B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color="auto" w:sz="4" w:space="0"/>
              <w:left w:val="single" w:color="auto" w:sz="4" w:space="0"/>
              <w:bottom w:val="single" w:color="auto" w:sz="4" w:space="0"/>
              <w:right w:val="single" w:color="auto" w:sz="4" w:space="0"/>
            </w:tcBorders>
            <w:vAlign w:val="center"/>
          </w:tcPr>
          <w:p w14:paraId="2FEE37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w:t>
            </w:r>
          </w:p>
        </w:tc>
      </w:tr>
      <w:tr w14:paraId="2B8138C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F16627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color="auto" w:sz="4" w:space="0"/>
              <w:left w:val="single" w:color="auto" w:sz="4" w:space="0"/>
              <w:bottom w:val="single" w:color="auto" w:sz="4" w:space="0"/>
              <w:right w:val="single" w:color="auto" w:sz="4" w:space="0"/>
            </w:tcBorders>
            <w:vAlign w:val="center"/>
          </w:tcPr>
          <w:p w14:paraId="12C04A2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14:paraId="7ACBF9F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E4667FE">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color="auto" w:sz="4" w:space="0"/>
              <w:left w:val="single" w:color="auto" w:sz="4" w:space="0"/>
              <w:bottom w:val="single" w:color="auto" w:sz="4" w:space="0"/>
              <w:right w:val="single" w:color="auto" w:sz="4" w:space="0"/>
            </w:tcBorders>
            <w:vAlign w:val="center"/>
          </w:tcPr>
          <w:p w14:paraId="4206C203">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指符合法律法规规定的条件可以投资证券投资基金的自然人</w:t>
            </w:r>
          </w:p>
        </w:tc>
      </w:tr>
      <w:tr w14:paraId="286049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DAE910">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color="auto" w:sz="4" w:space="0"/>
              <w:left w:val="single" w:color="auto" w:sz="4" w:space="0"/>
              <w:bottom w:val="single" w:color="auto" w:sz="4" w:space="0"/>
              <w:right w:val="single" w:color="auto" w:sz="4" w:space="0"/>
            </w:tcBorders>
            <w:vAlign w:val="center"/>
          </w:tcPr>
          <w:p w14:paraId="1B32D302">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指符合法律法规规定可以投资证券投资基金的、在中华人民共和国注册登记或经政府有关部门批准设立的机构</w:t>
            </w:r>
          </w:p>
        </w:tc>
      </w:tr>
      <w:tr w14:paraId="2947AEC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A707F5">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color="auto" w:sz="4" w:space="0"/>
              <w:left w:val="single" w:color="auto" w:sz="4" w:space="0"/>
              <w:bottom w:val="single" w:color="auto" w:sz="4" w:space="0"/>
              <w:right w:val="single" w:color="auto" w:sz="4" w:space="0"/>
            </w:tcBorders>
            <w:vAlign w:val="center"/>
          </w:tcPr>
          <w:p w14:paraId="6879221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指符合《合格境外机构投资者境内证券投资管理办法》及其他相关法律法规规定的条件，经中国证监会批准可投资于中国证券市场，并取得国家外汇管理局额度批准的中国境外的机构投资者</w:t>
            </w:r>
          </w:p>
        </w:tc>
      </w:tr>
      <w:tr w14:paraId="647741E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759FA9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基金投资者或投资者</w:t>
            </w:r>
          </w:p>
        </w:tc>
        <w:tc>
          <w:tcPr>
            <w:tcW w:w="750" w:type="pct"/>
            <w:tcBorders>
              <w:top w:val="single" w:color="auto" w:sz="4" w:space="0"/>
              <w:left w:val="single" w:color="auto" w:sz="4" w:space="0"/>
              <w:bottom w:val="single" w:color="auto" w:sz="4" w:space="0"/>
              <w:right w:val="single" w:color="auto" w:sz="4" w:space="0"/>
            </w:tcBorders>
            <w:vAlign w:val="center"/>
          </w:tcPr>
          <w:p w14:paraId="1B7B8E81">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指个人投资者、机构投资者和合格境外机构投资者，以及法律法规或中国证监会允许购买证券投资基金的其他投资者</w:t>
            </w:r>
          </w:p>
        </w:tc>
      </w:tr>
      <w:tr w14:paraId="7983AAB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90DA4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color="auto" w:sz="4" w:space="0"/>
              <w:left w:val="single" w:color="auto" w:sz="4" w:space="0"/>
              <w:bottom w:val="single" w:color="auto" w:sz="4" w:space="0"/>
              <w:right w:val="single" w:color="auto" w:sz="4" w:space="0"/>
            </w:tcBorders>
            <w:vAlign w:val="center"/>
          </w:tcPr>
          <w:p w14:paraId="39C85F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指依基金合同和招募说明书合法取得基金份额的基金投资者</w:t>
            </w:r>
          </w:p>
        </w:tc>
      </w:tr>
      <w:tr w14:paraId="7E81FEF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41384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color="auto" w:sz="4" w:space="0"/>
              <w:left w:val="single" w:color="auto" w:sz="4" w:space="0"/>
              <w:bottom w:val="single" w:color="auto" w:sz="4" w:space="0"/>
              <w:right w:val="single" w:color="auto" w:sz="4" w:space="0"/>
            </w:tcBorders>
            <w:vAlign w:val="center"/>
          </w:tcPr>
          <w:p w14:paraId="52CD7680">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指基金销售机构宣传推介基金、办理基金份额的认购、申购、赎回、转换、转托管及定期定额投资等业务（不包括上市交易）</w:t>
            </w:r>
          </w:p>
        </w:tc>
      </w:tr>
      <w:tr w14:paraId="3909C83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9710F8">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销售场所</w:t>
            </w:r>
          </w:p>
        </w:tc>
        <w:tc>
          <w:tcPr>
            <w:tcW w:w="750" w:type="pct"/>
            <w:tcBorders>
              <w:top w:val="single" w:color="auto" w:sz="4" w:space="0"/>
              <w:left w:val="single" w:color="auto" w:sz="4" w:space="0"/>
              <w:bottom w:val="single" w:color="auto" w:sz="4" w:space="0"/>
              <w:right w:val="single" w:color="auto" w:sz="4" w:space="0"/>
            </w:tcBorders>
            <w:vAlign w:val="center"/>
          </w:tcPr>
          <w:p w14:paraId="1D3974E5">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指场外销售场所和场内销售场所，分别简称“场外”和“场内”</w:t>
            </w:r>
          </w:p>
        </w:tc>
      </w:tr>
      <w:tr w14:paraId="709F317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B58213">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color="auto" w:sz="4" w:space="0"/>
              <w:left w:val="single" w:color="auto" w:sz="4" w:space="0"/>
              <w:bottom w:val="single" w:color="auto" w:sz="4" w:space="0"/>
              <w:right w:val="single" w:color="auto" w:sz="4" w:space="0"/>
            </w:tcBorders>
            <w:vAlign w:val="center"/>
          </w:tcPr>
          <w:p w14:paraId="07391A37">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指深圳证券交易所会员单位</w:t>
            </w:r>
          </w:p>
        </w:tc>
      </w:tr>
      <w:tr w14:paraId="3B346AD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1C665F">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color="auto" w:sz="4" w:space="0"/>
              <w:left w:val="single" w:color="auto" w:sz="4" w:space="0"/>
              <w:bottom w:val="single" w:color="auto" w:sz="4" w:space="0"/>
              <w:right w:val="single" w:color="auto" w:sz="4" w:space="0"/>
            </w:tcBorders>
            <w:vAlign w:val="center"/>
          </w:tcPr>
          <w:p w14:paraId="5A26C37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使用深圳证券交易所交易系统，而通过直销机构和场外代销机构的柜台系统或其他交易系统办理基金份额认购、申购和赎回等业务的场所。通过该等场所办理基金份额的认购、申购和赎回也称为场外认购、场外申购和场外赎回</w:t>
            </w:r>
          </w:p>
        </w:tc>
      </w:tr>
      <w:tr w14:paraId="7082F5F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468BE2">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color="auto" w:sz="4" w:space="0"/>
              <w:left w:val="single" w:color="auto" w:sz="4" w:space="0"/>
              <w:bottom w:val="single" w:color="auto" w:sz="4" w:space="0"/>
              <w:right w:val="single" w:color="auto" w:sz="4" w:space="0"/>
            </w:tcBorders>
            <w:vAlign w:val="center"/>
          </w:tcPr>
          <w:p w14:paraId="4B7E631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指具有基金代销业务资格的会员单位通过深圳证券交易所交易系统办理基金份额认购、申购和赎回等业务的场所。通过该等场所办理基金份额的认购、申购和赎回也称为场内认购、场内申购和场内赎回</w:t>
            </w:r>
          </w:p>
        </w:tc>
      </w:tr>
      <w:tr w14:paraId="137A16A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63B2161">
            <w:pPr>
              <w:widowControl/>
              <w:snapToGrid w:val="0"/>
              <w:jc w:val="left"/>
              <w:rPr>
                <w:rFonts w:ascii="宋体" w:hAnsi="宋体"/>
                <w:color w:val="000000"/>
                <w:kern w:val="0"/>
                <w:sz w:val="25"/>
                <w:szCs w:val="24"/>
              </w:rPr>
            </w:pPr>
            <w:r>
              <w:rPr>
                <w:rFonts w:ascii="Times New Roman" w:hAnsi="Times New Roman"/>
                <w:color w:val="000000"/>
                <w:kern w:val="0"/>
                <w:sz w:val="25"/>
                <w:szCs w:val="24"/>
              </w:rPr>
              <w:t>上市交易</w:t>
            </w:r>
          </w:p>
        </w:tc>
        <w:tc>
          <w:tcPr>
            <w:tcW w:w="750" w:type="pct"/>
            <w:tcBorders>
              <w:top w:val="single" w:color="auto" w:sz="4" w:space="0"/>
              <w:left w:val="single" w:color="auto" w:sz="4" w:space="0"/>
              <w:bottom w:val="single" w:color="auto" w:sz="4" w:space="0"/>
              <w:right w:val="single" w:color="auto" w:sz="4" w:space="0"/>
            </w:tcBorders>
            <w:vAlign w:val="center"/>
          </w:tcPr>
          <w:p w14:paraId="4465721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指基金合同生效后基金投资者通过会员单位以集中竞价的方式买卖基金份额的行为</w:t>
            </w:r>
          </w:p>
        </w:tc>
      </w:tr>
      <w:tr w14:paraId="4854DC4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68240F6">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color="auto" w:sz="4" w:space="0"/>
              <w:left w:val="single" w:color="auto" w:sz="4" w:space="0"/>
              <w:bottom w:val="single" w:color="auto" w:sz="4" w:space="0"/>
              <w:right w:val="single" w:color="auto" w:sz="4" w:space="0"/>
            </w:tcBorders>
            <w:vAlign w:val="center"/>
          </w:tcPr>
          <w:p w14:paraId="7B4A91B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14:paraId="599CEE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257928">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color="auto" w:sz="4" w:space="0"/>
              <w:left w:val="single" w:color="auto" w:sz="4" w:space="0"/>
              <w:bottom w:val="single" w:color="auto" w:sz="4" w:space="0"/>
              <w:right w:val="single" w:color="auto" w:sz="4" w:space="0"/>
            </w:tcBorders>
            <w:vAlign w:val="center"/>
          </w:tcPr>
          <w:p w14:paraId="7E9D65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14:paraId="3FDBE14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82B5519">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场外代销机构</w:t>
            </w:r>
          </w:p>
        </w:tc>
        <w:tc>
          <w:tcPr>
            <w:tcW w:w="750" w:type="pct"/>
            <w:tcBorders>
              <w:top w:val="single" w:color="auto" w:sz="4" w:space="0"/>
              <w:left w:val="single" w:color="auto" w:sz="4" w:space="0"/>
              <w:bottom w:val="single" w:color="auto" w:sz="4" w:space="0"/>
              <w:right w:val="single" w:color="auto" w:sz="4" w:space="0"/>
            </w:tcBorders>
            <w:vAlign w:val="center"/>
          </w:tcPr>
          <w:p w14:paraId="22A22005">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指符合《销售办法》和中国证监会规定的其他条件，取得基金代销业务资格并与基金管理人签订了基金销售服务代理协议，代为办理场外基金销售业务的机构</w:t>
            </w:r>
          </w:p>
        </w:tc>
      </w:tr>
      <w:tr w14:paraId="330EDF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313E3EA">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场内代销机构</w:t>
            </w:r>
          </w:p>
        </w:tc>
        <w:tc>
          <w:tcPr>
            <w:tcW w:w="750" w:type="pct"/>
            <w:tcBorders>
              <w:top w:val="single" w:color="auto" w:sz="4" w:space="0"/>
              <w:left w:val="single" w:color="auto" w:sz="4" w:space="0"/>
              <w:bottom w:val="single" w:color="auto" w:sz="4" w:space="0"/>
              <w:right w:val="single" w:color="auto" w:sz="4" w:space="0"/>
            </w:tcBorders>
            <w:vAlign w:val="center"/>
          </w:tcPr>
          <w:p w14:paraId="51DA2EB1">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指代为办理场内基金销售业务的具有基金代销业务资格的会员单位</w:t>
            </w:r>
          </w:p>
        </w:tc>
      </w:tr>
      <w:tr w14:paraId="028B73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6844D1">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color="auto" w:sz="4" w:space="0"/>
              <w:left w:val="single" w:color="auto" w:sz="4" w:space="0"/>
              <w:bottom w:val="single" w:color="auto" w:sz="4" w:space="0"/>
              <w:right w:val="single" w:color="auto" w:sz="4" w:space="0"/>
            </w:tcBorders>
            <w:vAlign w:val="center"/>
          </w:tcPr>
          <w:p w14:paraId="0F899E9A">
            <w:pPr>
              <w:widowControl/>
              <w:snapToGrid w:val="0"/>
              <w:jc w:val="left"/>
              <w:rPr>
                <w:rFonts w:ascii="宋体" w:hAnsi="宋体"/>
                <w:color w:val="000000"/>
                <w:kern w:val="0"/>
                <w:sz w:val="25"/>
                <w:szCs w:val="24"/>
              </w:rPr>
            </w:pPr>
            <w:r>
              <w:rPr>
                <w:rFonts w:ascii="Times New Roman" w:hAnsi="Times New Roman"/>
                <w:color w:val="000000"/>
                <w:kern w:val="0"/>
                <w:sz w:val="25"/>
                <w:szCs w:val="24"/>
              </w:rPr>
              <w:t>除特别说明外，指场外代销机构和场内代销机构的合称</w:t>
            </w:r>
          </w:p>
        </w:tc>
      </w:tr>
      <w:tr w14:paraId="04611C6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58F9A7">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color="auto" w:sz="4" w:space="0"/>
              <w:left w:val="single" w:color="auto" w:sz="4" w:space="0"/>
              <w:bottom w:val="single" w:color="auto" w:sz="4" w:space="0"/>
              <w:right w:val="single" w:color="auto" w:sz="4" w:space="0"/>
            </w:tcBorders>
            <w:vAlign w:val="center"/>
          </w:tcPr>
          <w:p w14:paraId="2889E562">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14:paraId="5D9EB8E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EC44811">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color="auto" w:sz="4" w:space="0"/>
              <w:left w:val="single" w:color="auto" w:sz="4" w:space="0"/>
              <w:bottom w:val="single" w:color="auto" w:sz="4" w:space="0"/>
              <w:right w:val="single" w:color="auto" w:sz="4" w:space="0"/>
            </w:tcBorders>
            <w:vAlign w:val="center"/>
          </w:tcPr>
          <w:p w14:paraId="391AE10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指基金登记、存管、过户、清算和结算业务，具体内容包括基金投资者基金账户的建立和管理、基金份额注册登记、基金销售业务的确认、清算和结算、代理发放红利、建立并保管基金份额持有人名册等</w:t>
            </w:r>
          </w:p>
        </w:tc>
      </w:tr>
      <w:tr w14:paraId="0D5EA6E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567FC91">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color="auto" w:sz="4" w:space="0"/>
              <w:left w:val="single" w:color="auto" w:sz="4" w:space="0"/>
              <w:bottom w:val="single" w:color="auto" w:sz="4" w:space="0"/>
              <w:right w:val="single" w:color="auto" w:sz="4" w:space="0"/>
            </w:tcBorders>
            <w:vAlign w:val="center"/>
          </w:tcPr>
          <w:p w14:paraId="6DF0504D">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注册登记机构为交银施罗德基金管理有限公司或接受交银施罗德基金管理有限公司委托代为办理注册登记业务的机构。本基金的注册登记机构为中国证券登记结算有限责任公司基金登记系统指中国证券登记结算有限责任公司开放式基金登记结算系统</w:t>
            </w:r>
          </w:p>
        </w:tc>
      </w:tr>
      <w:tr w14:paraId="6BA63D1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298F63">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证券登记系统</w:t>
            </w:r>
          </w:p>
        </w:tc>
        <w:tc>
          <w:tcPr>
            <w:tcW w:w="750" w:type="pct"/>
            <w:tcBorders>
              <w:top w:val="single" w:color="auto" w:sz="4" w:space="0"/>
              <w:left w:val="single" w:color="auto" w:sz="4" w:space="0"/>
              <w:bottom w:val="single" w:color="auto" w:sz="4" w:space="0"/>
              <w:right w:val="single" w:color="auto" w:sz="4" w:space="0"/>
            </w:tcBorders>
            <w:vAlign w:val="center"/>
          </w:tcPr>
          <w:p w14:paraId="05BEA0B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指中国证券登记结算有限责任公司深圳分公司证券登记结算系统</w:t>
            </w:r>
          </w:p>
        </w:tc>
      </w:tr>
      <w:tr w14:paraId="142B863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808100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color="auto" w:sz="4" w:space="0"/>
              <w:left w:val="single" w:color="auto" w:sz="4" w:space="0"/>
              <w:bottom w:val="single" w:color="auto" w:sz="4" w:space="0"/>
              <w:right w:val="single" w:color="auto" w:sz="4" w:space="0"/>
            </w:tcBorders>
            <w:vAlign w:val="center"/>
          </w:tcPr>
          <w:p w14:paraId="7E0993CC">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指注册登记机构为基金投资者开立的、记录其持有的、基金管理人所管理的基金份额余额及其变动情况的账户</w:t>
            </w:r>
          </w:p>
        </w:tc>
      </w:tr>
      <w:tr w14:paraId="651CDFD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89D6DC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color="auto" w:sz="4" w:space="0"/>
              <w:left w:val="single" w:color="auto" w:sz="4" w:space="0"/>
              <w:bottom w:val="single" w:color="auto" w:sz="4" w:space="0"/>
              <w:right w:val="single" w:color="auto" w:sz="4" w:space="0"/>
            </w:tcBorders>
            <w:vAlign w:val="center"/>
          </w:tcPr>
          <w:p w14:paraId="53CB8A0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指基金管理人和场外代销机构为基金投资者开立的、记录基金投资者通过该销售机构办理认购、申购、赎回、转换、转托管及定期定额投资等业务而引起的基金份额的变动及结余情况的账户</w:t>
            </w:r>
          </w:p>
        </w:tc>
      </w:tr>
      <w:tr w14:paraId="337DC21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F9E9B4">
            <w:pPr>
              <w:widowControl/>
              <w:snapToGrid w:val="0"/>
              <w:jc w:val="left"/>
              <w:rPr>
                <w:rFonts w:ascii="宋体" w:hAnsi="宋体"/>
                <w:color w:val="000000"/>
                <w:kern w:val="0"/>
                <w:sz w:val="25"/>
                <w:szCs w:val="24"/>
              </w:rPr>
            </w:pPr>
            <w:r>
              <w:rPr>
                <w:rFonts w:ascii="Times New Roman" w:hAnsi="Times New Roman"/>
                <w:color w:val="000000"/>
                <w:kern w:val="0"/>
                <w:sz w:val="25"/>
                <w:szCs w:val="24"/>
              </w:rPr>
              <w:t>深圳证券账户</w:t>
            </w:r>
          </w:p>
        </w:tc>
        <w:tc>
          <w:tcPr>
            <w:tcW w:w="750" w:type="pct"/>
            <w:tcBorders>
              <w:top w:val="single" w:color="auto" w:sz="4" w:space="0"/>
              <w:left w:val="single" w:color="auto" w:sz="4" w:space="0"/>
              <w:bottom w:val="single" w:color="auto" w:sz="4" w:space="0"/>
              <w:right w:val="single" w:color="auto" w:sz="4" w:space="0"/>
            </w:tcBorders>
            <w:vAlign w:val="center"/>
          </w:tcPr>
          <w:p w14:paraId="6A3FC67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中国证券登记结算有限责任公司深圳分公司开设的深圳证券交易所人民币普通股票账户或证券投资基金账户。基金投资者通过深圳证券交易所交易系统办理基金交易、场内申购和场内赎回等业务时需持有深圳证券账户。记录在该账户下的基金份额登记在注册登记机构的证券登记系统</w:t>
            </w:r>
          </w:p>
        </w:tc>
      </w:tr>
      <w:tr w14:paraId="4889208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D9C69B">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开放式基金账户</w:t>
            </w:r>
          </w:p>
        </w:tc>
        <w:tc>
          <w:tcPr>
            <w:tcW w:w="750" w:type="pct"/>
            <w:tcBorders>
              <w:top w:val="single" w:color="auto" w:sz="4" w:space="0"/>
              <w:left w:val="single" w:color="auto" w:sz="4" w:space="0"/>
              <w:bottom w:val="single" w:color="auto" w:sz="4" w:space="0"/>
              <w:right w:val="single" w:color="auto" w:sz="4" w:space="0"/>
            </w:tcBorders>
            <w:vAlign w:val="center"/>
          </w:tcPr>
          <w:p w14:paraId="3E2F72E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者通过场外销售机构在中国证券登记结算有限责任公司注册的开放式基金账户。基金投资者办理场外认购、场外申购和场外赎回等业务时需具有开放式基金账户。记录在该账户下的基金份额登记在注册登记机构的基金登记系统</w:t>
            </w:r>
          </w:p>
        </w:tc>
      </w:tr>
      <w:tr w14:paraId="5F96020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56B8F8">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color="auto" w:sz="4" w:space="0"/>
              <w:left w:val="single" w:color="auto" w:sz="4" w:space="0"/>
              <w:bottom w:val="single" w:color="auto" w:sz="4" w:space="0"/>
              <w:right w:val="single" w:color="auto" w:sz="4" w:space="0"/>
            </w:tcBorders>
            <w:vAlign w:val="center"/>
          </w:tcPr>
          <w:p w14:paraId="54E7EC35">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指基金募集期结束后达到法律法规规定及基金合同约定的备案条件，基金管理人向中国证监会办理基金备案手续完毕，并收到其书面确认的日期</w:t>
            </w:r>
          </w:p>
        </w:tc>
      </w:tr>
      <w:tr w14:paraId="28457B3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ADEE08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color="auto" w:sz="4" w:space="0"/>
              <w:left w:val="single" w:color="auto" w:sz="4" w:space="0"/>
              <w:bottom w:val="single" w:color="auto" w:sz="4" w:space="0"/>
              <w:right w:val="single" w:color="auto" w:sz="4" w:space="0"/>
            </w:tcBorders>
            <w:vAlign w:val="center"/>
          </w:tcPr>
          <w:p w14:paraId="44EDE26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14:paraId="4C54C66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EF710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color="auto" w:sz="4" w:space="0"/>
              <w:left w:val="single" w:color="auto" w:sz="4" w:space="0"/>
              <w:bottom w:val="single" w:color="auto" w:sz="4" w:space="0"/>
              <w:right w:val="single" w:color="auto" w:sz="4" w:space="0"/>
            </w:tcBorders>
            <w:vAlign w:val="center"/>
          </w:tcPr>
          <w:p w14:paraId="1B0650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指自基金份额发售之日起至发售结束之日止的期间，最长不得超过3个月</w:t>
            </w:r>
          </w:p>
        </w:tc>
      </w:tr>
      <w:tr w14:paraId="60C40BC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CBFDFE">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color="auto" w:sz="4" w:space="0"/>
              <w:left w:val="single" w:color="auto" w:sz="4" w:space="0"/>
              <w:bottom w:val="single" w:color="auto" w:sz="4" w:space="0"/>
              <w:right w:val="single" w:color="auto" w:sz="4" w:space="0"/>
            </w:tcBorders>
            <w:vAlign w:val="center"/>
          </w:tcPr>
          <w:p w14:paraId="061302A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14:paraId="4654935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206DD4F">
            <w:pPr>
              <w:widowControl/>
              <w:snapToGrid w:val="0"/>
              <w:jc w:val="left"/>
              <w:rPr>
                <w:rFonts w:ascii="宋体" w:hAnsi="宋体"/>
                <w:color w:val="000000"/>
                <w:kern w:val="0"/>
                <w:sz w:val="25"/>
                <w:szCs w:val="24"/>
              </w:rPr>
            </w:pPr>
            <w:r>
              <w:rPr>
                <w:rFonts w:ascii="Times New Roman" w:hAnsi="Times New Roman"/>
                <w:color w:val="000000"/>
                <w:kern w:val="0"/>
                <w:sz w:val="25"/>
                <w:szCs w:val="24"/>
              </w:rPr>
              <w:t>封闭期</w:t>
            </w:r>
          </w:p>
        </w:tc>
        <w:tc>
          <w:tcPr>
            <w:tcW w:w="750" w:type="pct"/>
            <w:tcBorders>
              <w:top w:val="single" w:color="auto" w:sz="4" w:space="0"/>
              <w:left w:val="single" w:color="auto" w:sz="4" w:space="0"/>
              <w:bottom w:val="single" w:color="auto" w:sz="4" w:space="0"/>
              <w:right w:val="single" w:color="auto" w:sz="4" w:space="0"/>
            </w:tcBorders>
            <w:vAlign w:val="center"/>
          </w:tcPr>
          <w:p w14:paraId="23B7DD31">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之日起三年(含三年)的期间内，本基金采取封闭式运作的存续期间，按照基金合同的约定提前转换基金运作方式的除外。在基金合同中如无特别指明即为自基金合同生效之日起至三个公历年后对应日止，若三年后对应日为非工作日的，相应顺延。期间基金份额保持不变，基金份额持有人不得申请申购或赎回本基金</w:t>
            </w:r>
          </w:p>
        </w:tc>
      </w:tr>
      <w:tr w14:paraId="64CE22C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B6BE54">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开放期</w:t>
            </w:r>
          </w:p>
        </w:tc>
        <w:tc>
          <w:tcPr>
            <w:tcW w:w="750" w:type="pct"/>
            <w:tcBorders>
              <w:top w:val="single" w:color="auto" w:sz="4" w:space="0"/>
              <w:left w:val="single" w:color="auto" w:sz="4" w:space="0"/>
              <w:bottom w:val="single" w:color="auto" w:sz="4" w:space="0"/>
              <w:right w:val="single" w:color="auto" w:sz="4" w:space="0"/>
            </w:tcBorders>
            <w:vAlign w:val="center"/>
          </w:tcPr>
          <w:p w14:paraId="6B8E0975">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指本基金封闭期结束后转为开放式运作的存续期间</w:t>
            </w:r>
          </w:p>
        </w:tc>
      </w:tr>
      <w:tr w14:paraId="1C0B8F9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D6A5405">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color="auto" w:sz="4" w:space="0"/>
              <w:left w:val="single" w:color="auto" w:sz="4" w:space="0"/>
              <w:bottom w:val="single" w:color="auto" w:sz="4" w:space="0"/>
              <w:right w:val="single" w:color="auto" w:sz="4" w:space="0"/>
            </w:tcBorders>
            <w:vAlign w:val="center"/>
          </w:tcPr>
          <w:p w14:paraId="3DD5D998">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14:paraId="667F493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34F45D">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p>
        </w:tc>
        <w:tc>
          <w:tcPr>
            <w:tcW w:w="750" w:type="pct"/>
            <w:tcBorders>
              <w:top w:val="single" w:color="auto" w:sz="4" w:space="0"/>
              <w:left w:val="single" w:color="auto" w:sz="4" w:space="0"/>
              <w:bottom w:val="single" w:color="auto" w:sz="4" w:space="0"/>
              <w:right w:val="single" w:color="auto" w:sz="4" w:space="0"/>
            </w:tcBorders>
            <w:vAlign w:val="center"/>
          </w:tcPr>
          <w:p w14:paraId="6BD1E1D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14:paraId="381CDE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8288E9">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color="auto" w:sz="4" w:space="0"/>
              <w:left w:val="single" w:color="auto" w:sz="4" w:space="0"/>
              <w:bottom w:val="single" w:color="auto" w:sz="4" w:space="0"/>
              <w:right w:val="single" w:color="auto" w:sz="4" w:space="0"/>
            </w:tcBorders>
            <w:vAlign w:val="center"/>
          </w:tcPr>
          <w:p w14:paraId="7FB6655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14:paraId="5EDC827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262F6C">
            <w:pPr>
              <w:widowControl/>
              <w:snapToGrid w:val="0"/>
              <w:jc w:val="left"/>
              <w:rPr>
                <w:rFonts w:ascii="宋体" w:hAnsi="宋体"/>
                <w:color w:val="000000"/>
                <w:kern w:val="0"/>
                <w:sz w:val="25"/>
                <w:szCs w:val="24"/>
              </w:rPr>
            </w:pPr>
            <w:r>
              <w:rPr>
                <w:rFonts w:ascii="Times New Roman" w:hAnsi="Times New Roman"/>
                <w:color w:val="000000"/>
                <w:kern w:val="0"/>
                <w:sz w:val="25"/>
                <w:szCs w:val="24"/>
              </w:rPr>
              <w:t>T日</w:t>
            </w:r>
          </w:p>
        </w:tc>
        <w:tc>
          <w:tcPr>
            <w:tcW w:w="750" w:type="pct"/>
            <w:tcBorders>
              <w:top w:val="single" w:color="auto" w:sz="4" w:space="0"/>
              <w:left w:val="single" w:color="auto" w:sz="4" w:space="0"/>
              <w:bottom w:val="single" w:color="auto" w:sz="4" w:space="0"/>
              <w:right w:val="single" w:color="auto" w:sz="4" w:space="0"/>
            </w:tcBorders>
            <w:vAlign w:val="center"/>
          </w:tcPr>
          <w:p w14:paraId="2A1F743B">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指销售机构在规定时间受理基金投资者有效申购、赎回或其他基金业务申请的工作日</w:t>
            </w:r>
          </w:p>
        </w:tc>
      </w:tr>
      <w:tr w14:paraId="3124A1C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0021535">
            <w:pPr>
              <w:widowControl/>
              <w:snapToGrid w:val="0"/>
              <w:jc w:val="left"/>
              <w:rPr>
                <w:rFonts w:ascii="宋体" w:hAnsi="宋体"/>
                <w:color w:val="000000"/>
                <w:kern w:val="0"/>
                <w:sz w:val="25"/>
                <w:szCs w:val="24"/>
              </w:rPr>
            </w:pPr>
            <w:r>
              <w:rPr>
                <w:rFonts w:ascii="Times New Roman" w:hAnsi="Times New Roman"/>
                <w:color w:val="000000"/>
                <w:kern w:val="0"/>
                <w:sz w:val="25"/>
                <w:szCs w:val="24"/>
              </w:rPr>
              <w:t>T+n日</w:t>
            </w:r>
          </w:p>
        </w:tc>
        <w:tc>
          <w:tcPr>
            <w:tcW w:w="750" w:type="pct"/>
            <w:tcBorders>
              <w:top w:val="single" w:color="auto" w:sz="4" w:space="0"/>
              <w:left w:val="single" w:color="auto" w:sz="4" w:space="0"/>
              <w:bottom w:val="single" w:color="auto" w:sz="4" w:space="0"/>
              <w:right w:val="single" w:color="auto" w:sz="4" w:space="0"/>
            </w:tcBorders>
            <w:vAlign w:val="center"/>
          </w:tcPr>
          <w:p w14:paraId="5F023888">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指自T日起第n个工作日(不包含T日)</w:t>
            </w:r>
          </w:p>
        </w:tc>
      </w:tr>
      <w:tr w14:paraId="672390E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378C22">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color="auto" w:sz="4" w:space="0"/>
              <w:left w:val="single" w:color="auto" w:sz="4" w:space="0"/>
              <w:bottom w:val="single" w:color="auto" w:sz="4" w:space="0"/>
              <w:right w:val="single" w:color="auto" w:sz="4" w:space="0"/>
            </w:tcBorders>
            <w:vAlign w:val="center"/>
          </w:tcPr>
          <w:p w14:paraId="49B01A6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指为基金投资者办理基金份额申购、赎回或其他业务的工作日</w:t>
            </w:r>
          </w:p>
        </w:tc>
      </w:tr>
      <w:tr w14:paraId="1E809D7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2814CF">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color="auto" w:sz="4" w:space="0"/>
              <w:left w:val="single" w:color="auto" w:sz="4" w:space="0"/>
              <w:bottom w:val="single" w:color="auto" w:sz="4" w:space="0"/>
              <w:right w:val="single" w:color="auto" w:sz="4" w:space="0"/>
            </w:tcBorders>
            <w:vAlign w:val="center"/>
          </w:tcPr>
          <w:p w14:paraId="035C4D16">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14:paraId="71E61D0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E6FEEE">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color="auto" w:sz="4" w:space="0"/>
              <w:left w:val="single" w:color="auto" w:sz="4" w:space="0"/>
              <w:bottom w:val="single" w:color="auto" w:sz="4" w:space="0"/>
              <w:right w:val="single" w:color="auto" w:sz="4" w:space="0"/>
            </w:tcBorders>
            <w:vAlign w:val="center"/>
          </w:tcPr>
          <w:p w14:paraId="731D94D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指在基金募集期间，基金投资者申请购买基金份额的行为</w:t>
            </w:r>
          </w:p>
        </w:tc>
      </w:tr>
      <w:tr w14:paraId="73416DB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C658D7">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color="auto" w:sz="4" w:space="0"/>
              <w:left w:val="single" w:color="auto" w:sz="4" w:space="0"/>
              <w:bottom w:val="single" w:color="auto" w:sz="4" w:space="0"/>
              <w:right w:val="single" w:color="auto" w:sz="4" w:space="0"/>
            </w:tcBorders>
            <w:vAlign w:val="center"/>
          </w:tcPr>
          <w:p w14:paraId="63F8DBE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指在基金存续期内，基金投资者按基金合同的规定申请购买基金份额的行为</w:t>
            </w:r>
          </w:p>
        </w:tc>
      </w:tr>
      <w:tr w14:paraId="3D78BC9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D7C166">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color="auto" w:sz="4" w:space="0"/>
              <w:left w:val="single" w:color="auto" w:sz="4" w:space="0"/>
              <w:bottom w:val="single" w:color="auto" w:sz="4" w:space="0"/>
              <w:right w:val="single" w:color="auto" w:sz="4" w:space="0"/>
            </w:tcBorders>
            <w:vAlign w:val="center"/>
          </w:tcPr>
          <w:p w14:paraId="075393B5">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指在基金存续期内，基金份额持有人按基金合同规定的条件向基金管理人要求将基金份额兑换成现金的行为</w:t>
            </w:r>
          </w:p>
        </w:tc>
      </w:tr>
      <w:tr w14:paraId="67E7A04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E76BC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color="auto" w:sz="4" w:space="0"/>
              <w:left w:val="single" w:color="auto" w:sz="4" w:space="0"/>
              <w:bottom w:val="single" w:color="auto" w:sz="4" w:space="0"/>
              <w:right w:val="single" w:color="auto" w:sz="4" w:space="0"/>
            </w:tcBorders>
            <w:vAlign w:val="center"/>
          </w:tcPr>
          <w:p w14:paraId="2F9E605B">
            <w:pPr>
              <w:widowControl/>
              <w:snapToGrid w:val="0"/>
              <w:jc w:val="left"/>
              <w:rPr>
                <w:rFonts w:ascii="宋体" w:hAnsi="宋体"/>
                <w:color w:val="000000"/>
                <w:kern w:val="0"/>
                <w:sz w:val="25"/>
                <w:szCs w:val="24"/>
              </w:rPr>
            </w:pPr>
            <w:r>
              <w:rPr>
                <w:rFonts w:hint="eastAsia" w:ascii="Times New Roman" w:hAnsi="Times New Roman"/>
                <w:color w:val="000000"/>
                <w:kern w:val="0"/>
                <w:sz w:val="25"/>
                <w:szCs w:val="24"/>
              </w:rPr>
              <w:t>指基金份额持有人按照本基金合同和基金管理人届时有效公告规定的条件，申请将其持有基金管理人管理的、某一基金的基金份额转换为该基金其他份额（如有）或基金管理人管理的其他基金基金份额的行为</w:t>
            </w:r>
            <w:r>
              <w:rPr>
                <w:rFonts w:ascii="Times New Roman" w:hAnsi="Times New Roman"/>
                <w:color w:val="000000"/>
                <w:kern w:val="0"/>
                <w:sz w:val="25"/>
                <w:szCs w:val="24"/>
              </w:rPr>
              <w:t>。基金份额持有人持有的登记在证券登记系统的场内基金份额需经跨系统转托管至基金登记系统后方可申请办理基金转换业务</w:t>
            </w:r>
          </w:p>
        </w:tc>
      </w:tr>
      <w:tr w14:paraId="7CEFC0E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A6D106">
            <w:pPr>
              <w:widowControl/>
              <w:snapToGrid w:val="0"/>
              <w:jc w:val="left"/>
              <w:rPr>
                <w:rFonts w:ascii="宋体" w:hAnsi="宋体"/>
                <w:color w:val="000000"/>
                <w:kern w:val="0"/>
                <w:sz w:val="25"/>
                <w:szCs w:val="24"/>
              </w:rPr>
            </w:pPr>
            <w:r>
              <w:rPr>
                <w:rFonts w:ascii="Times New Roman" w:hAnsi="Times New Roman"/>
                <w:color w:val="000000"/>
                <w:kern w:val="0"/>
                <w:sz w:val="25"/>
                <w:szCs w:val="24"/>
              </w:rPr>
              <w:t>系统内转托管</w:t>
            </w:r>
          </w:p>
        </w:tc>
        <w:tc>
          <w:tcPr>
            <w:tcW w:w="750" w:type="pct"/>
            <w:tcBorders>
              <w:top w:val="single" w:color="auto" w:sz="4" w:space="0"/>
              <w:left w:val="single" w:color="auto" w:sz="4" w:space="0"/>
              <w:bottom w:val="single" w:color="auto" w:sz="4" w:space="0"/>
              <w:right w:val="single" w:color="auto" w:sz="4" w:space="0"/>
            </w:tcBorders>
            <w:vAlign w:val="center"/>
          </w:tcPr>
          <w:p w14:paraId="1937DE08">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指基金份额持有人将其持有的基金份额在基金登记系统内不同销售机构（网点）之间或证券登记系统内不同会员单位（席位或交易单元）之间进行转托管的行为</w:t>
            </w:r>
          </w:p>
        </w:tc>
      </w:tr>
      <w:tr w14:paraId="7306F87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6C4539">
            <w:pPr>
              <w:widowControl/>
              <w:snapToGrid w:val="0"/>
              <w:jc w:val="left"/>
              <w:rPr>
                <w:rFonts w:ascii="宋体" w:hAnsi="宋体"/>
                <w:color w:val="000000"/>
                <w:kern w:val="0"/>
                <w:sz w:val="25"/>
                <w:szCs w:val="24"/>
              </w:rPr>
            </w:pPr>
            <w:r>
              <w:rPr>
                <w:rFonts w:ascii="Times New Roman" w:hAnsi="Times New Roman"/>
                <w:color w:val="000000"/>
                <w:kern w:val="0"/>
                <w:sz w:val="25"/>
                <w:szCs w:val="24"/>
              </w:rPr>
              <w:t>跨系统转托管</w:t>
            </w:r>
          </w:p>
        </w:tc>
        <w:tc>
          <w:tcPr>
            <w:tcW w:w="750" w:type="pct"/>
            <w:tcBorders>
              <w:top w:val="single" w:color="auto" w:sz="4" w:space="0"/>
              <w:left w:val="single" w:color="auto" w:sz="4" w:space="0"/>
              <w:bottom w:val="single" w:color="auto" w:sz="4" w:space="0"/>
              <w:right w:val="single" w:color="auto" w:sz="4" w:space="0"/>
            </w:tcBorders>
            <w:vAlign w:val="center"/>
          </w:tcPr>
          <w:p w14:paraId="502552D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指基金份额持有人将其持有的</w:t>
            </w:r>
            <w:r>
              <w:rPr>
                <w:rFonts w:hint="eastAsia" w:ascii="Times New Roman" w:hAnsi="Times New Roman"/>
                <w:color w:val="000000"/>
                <w:kern w:val="0"/>
                <w:sz w:val="25"/>
                <w:szCs w:val="24"/>
                <w:lang w:val="en-US" w:eastAsia="zh-CN"/>
              </w:rPr>
              <w:t>A类</w:t>
            </w:r>
            <w:r>
              <w:rPr>
                <w:rFonts w:ascii="Times New Roman" w:hAnsi="Times New Roman"/>
                <w:color w:val="000000"/>
                <w:kern w:val="0"/>
                <w:sz w:val="25"/>
                <w:szCs w:val="24"/>
              </w:rPr>
              <w:t>基金份额在基金登记系统和证券登记系统之间进行转托管的行为</w:t>
            </w:r>
            <w:r>
              <w:rPr>
                <w:rFonts w:hint="eastAsia" w:ascii="Times New Roman" w:hAnsi="Times New Roman"/>
                <w:color w:val="000000"/>
                <w:kern w:val="0"/>
                <w:sz w:val="25"/>
                <w:szCs w:val="24"/>
              </w:rPr>
              <w:t>。除经基金管理人另行公告，C类基金份额不能进行跨系统转托管</w:t>
            </w:r>
          </w:p>
        </w:tc>
      </w:tr>
      <w:tr w14:paraId="478460A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25F994">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color="auto" w:sz="4" w:space="0"/>
              <w:left w:val="single" w:color="auto" w:sz="4" w:space="0"/>
              <w:bottom w:val="single" w:color="auto" w:sz="4" w:space="0"/>
              <w:right w:val="single" w:color="auto" w:sz="4" w:space="0"/>
            </w:tcBorders>
            <w:vAlign w:val="center"/>
          </w:tcPr>
          <w:p w14:paraId="7CAD9F69">
            <w:pPr>
              <w:widowControl/>
              <w:snapToGrid w:val="0"/>
              <w:jc w:val="left"/>
              <w:rPr>
                <w:rFonts w:ascii="宋体" w:hAnsi="宋体"/>
                <w:color w:val="000000"/>
                <w:kern w:val="0"/>
                <w:sz w:val="25"/>
                <w:szCs w:val="24"/>
              </w:rPr>
            </w:pPr>
            <w:r>
              <w:rPr>
                <w:rFonts w:ascii="Times New Roman" w:hAnsi="Times New Roman"/>
                <w:color w:val="000000"/>
                <w:kern w:val="0"/>
                <w:sz w:val="25"/>
                <w:szCs w:val="24"/>
              </w:rPr>
              <w:t>除特别说明外，指系统内转托管和跨系统转托管的合称</w:t>
            </w:r>
          </w:p>
        </w:tc>
      </w:tr>
      <w:tr w14:paraId="513D49E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BD2C52">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color="auto" w:sz="4" w:space="0"/>
              <w:left w:val="single" w:color="auto" w:sz="4" w:space="0"/>
              <w:bottom w:val="single" w:color="auto" w:sz="4" w:space="0"/>
              <w:right w:val="single" w:color="auto" w:sz="4" w:space="0"/>
            </w:tcBorders>
            <w:vAlign w:val="center"/>
          </w:tcPr>
          <w:p w14:paraId="3AEE416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指基金投资者通过有关销售机构提出申请，约定每期申购日、扣款金额及扣款方式，由销售机构在基金投资者指定银行账户内自动完成扣款并于每期约定的申购日提交基金申购申请的一种投资方式</w:t>
            </w:r>
          </w:p>
        </w:tc>
      </w:tr>
      <w:tr w14:paraId="3D3451F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E743AE2">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color="auto" w:sz="4" w:space="0"/>
              <w:left w:val="single" w:color="auto" w:sz="4" w:space="0"/>
              <w:bottom w:val="single" w:color="auto" w:sz="4" w:space="0"/>
              <w:right w:val="single" w:color="auto" w:sz="4" w:space="0"/>
            </w:tcBorders>
            <w:vAlign w:val="center"/>
          </w:tcPr>
          <w:p w14:paraId="6647DB55">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指本基金单个开放日，基金净赎回申请(赎回申请份额总数加上基金转换中转出申请份额总数后扣除申购申请份额总数及基金转换中转入申请份额总数后的余额)超过上一工作日基金总份额的10%的情形</w:t>
            </w:r>
          </w:p>
        </w:tc>
      </w:tr>
      <w:tr w14:paraId="2A27C2D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075D943">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color="auto" w:sz="4" w:space="0"/>
              <w:left w:val="single" w:color="auto" w:sz="4" w:space="0"/>
              <w:bottom w:val="single" w:color="auto" w:sz="4" w:space="0"/>
              <w:right w:val="single" w:color="auto" w:sz="4" w:space="0"/>
            </w:tcBorders>
            <w:vAlign w:val="center"/>
          </w:tcPr>
          <w:p w14:paraId="7CB3CBA6">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14:paraId="1C030B8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B0719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color="auto" w:sz="4" w:space="0"/>
              <w:left w:val="single" w:color="auto" w:sz="4" w:space="0"/>
              <w:bottom w:val="single" w:color="auto" w:sz="4" w:space="0"/>
              <w:right w:val="single" w:color="auto" w:sz="4" w:space="0"/>
            </w:tcBorders>
            <w:vAlign w:val="center"/>
          </w:tcPr>
          <w:p w14:paraId="1CA2F18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指基金利息收入、投资收益、公允价值变动收益和其他收入扣除相关费用后的余额</w:t>
            </w:r>
          </w:p>
        </w:tc>
      </w:tr>
      <w:tr w14:paraId="6186F86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728B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color="auto" w:sz="4" w:space="0"/>
              <w:left w:val="single" w:color="auto" w:sz="4" w:space="0"/>
              <w:bottom w:val="single" w:color="auto" w:sz="4" w:space="0"/>
              <w:right w:val="single" w:color="auto" w:sz="4" w:space="0"/>
            </w:tcBorders>
            <w:vAlign w:val="center"/>
          </w:tcPr>
          <w:p w14:paraId="10EF7837">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14:paraId="6053F1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EE784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color="auto" w:sz="4" w:space="0"/>
              <w:left w:val="single" w:color="auto" w:sz="4" w:space="0"/>
              <w:bottom w:val="single" w:color="auto" w:sz="4" w:space="0"/>
              <w:right w:val="single" w:color="auto" w:sz="4" w:space="0"/>
            </w:tcBorders>
            <w:vAlign w:val="center"/>
          </w:tcPr>
          <w:p w14:paraId="6747CCB8">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指基金资产总值减去基金负债后的净资产值</w:t>
            </w:r>
          </w:p>
        </w:tc>
      </w:tr>
      <w:tr w14:paraId="3DABEC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A07CB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color="auto" w:sz="4" w:space="0"/>
              <w:left w:val="single" w:color="auto" w:sz="4" w:space="0"/>
              <w:bottom w:val="single" w:color="auto" w:sz="4" w:space="0"/>
              <w:right w:val="single" w:color="auto" w:sz="4" w:space="0"/>
            </w:tcBorders>
            <w:vAlign w:val="center"/>
          </w:tcPr>
          <w:p w14:paraId="06EC58D5">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指计算日基金资产净值除以计算日基金份额总数的数值</w:t>
            </w:r>
          </w:p>
        </w:tc>
      </w:tr>
      <w:tr w14:paraId="12C2B5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2D4EBD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color="auto" w:sz="4" w:space="0"/>
              <w:left w:val="single" w:color="auto" w:sz="4" w:space="0"/>
              <w:bottom w:val="single" w:color="auto" w:sz="4" w:space="0"/>
              <w:right w:val="single" w:color="auto" w:sz="4" w:space="0"/>
            </w:tcBorders>
            <w:vAlign w:val="center"/>
          </w:tcPr>
          <w:p w14:paraId="5DE7B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14:paraId="093E11B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E3E3E3">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color="auto" w:sz="4" w:space="0"/>
              <w:left w:val="single" w:color="auto" w:sz="4" w:space="0"/>
              <w:bottom w:val="single" w:color="auto" w:sz="4" w:space="0"/>
              <w:right w:val="single" w:color="auto" w:sz="4" w:space="0"/>
            </w:tcBorders>
            <w:vAlign w:val="center"/>
          </w:tcPr>
          <w:p w14:paraId="7AB62FC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tc>
      </w:tr>
      <w:tr w14:paraId="5E93C7D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B2C4C9">
            <w:pPr>
              <w:widowControl/>
              <w:snapToGrid w:val="0"/>
              <w:jc w:val="left"/>
              <w:rPr>
                <w:rFonts w:ascii="Times New Roman" w:hAnsi="Times New Roman"/>
                <w:color w:val="000000"/>
                <w:kern w:val="0"/>
                <w:sz w:val="25"/>
                <w:szCs w:val="24"/>
              </w:rPr>
            </w:pPr>
            <w:r>
              <w:rPr>
                <w:rFonts w:hint="eastAsia" w:ascii="宋体" w:hAnsi="宋体"/>
                <w:sz w:val="24"/>
              </w:rPr>
              <w:t>销售服务费</w:t>
            </w:r>
          </w:p>
        </w:tc>
        <w:tc>
          <w:tcPr>
            <w:tcW w:w="750" w:type="pct"/>
            <w:tcBorders>
              <w:top w:val="single" w:color="auto" w:sz="4" w:space="0"/>
              <w:left w:val="single" w:color="auto" w:sz="4" w:space="0"/>
              <w:bottom w:val="single" w:color="auto" w:sz="4" w:space="0"/>
              <w:right w:val="single" w:color="auto" w:sz="4" w:space="0"/>
            </w:tcBorders>
            <w:vAlign w:val="center"/>
          </w:tcPr>
          <w:p w14:paraId="4B62ECA2">
            <w:pPr>
              <w:widowControl/>
              <w:snapToGrid w:val="0"/>
              <w:jc w:val="left"/>
              <w:rPr>
                <w:rFonts w:ascii="Times New Roman" w:hAnsi="Times New Roman"/>
                <w:color w:val="000000"/>
                <w:kern w:val="0"/>
                <w:sz w:val="25"/>
                <w:szCs w:val="24"/>
              </w:rPr>
            </w:pPr>
            <w:r>
              <w:rPr>
                <w:rFonts w:hint="eastAsia" w:ascii="宋体" w:hAnsi="宋体"/>
                <w:sz w:val="24"/>
              </w:rPr>
              <w:t>指从基金财产中计提的，用于本基金市场推广、销售以及基金份额持有人服务的费用</w:t>
            </w:r>
          </w:p>
        </w:tc>
      </w:tr>
      <w:tr w14:paraId="02EB785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464E64">
            <w:pPr>
              <w:widowControl/>
              <w:snapToGrid w:val="0"/>
              <w:jc w:val="left"/>
              <w:rPr>
                <w:rFonts w:ascii="Times New Roman" w:hAnsi="Times New Roman"/>
                <w:color w:val="000000"/>
                <w:kern w:val="0"/>
                <w:sz w:val="25"/>
                <w:szCs w:val="24"/>
              </w:rPr>
            </w:pPr>
            <w:r>
              <w:rPr>
                <w:rFonts w:hint="eastAsia" w:ascii="宋体" w:hAnsi="宋体"/>
                <w:sz w:val="24"/>
              </w:rPr>
              <w:t>A类基金份额</w:t>
            </w:r>
          </w:p>
        </w:tc>
        <w:tc>
          <w:tcPr>
            <w:tcW w:w="750" w:type="pct"/>
            <w:tcBorders>
              <w:top w:val="single" w:color="auto" w:sz="4" w:space="0"/>
              <w:left w:val="single" w:color="auto" w:sz="4" w:space="0"/>
              <w:bottom w:val="single" w:color="auto" w:sz="4" w:space="0"/>
              <w:right w:val="single" w:color="auto" w:sz="4" w:space="0"/>
            </w:tcBorders>
            <w:vAlign w:val="center"/>
          </w:tcPr>
          <w:p w14:paraId="01BBC0B4">
            <w:pPr>
              <w:widowControl/>
              <w:snapToGrid w:val="0"/>
              <w:jc w:val="left"/>
              <w:rPr>
                <w:rFonts w:ascii="Times New Roman" w:hAnsi="Times New Roman"/>
                <w:color w:val="000000"/>
                <w:kern w:val="0"/>
                <w:sz w:val="25"/>
                <w:szCs w:val="24"/>
              </w:rPr>
            </w:pPr>
            <w:r>
              <w:rPr>
                <w:rFonts w:hint="eastAsia" w:ascii="宋体" w:hAnsi="宋体"/>
                <w:sz w:val="24"/>
              </w:rPr>
              <w:t>指在投资人申购时收取申购费用且不从本类别基金资产中计提销售服务费的基金份额</w:t>
            </w:r>
          </w:p>
        </w:tc>
      </w:tr>
      <w:tr w14:paraId="7F6A882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02CAAAD">
            <w:pPr>
              <w:widowControl/>
              <w:snapToGrid w:val="0"/>
              <w:jc w:val="left"/>
              <w:rPr>
                <w:rFonts w:ascii="Times New Roman" w:hAnsi="Times New Roman"/>
                <w:color w:val="000000"/>
                <w:kern w:val="0"/>
                <w:sz w:val="25"/>
                <w:szCs w:val="24"/>
              </w:rPr>
            </w:pPr>
            <w:r>
              <w:rPr>
                <w:rFonts w:hint="eastAsia" w:ascii="宋体" w:hAnsi="宋体"/>
                <w:sz w:val="24"/>
              </w:rPr>
              <w:t>C类基金份额</w:t>
            </w:r>
          </w:p>
        </w:tc>
        <w:tc>
          <w:tcPr>
            <w:tcW w:w="750" w:type="pct"/>
            <w:tcBorders>
              <w:top w:val="single" w:color="auto" w:sz="4" w:space="0"/>
              <w:left w:val="single" w:color="auto" w:sz="4" w:space="0"/>
              <w:bottom w:val="single" w:color="auto" w:sz="4" w:space="0"/>
              <w:right w:val="single" w:color="auto" w:sz="4" w:space="0"/>
            </w:tcBorders>
            <w:vAlign w:val="center"/>
          </w:tcPr>
          <w:p w14:paraId="06485B4D">
            <w:pPr>
              <w:widowControl/>
              <w:snapToGrid w:val="0"/>
              <w:jc w:val="left"/>
              <w:rPr>
                <w:rFonts w:ascii="Times New Roman" w:hAnsi="Times New Roman"/>
                <w:color w:val="000000"/>
                <w:kern w:val="0"/>
                <w:sz w:val="25"/>
                <w:szCs w:val="24"/>
              </w:rPr>
            </w:pPr>
            <w:r>
              <w:rPr>
                <w:rFonts w:hint="eastAsia" w:ascii="宋体" w:hAnsi="宋体"/>
                <w:sz w:val="24"/>
              </w:rPr>
              <w:t>指在投资人申购时不收取申购费用，并从本类别基金资产中计提销售服务费的基金份额（其中，对于投资人通过直销机构申购的C类基金份额，计提的销售服务费将在投资人赎回相应基金份额或基金合同终止时随赎回款或清算款一并返还给投资人；对于投资人通过其他销售机构申购的C类基金份额，持续持有超过一年（即365天，下同）后计提的销售服务费将在投资人赎回相应基金份额或基金合同终止时随赎回款或清算款一并返还给投资人）</w:t>
            </w:r>
          </w:p>
        </w:tc>
      </w:tr>
      <w:tr w14:paraId="36E1FBA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8B4A7D">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color="auto" w:sz="4" w:space="0"/>
              <w:left w:val="single" w:color="auto" w:sz="4" w:space="0"/>
              <w:bottom w:val="single" w:color="auto" w:sz="4" w:space="0"/>
              <w:right w:val="single" w:color="auto" w:sz="4" w:space="0"/>
            </w:tcBorders>
            <w:vAlign w:val="center"/>
          </w:tcPr>
          <w:p w14:paraId="12DC646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14:paraId="2C2175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D66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color="auto" w:sz="4" w:space="0"/>
              <w:left w:val="single" w:color="auto" w:sz="4" w:space="0"/>
              <w:bottom w:val="single" w:color="auto" w:sz="4" w:space="0"/>
              <w:right w:val="single" w:color="auto" w:sz="4" w:space="0"/>
            </w:tcBorders>
            <w:vAlign w:val="center"/>
          </w:tcPr>
          <w:p w14:paraId="598DA0A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发布实施的《深圳证券交易所开放式基金申购赎回业务实施细则》、《深圳证券交易所证券投资基金上市规则》，中国证券登记结算有限责任公司发布实施的《中国证券登记结算有限责任公司上市开放式基金登记结算业务实施细则》、《开放式基金通过深圳证券交易所场内申购赎回登记结算业务实施细则》、深圳证券交易所与中国证券登记结算有限责任公司共同制定的《上市开放式基金业务指引》及销售机构业务规则等相关业务规则和实施细则及发布机构对其不时作出的修订</w:t>
            </w:r>
          </w:p>
        </w:tc>
      </w:tr>
      <w:tr w14:paraId="01A6B5C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ED4DCB7">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color="auto" w:sz="4" w:space="0"/>
              <w:left w:val="single" w:color="auto" w:sz="4" w:space="0"/>
              <w:bottom w:val="single" w:color="auto" w:sz="4" w:space="0"/>
              <w:right w:val="single" w:color="auto" w:sz="4" w:space="0"/>
            </w:tcBorders>
            <w:vAlign w:val="center"/>
          </w:tcPr>
          <w:p w14:paraId="76C00128">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14:paraId="75681EC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F04A91">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color="auto" w:sz="4" w:space="0"/>
              <w:left w:val="single" w:color="auto" w:sz="4" w:space="0"/>
              <w:bottom w:val="single" w:color="auto" w:sz="4" w:space="0"/>
              <w:right w:val="single" w:color="auto" w:sz="4" w:space="0"/>
            </w:tcBorders>
            <w:vAlign w:val="center"/>
          </w:tcPr>
          <w:p w14:paraId="6DBE85DA">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14:paraId="3642CE2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D0107B">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color="auto" w:sz="4" w:space="0"/>
              <w:left w:val="single" w:color="auto" w:sz="4" w:space="0"/>
              <w:bottom w:val="single" w:color="auto" w:sz="4" w:space="0"/>
              <w:right w:val="single" w:color="auto" w:sz="4" w:space="0"/>
            </w:tcBorders>
            <w:vAlign w:val="center"/>
          </w:tcPr>
          <w:p w14:paraId="5D9EDD66">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tc>
      </w:tr>
    </w:tbl>
    <w:p w14:paraId="2E42C23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3F422D1">
      <w:pPr>
        <w:pStyle w:val="2"/>
        <w:snapToGrid w:val="0"/>
        <w:spacing w:before="240" w:beforeLines="0" w:after="240"/>
        <w:rPr>
          <w:rFonts w:ascii="宋体" w:hAnsi="宋体"/>
          <w:szCs w:val="30"/>
        </w:rPr>
      </w:pPr>
      <w:bookmarkStart w:id="5" w:name="_Toc202960193"/>
      <w:r>
        <w:rPr>
          <w:rFonts w:ascii="Times New Roman" w:hAnsi="Times New Roman"/>
          <w:sz w:val="30"/>
        </w:rPr>
        <w:t>三、基金管理人</w:t>
      </w:r>
      <w:bookmarkEnd w:id="5"/>
    </w:p>
    <w:p w14:paraId="272180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14:paraId="006D75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634668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2C5B5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467A9B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7C831D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30908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003A1F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28241A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0BFE5F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66B0B1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22CD63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7D0D1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5" w:type="pct"/>
        <w:tblInd w:w="0" w:type="dxa"/>
        <w:tblLayout w:type="autofit"/>
        <w:tblCellMar>
          <w:top w:w="0" w:type="dxa"/>
          <w:left w:w="0" w:type="dxa"/>
          <w:bottom w:w="0" w:type="dxa"/>
          <w:right w:w="0" w:type="dxa"/>
        </w:tblCellMar>
      </w:tblPr>
      <w:tblGrid>
        <w:gridCol w:w="3930"/>
        <w:gridCol w:w="4749"/>
      </w:tblGrid>
      <w:tr w14:paraId="5975A758">
        <w:tblPrEx>
          <w:tblCellMar>
            <w:top w:w="0" w:type="dxa"/>
            <w:left w:w="0" w:type="dxa"/>
            <w:bottom w:w="0" w:type="dxa"/>
            <w:right w:w="0" w:type="dxa"/>
          </w:tblCellMar>
        </w:tblPrEx>
        <w:trPr>
          <w:cantSplit/>
          <w:trHeight w:val="375" w:hRule="atLeast"/>
        </w:trPr>
        <w:tc>
          <w:tcPr>
            <w:tcW w:w="2264" w:type="pct"/>
            <w:tcBorders>
              <w:top w:val="single" w:color="auto" w:sz="4" w:space="0"/>
              <w:left w:val="single" w:color="auto" w:sz="4" w:space="0"/>
              <w:bottom w:val="single" w:color="auto" w:sz="4" w:space="0"/>
              <w:right w:val="single" w:color="auto" w:sz="4" w:space="0"/>
            </w:tcBorders>
            <w:vAlign w:val="center"/>
          </w:tcPr>
          <w:p w14:paraId="2F75AD6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2735" w:type="pct"/>
            <w:tcBorders>
              <w:top w:val="single" w:color="auto" w:sz="4" w:space="0"/>
              <w:left w:val="single" w:color="auto" w:sz="4" w:space="0"/>
              <w:bottom w:val="single" w:color="auto" w:sz="4" w:space="0"/>
              <w:right w:val="single" w:color="auto" w:sz="4" w:space="0"/>
            </w:tcBorders>
            <w:vAlign w:val="center"/>
          </w:tcPr>
          <w:p w14:paraId="45BA38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563F3073">
        <w:tblPrEx>
          <w:tblCellMar>
            <w:top w:w="0" w:type="dxa"/>
            <w:left w:w="0" w:type="dxa"/>
            <w:bottom w:w="0" w:type="dxa"/>
            <w:right w:w="0" w:type="dxa"/>
          </w:tblCellMar>
        </w:tblPrEx>
        <w:trPr>
          <w:cantSplit/>
          <w:trHeight w:val="375" w:hRule="atLeast"/>
        </w:trPr>
        <w:tc>
          <w:tcPr>
            <w:tcW w:w="2264" w:type="pct"/>
            <w:tcBorders>
              <w:top w:val="single" w:color="auto" w:sz="4" w:space="0"/>
              <w:left w:val="single" w:color="auto" w:sz="4" w:space="0"/>
              <w:bottom w:val="single" w:color="auto" w:sz="4" w:space="0"/>
              <w:right w:val="single" w:color="auto" w:sz="4" w:space="0"/>
            </w:tcBorders>
            <w:vAlign w:val="center"/>
          </w:tcPr>
          <w:p w14:paraId="637197A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2735" w:type="pct"/>
            <w:tcBorders>
              <w:top w:val="single" w:color="auto" w:sz="4" w:space="0"/>
              <w:left w:val="single" w:color="auto" w:sz="4" w:space="0"/>
              <w:bottom w:val="single" w:color="auto" w:sz="4" w:space="0"/>
              <w:right w:val="single" w:color="auto" w:sz="4" w:space="0"/>
            </w:tcBorders>
            <w:vAlign w:val="center"/>
          </w:tcPr>
          <w:p w14:paraId="551C45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358DFC51">
        <w:tblPrEx>
          <w:tblCellMar>
            <w:top w:w="0" w:type="dxa"/>
            <w:left w:w="0" w:type="dxa"/>
            <w:bottom w:w="0" w:type="dxa"/>
            <w:right w:w="0" w:type="dxa"/>
          </w:tblCellMar>
        </w:tblPrEx>
        <w:trPr>
          <w:cantSplit/>
          <w:trHeight w:val="375" w:hRule="atLeast"/>
        </w:trPr>
        <w:tc>
          <w:tcPr>
            <w:tcW w:w="2264" w:type="pct"/>
            <w:tcBorders>
              <w:top w:val="single" w:color="auto" w:sz="4" w:space="0"/>
              <w:left w:val="single" w:color="auto" w:sz="4" w:space="0"/>
              <w:bottom w:val="single" w:color="auto" w:sz="4" w:space="0"/>
              <w:right w:val="single" w:color="auto" w:sz="4" w:space="0"/>
            </w:tcBorders>
            <w:vAlign w:val="center"/>
          </w:tcPr>
          <w:p w14:paraId="144418C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2735" w:type="pct"/>
            <w:tcBorders>
              <w:top w:val="single" w:color="auto" w:sz="4" w:space="0"/>
              <w:left w:val="single" w:color="auto" w:sz="4" w:space="0"/>
              <w:bottom w:val="single" w:color="auto" w:sz="4" w:space="0"/>
              <w:right w:val="single" w:color="auto" w:sz="4" w:space="0"/>
            </w:tcBorders>
            <w:vAlign w:val="center"/>
          </w:tcPr>
          <w:p w14:paraId="0B8C58F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63432560">
        <w:tblPrEx>
          <w:tblCellMar>
            <w:top w:w="0" w:type="dxa"/>
            <w:left w:w="0" w:type="dxa"/>
            <w:bottom w:w="0" w:type="dxa"/>
            <w:right w:w="0" w:type="dxa"/>
          </w:tblCellMar>
        </w:tblPrEx>
        <w:trPr>
          <w:cantSplit/>
          <w:trHeight w:val="375" w:hRule="atLeast"/>
        </w:trPr>
        <w:tc>
          <w:tcPr>
            <w:tcW w:w="2264" w:type="pct"/>
            <w:tcBorders>
              <w:top w:val="single" w:color="auto" w:sz="4" w:space="0"/>
              <w:left w:val="single" w:color="auto" w:sz="4" w:space="0"/>
              <w:bottom w:val="single" w:color="auto" w:sz="4" w:space="0"/>
              <w:right w:val="single" w:color="auto" w:sz="4" w:space="0"/>
            </w:tcBorders>
            <w:vAlign w:val="center"/>
          </w:tcPr>
          <w:p w14:paraId="552AD7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2735" w:type="pct"/>
            <w:tcBorders>
              <w:top w:val="single" w:color="auto" w:sz="4" w:space="0"/>
              <w:left w:val="single" w:color="auto" w:sz="4" w:space="0"/>
              <w:bottom w:val="single" w:color="auto" w:sz="4" w:space="0"/>
              <w:right w:val="single" w:color="auto" w:sz="4" w:space="0"/>
            </w:tcBorders>
            <w:vAlign w:val="center"/>
          </w:tcPr>
          <w:p w14:paraId="5E00AF0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020D54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14:paraId="0C8FE492">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1、基金管理人董事会成员</w:t>
      </w:r>
    </w:p>
    <w:p w14:paraId="074060CD">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14:paraId="4BCE4EF2">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14:paraId="44B775C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4D2E214B">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7DC01774">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4D50BBD8">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单锋先生，独立董事，博士。现任南京大学法学教授职务。历任南京大学法学院助教、讲师、副教授。</w:t>
      </w:r>
    </w:p>
    <w:p w14:paraId="2D432D4E">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刘凤元先生，独立董事，博士。现任华东政法大学国际金融法律学院教授，资本市场研究中心主任，兼任多家香港和大陆上市公司（非证券基金经营机构）独立董事。</w:t>
      </w:r>
    </w:p>
    <w:p w14:paraId="052DC90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14:paraId="4885D42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2、基金管理人高级管理人员</w:t>
      </w:r>
    </w:p>
    <w:p w14:paraId="5128C85D">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袁庆伟女士，总经理。简历同上。</w:t>
      </w:r>
    </w:p>
    <w:p w14:paraId="249B7CB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7C0C45A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14:paraId="7DD91B5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6B842A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68C8F0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唐赟先生:基金经理。香港城市大学电子工程硕士，15年证券投资行业从业经验。2008年至2010年担任渣打银行环球企业部助理客户经理，2010年至2012年担任平安资产管理公司信用分析员。2012年加入交银施罗德基金管理有限公司，曾任固定收益研究员、固定收益部基金经理，现任混合资产投资部基金经理。曾任交银施罗德双利债券证券投资基金(2015年11月07日至2023年05月06日)、交银施罗德安心收益债券型证券投资基金(2015年11月07日至2019年12月14日)、交银施罗德裕通纯债债券型证券投资基金(2017年03月31日至2019年10月24日)、交银施罗德荣鑫灵活配置混合型证券投资基金(2019年02月28日至2022年03月11日)、交银施罗德定期支付月月丰债券型证券投资基金(2020年07月14日至2024年12月27日)、交银施罗德增强收益债券型证券投资基金(2020年07月14日至2022年01月18日)、交银施罗德强化回报债券型证券投资基金(2020年07月14日至2023年05月06日)、交银施罗德稳固收益债券型证券投资基金(2020年07月14日至2022年07月08日)的基金经理。现任交银施罗德双轮动债券型证券投资基金(2015年08月04日至今)、交银施罗德信用添利债券证券投资基金（LOF）(2015年08月04日至今)、交银施罗德丰润收益债券型证券投资基金(2025年03月15日至今)的基金经理。</w:t>
      </w:r>
    </w:p>
    <w:p w14:paraId="41262C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14:paraId="3F4599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林洪钧先生(2011年01月27日至2015年05月31日)；</w:t>
      </w:r>
    </w:p>
    <w:p w14:paraId="0A90EE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赵凌琦女士(2015年05月09日至2015年08月28日)。</w:t>
      </w:r>
    </w:p>
    <w:p w14:paraId="3B9C13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0AF141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14:paraId="454841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14:paraId="2B084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14:paraId="20B396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53B404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14:paraId="677F71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14:paraId="0A6D0A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14:paraId="503AFE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14:paraId="701E85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22C12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4172FC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196CD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733D8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1107F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0F76A1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6CEDE5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14:paraId="7D8C62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6DEE55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6DE77D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59A866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14:paraId="35CCDD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14:paraId="6E6C99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41ADC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1E708B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1D8CC6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1D92EF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1F012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14:paraId="1D36E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7C483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18B211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775549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14:paraId="301B3F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5712A2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5CAA1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14:paraId="7EC50A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040158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14:paraId="2834611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1、内部控制的原则</w:t>
      </w:r>
    </w:p>
    <w:p w14:paraId="588C0C7C">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（1）健全性原则</w:t>
      </w:r>
    </w:p>
    <w:p w14:paraId="588D2AB0">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内部控制应当包括公司的各项业务、各个部门或机构和各级人员, 并涵盖到决策、执行、监督、反馈等各个环节。</w:t>
      </w:r>
    </w:p>
    <w:p w14:paraId="62B8961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（2）有效性原则</w:t>
      </w:r>
    </w:p>
    <w:p w14:paraId="23F3C16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通过科学的内控手段和方法，建立合理的内控程序，维护内控制度的有效执行。</w:t>
      </w:r>
    </w:p>
    <w:p w14:paraId="46CB6CC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（3）独立性原则</w:t>
      </w:r>
    </w:p>
    <w:p w14:paraId="507698A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公司各机构、部门和岗位职责应当保持相对独立，除非法律法规另有规定，公司基金资产、自有资产、其他资产的运作应当分离。</w:t>
      </w:r>
    </w:p>
    <w:p w14:paraId="1E503C17">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（4）相互制约原则</w:t>
      </w:r>
    </w:p>
    <w:p w14:paraId="59F7699D">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公司内部部门和岗位的设置应当体现权责分明、相互制衡。</w:t>
      </w:r>
    </w:p>
    <w:p w14:paraId="2B00271C">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（5）成本效益原则</w:t>
      </w:r>
    </w:p>
    <w:p w14:paraId="1AEABFA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公司运用科学化的经营管理方法降低运作成本，提高经济效益，力争以合理的控制成本达到最佳的内部控制效果。</w:t>
      </w:r>
    </w:p>
    <w:p w14:paraId="3ECD5FE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2、风险管理和内部风险控制体系结构</w:t>
      </w:r>
    </w:p>
    <w:p w14:paraId="1BC6473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2BD2E50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（1）董事会</w:t>
      </w:r>
    </w:p>
    <w:p w14:paraId="31C0B301">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负责制定公司风险偏好（含风险容忍度）、风险管理和内部控制政策，审议并通过与公司内部风险管理和合规有关的重大事项。</w:t>
      </w:r>
    </w:p>
    <w:p w14:paraId="7D8D7B82">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（2）合规风险及审计委员会</w:t>
      </w:r>
    </w:p>
    <w:p w14:paraId="2EB5C0E7">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032DA14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（3）风险控制委员会</w:t>
      </w:r>
    </w:p>
    <w:p w14:paraId="25F318FD">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52AE2394">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（4）督察长</w:t>
      </w:r>
    </w:p>
    <w:p w14:paraId="183890A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独立行使督察权利；直接对董事会负责；就内部控制制度和执行情况独立地履行检查、评价、报告、建议职能；定期和不定期地向董事会报告公司内部控制执行情况。</w:t>
      </w:r>
    </w:p>
    <w:p w14:paraId="2DA8734D">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（5）风险管理部</w:t>
      </w:r>
    </w:p>
    <w:p w14:paraId="72669C1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5D0CF801">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（6）审计部</w:t>
      </w:r>
    </w:p>
    <w:p w14:paraId="5A052CDA">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5E2B0E40">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（7）内控合规及法律事务部</w:t>
      </w:r>
    </w:p>
    <w:p w14:paraId="38C9FDA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2A03321D">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（8）业务部门</w:t>
      </w:r>
    </w:p>
    <w:p w14:paraId="0670C1E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74F31C64">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3、风险管理和内部风险控制的措施</w:t>
      </w:r>
    </w:p>
    <w:p w14:paraId="0B0C26CA">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（1）建立内控体系，完善内控制度</w:t>
      </w:r>
    </w:p>
    <w:p w14:paraId="452D6067">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544E7740">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（2）建立相互分离、相互制衡的内控机制</w:t>
      </w:r>
    </w:p>
    <w:p w14:paraId="78267D01">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建立、健全了各项制度，做到基金经理分开，投资决策分开，基金交易集中，形成不同部门、不同岗位之间的制衡机制，从制度上减少和防范风险。</w:t>
      </w:r>
    </w:p>
    <w:p w14:paraId="053BA647">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（3）建立、健全岗位责任制</w:t>
      </w:r>
    </w:p>
    <w:p w14:paraId="2CAD8B2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建立、健全了岗位责任制，使每个员工都明确自己的任务、职责，并及时将各自工作领域中的风险隐患上报，以防范和减少风险。</w:t>
      </w:r>
    </w:p>
    <w:p w14:paraId="7716848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（4）建立风险分类、识别、评估、报告、提示程序</w:t>
      </w:r>
    </w:p>
    <w:p w14:paraId="19AB0C9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61A0059E">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（5）建立有效的内部监控系统</w:t>
      </w:r>
    </w:p>
    <w:p w14:paraId="785D00C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建立了足够、有效的内部监控系统，对可能出现的各种风险进行全面和实时的监控。</w:t>
      </w:r>
    </w:p>
    <w:p w14:paraId="7614343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（6）使用数量化的风险管理手段</w:t>
      </w:r>
    </w:p>
    <w:p w14:paraId="7E14F6C9">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采取数量化、技术化的风险控制手段，建立数量化的风险管理模型，用以提示指数趋势、行业及个</w:t>
      </w:r>
      <w:r>
        <w:rPr>
          <w:rFonts w:hint="eastAsia" w:ascii="宋体" w:hAnsi="宋体"/>
          <w:sz w:val="24"/>
          <w:lang w:val="en-US" w:eastAsia="zh-CN"/>
        </w:rPr>
        <w:t>券</w:t>
      </w:r>
      <w:r>
        <w:rPr>
          <w:rFonts w:hint="eastAsia" w:ascii="宋体" w:hAnsi="宋体"/>
          <w:sz w:val="24"/>
        </w:rPr>
        <w:t>的风险，以便公司及时采取有效的措施，对风险进行分散、控制和规避，尽可能地减少损失。</w:t>
      </w:r>
    </w:p>
    <w:p w14:paraId="2B19975E">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（7）提供足够的培训</w:t>
      </w:r>
    </w:p>
    <w:p w14:paraId="6071020F">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制定了完整的培训计划，为所有员工提供足够和适当的培训，使员工明确其职责所在，控制风险。</w:t>
      </w:r>
    </w:p>
    <w:p w14:paraId="4E14B5D1">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br w:type="page"/>
      </w:r>
    </w:p>
    <w:p w14:paraId="1E10E9C5">
      <w:pPr>
        <w:pStyle w:val="2"/>
        <w:snapToGrid w:val="0"/>
        <w:spacing w:before="240" w:beforeLines="0" w:after="240"/>
        <w:rPr>
          <w:rFonts w:ascii="宋体" w:hAnsi="宋体"/>
          <w:szCs w:val="30"/>
        </w:rPr>
      </w:pPr>
      <w:bookmarkStart w:id="6" w:name="_Toc202960194"/>
      <w:r>
        <w:rPr>
          <w:rFonts w:ascii="Times New Roman" w:hAnsi="Times New Roman"/>
          <w:sz w:val="30"/>
        </w:rPr>
        <w:t>四、基金托管人</w:t>
      </w:r>
      <w:bookmarkEnd w:id="6"/>
    </w:p>
    <w:p w14:paraId="579CC06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（一）基金托管人情况</w:t>
      </w:r>
    </w:p>
    <w:p w14:paraId="604784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14:paraId="2EA878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14:paraId="706198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68D74E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7BFA3D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14:paraId="6650F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14:paraId="01C5AC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14:paraId="33557F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14:paraId="606E82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14:paraId="7FBABF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440EA8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5414DC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0325EB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14:paraId="4ED7B5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w:t>
      </w:r>
      <w:r>
        <w:rPr>
          <w:rFonts w:hint="eastAsia" w:ascii="宋体" w:hAnsi="宋体"/>
          <w:sz w:val="24"/>
          <w:lang w:eastAsia="zh-CN"/>
        </w:rPr>
        <w:t>，</w:t>
      </w:r>
      <w:r>
        <w:rPr>
          <w:rFonts w:ascii="宋体" w:hAnsi="宋体"/>
          <w:sz w:val="24"/>
        </w:rPr>
        <w:t>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14:paraId="776828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14:paraId="071F25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14:paraId="06DBD0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14:paraId="1AE355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14:paraId="5DB189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14:paraId="31DED1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截止到2026年3月31日，中国农业银行托管的封闭式证券投资基金和开放式证券投资基金共1027只。</w:t>
      </w:r>
    </w:p>
    <w:p w14:paraId="7F4C3B8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（二）基金托管人的内部风险控制制度说明</w:t>
      </w:r>
    </w:p>
    <w:p w14:paraId="6874E7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14:paraId="2A1CB3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14:paraId="3CF4EA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14:paraId="27F86E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14:paraId="2E88C1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14:paraId="57DB8D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12D5211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（三）基金托管人对基金管理人运作基金进行监督的方法和程序</w:t>
      </w:r>
    </w:p>
    <w:p w14:paraId="20A29C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14:paraId="0D5573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14:paraId="1AA3EF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14:paraId="7CD9B2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14:paraId="0C6843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14:paraId="1A406A3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526225E">
      <w:pPr>
        <w:pStyle w:val="2"/>
        <w:snapToGrid w:val="0"/>
        <w:spacing w:before="240" w:beforeLines="0" w:after="240"/>
        <w:rPr>
          <w:rFonts w:ascii="宋体" w:hAnsi="宋体"/>
          <w:szCs w:val="30"/>
        </w:rPr>
      </w:pPr>
      <w:bookmarkStart w:id="7" w:name="_Toc202960195"/>
      <w:r>
        <w:rPr>
          <w:rFonts w:ascii="Times New Roman" w:hAnsi="Times New Roman"/>
          <w:sz w:val="30"/>
        </w:rPr>
        <w:t>五、相关服务机构</w:t>
      </w:r>
      <w:bookmarkEnd w:id="7"/>
    </w:p>
    <w:p w14:paraId="03C405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639BB2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5E26C7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14:paraId="2CEE15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4A1797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012C7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05844E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7D1A51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62EC48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52AD8B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1C9D8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574718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25D133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6F7671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w:t>
      </w:r>
      <w:r>
        <w:rPr>
          <w:rFonts w:hint="eastAsia" w:ascii="宋体" w:hAnsi="宋体"/>
          <w:sz w:val="24"/>
        </w:rPr>
        <w:t>A类基金份额</w:t>
      </w:r>
      <w:r>
        <w:rPr>
          <w:rFonts w:ascii="宋体" w:hAnsi="宋体"/>
          <w:sz w:val="24"/>
        </w:rPr>
        <w:t>的申购、赎回、转换及定期定额投资等业务，具体交易细则请参阅本公司网站。</w:t>
      </w:r>
    </w:p>
    <w:p w14:paraId="1BF614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14:paraId="69ECB3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2、场内代销机构</w:t>
      </w:r>
    </w:p>
    <w:p w14:paraId="67F8E4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具有基金代销业务资格的深圳证券交易所会员单位（具体名单可在深圳证券交易所网站查询）。</w:t>
      </w:r>
    </w:p>
    <w:p w14:paraId="38489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3、场外代销机构</w:t>
      </w:r>
    </w:p>
    <w:p w14:paraId="2A6AC6FC">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本基金A类基金份额除直销机构外的其他销售机构：</w:t>
      </w:r>
    </w:p>
    <w:p w14:paraId="5C822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14:paraId="12E88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14:paraId="0E1E56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14:paraId="266975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14:paraId="188D9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14:paraId="3F368F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14:paraId="0C4616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14:paraId="26DF65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14:paraId="5BD999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14:paraId="045F26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（2）名称：华夏银行股份有限公司</w:t>
      </w:r>
    </w:p>
    <w:p w14:paraId="439C4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住所：北京市东城区建国门内大街22号</w:t>
      </w:r>
    </w:p>
    <w:p w14:paraId="035636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办公地址：北京市东城区建国门内大街22号</w:t>
      </w:r>
    </w:p>
    <w:p w14:paraId="528580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法定代表人：李民吉</w:t>
      </w:r>
    </w:p>
    <w:p w14:paraId="177A86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客户服务电话：95577</w:t>
      </w:r>
    </w:p>
    <w:p w14:paraId="56EB63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网址：www.hxb.com.cn</w:t>
      </w:r>
    </w:p>
    <w:p w14:paraId="26138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（3）名称：平安银行股份有限公司</w:t>
      </w:r>
    </w:p>
    <w:p w14:paraId="1127C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14:paraId="79A615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14:paraId="3ECD30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14:paraId="5D0C36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14:paraId="20942B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14:paraId="5FC5C0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14:paraId="7F2732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14:paraId="640B4A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14:paraId="6F6333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（4）名称：北京银行股份有限公司</w:t>
      </w:r>
    </w:p>
    <w:p w14:paraId="3697F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住所：北京市西城区金融大街甲17号首层</w:t>
      </w:r>
    </w:p>
    <w:p w14:paraId="325B20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办公地址：北京市西城区金融大街甲17号首层</w:t>
      </w:r>
    </w:p>
    <w:p w14:paraId="3DA138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法定代表人：张东宁</w:t>
      </w:r>
    </w:p>
    <w:p w14:paraId="1A2F32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传真：（010）66226045</w:t>
      </w:r>
    </w:p>
    <w:p w14:paraId="362338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联系人：孔超</w:t>
      </w:r>
    </w:p>
    <w:p w14:paraId="1D1134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客户服务电话：95526</w:t>
      </w:r>
    </w:p>
    <w:p w14:paraId="183A30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网址：www.bankofbeijing.com.cn</w:t>
      </w:r>
    </w:p>
    <w:p w14:paraId="429707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（5）名称：宁波银行股份有限公司</w:t>
      </w:r>
    </w:p>
    <w:p w14:paraId="58E1F3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69D69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2D5115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3AAAAE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72AE51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6E471E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514F32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05719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（6）名称：中国光大银行股份有限公司</w:t>
      </w:r>
    </w:p>
    <w:p w14:paraId="0836B0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14:paraId="74E77F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14:paraId="7D5C6F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14:paraId="139BAD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14:paraId="646CA8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14:paraId="45CC03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14:paraId="4B79B7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14:paraId="04C347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14:paraId="2B867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（7）名称：中国民生银行股份有限公司</w:t>
      </w:r>
    </w:p>
    <w:p w14:paraId="453839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14:paraId="16C0BA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14:paraId="005877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14:paraId="43E62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14:paraId="0E10B2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14:paraId="75F94B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14:paraId="40E4FA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客户服务电话：95568</w:t>
      </w:r>
    </w:p>
    <w:p w14:paraId="61CE2F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14:paraId="03126D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（8）名称：中国农业银行股份有限公司</w:t>
      </w:r>
    </w:p>
    <w:p w14:paraId="54087B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65056D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60DEAE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14:paraId="4B8FEE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5BC6B7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1F12B0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14:paraId="351B2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14:paraId="2272F3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14:paraId="7B414B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（9）名称：东莞农村商业银行股份有限公司</w:t>
      </w:r>
    </w:p>
    <w:p w14:paraId="31DDA9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14:paraId="029036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14:paraId="5805CF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14:paraId="7EC3DF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14:paraId="588C51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14:paraId="387EAC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14:paraId="05DA13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14:paraId="020708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14:paraId="32B461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（10）名称：中信银行股份有限公司</w:t>
      </w:r>
    </w:p>
    <w:p w14:paraId="0E67EE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14:paraId="409DFE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14:paraId="0A0C96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14:paraId="66B154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14:paraId="69C51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248A0A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14:paraId="592C88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14:paraId="03685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14:paraId="2E5A86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（11）名称：交通银行股份有限公司</w:t>
      </w:r>
    </w:p>
    <w:p w14:paraId="6708ED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0E9823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0510C1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0593CA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5F1C8E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1ACD5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7ACBF3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227AC9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6F5D2C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（12）名称：招商银行股份有限公司</w:t>
      </w:r>
    </w:p>
    <w:p w14:paraId="2C6BAA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14:paraId="1E33C9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14:paraId="5679BA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018732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14:paraId="5BAF66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14:paraId="7372E2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14:paraId="7EFF54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14:paraId="10360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14:paraId="2E646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（13）名称：光大证券股份有限公司</w:t>
      </w:r>
    </w:p>
    <w:p w14:paraId="10C693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14:paraId="090DE2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14:paraId="3334DF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0A9276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14:paraId="21F5A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14:paraId="2E4EB7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14:paraId="44B1FA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客户服务电话：10108998</w:t>
      </w:r>
    </w:p>
    <w:p w14:paraId="55FA82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14:paraId="24F21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（14）名称：中信证券股份有限公司</w:t>
      </w:r>
    </w:p>
    <w:p w14:paraId="5ACA76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14:paraId="7EF34B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14:paraId="4F8252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14:paraId="45F3D5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14:paraId="197EC8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14:paraId="5254D0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14:paraId="00C82A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（15）名称：东北证券股份有限公司</w:t>
      </w:r>
    </w:p>
    <w:p w14:paraId="440958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住所：长春市自由大路1138号</w:t>
      </w:r>
    </w:p>
    <w:p w14:paraId="7FB1D7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办公地址：长春市自由大路1138号</w:t>
      </w:r>
    </w:p>
    <w:p w14:paraId="015036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法定代表人：矫正中</w:t>
      </w:r>
    </w:p>
    <w:p w14:paraId="3BAF51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电话：（0431）85096709</w:t>
      </w:r>
    </w:p>
    <w:p w14:paraId="05E69D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联系人：潘锴</w:t>
      </w:r>
    </w:p>
    <w:p w14:paraId="6998D9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客户服务电话：4006000686，（0431）85096733</w:t>
      </w:r>
    </w:p>
    <w:p w14:paraId="0DF5D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网址：www.nesc.cn</w:t>
      </w:r>
    </w:p>
    <w:p w14:paraId="6DA2E2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（16）名称：华福证券有限责任公司</w:t>
      </w:r>
    </w:p>
    <w:p w14:paraId="5DB14C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住所：福州市五四路157号新天地大厦7、8层</w:t>
      </w:r>
    </w:p>
    <w:p w14:paraId="0FDC85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办公地址：福州市五四路新天地大厦7至10层</w:t>
      </w:r>
    </w:p>
    <w:p w14:paraId="309E28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法定代表人：黄金琳</w:t>
      </w:r>
    </w:p>
    <w:p w14:paraId="26A330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14:paraId="1A9C85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14:paraId="1CB785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14:paraId="71D5B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14:paraId="14BB17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（17）名称：东兴证券股份有限公司</w:t>
      </w:r>
    </w:p>
    <w:p w14:paraId="736FE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14:paraId="03B988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14:paraId="57D37C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14:paraId="3961A6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14:paraId="7A6978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14:paraId="7BA4BC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客户服务电话:400-8888-993</w:t>
      </w:r>
    </w:p>
    <w:p w14:paraId="0D5B71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14:paraId="053415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（18）名称：东方证券股份有限公司</w:t>
      </w:r>
    </w:p>
    <w:p w14:paraId="5E6813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14:paraId="4657BD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14:paraId="322081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14:paraId="1F5E3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14:paraId="6AC4F2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14:paraId="1E4D61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14:paraId="32F6E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14:paraId="6468DE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（19）名称：方正证券股份有限公司</w:t>
      </w:r>
    </w:p>
    <w:p w14:paraId="041B42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14:paraId="5DFB4E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14:paraId="1D0B0D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法定代表人：雷杰</w:t>
      </w:r>
    </w:p>
    <w:p w14:paraId="1AEC99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14:paraId="204963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14:paraId="75BA01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联系人：徐锦福</w:t>
      </w:r>
    </w:p>
    <w:p w14:paraId="0959B4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14:paraId="72A25F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14:paraId="7A880A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（20）名称：中国民族证券有限责任公司</w:t>
      </w:r>
    </w:p>
    <w:p w14:paraId="77892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住所：北京市西城区金融街5号新盛大厦A座6-9层</w:t>
      </w:r>
    </w:p>
    <w:p w14:paraId="35F178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办公地址：北京市西城区金融街5号新盛大厦A座6-9层</w:t>
      </w:r>
    </w:p>
    <w:p w14:paraId="241042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法定代表人：赵大建</w:t>
      </w:r>
    </w:p>
    <w:p w14:paraId="4A13A1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客户服务电话：400-889-5618</w:t>
      </w:r>
    </w:p>
    <w:p w14:paraId="66C132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网址：www.e5618.com</w:t>
      </w:r>
    </w:p>
    <w:p w14:paraId="7E9463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（21）名称：德邦证券股份有限公司</w:t>
      </w:r>
    </w:p>
    <w:p w14:paraId="3235D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14:paraId="29CD2D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14:paraId="177457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14:paraId="1DEEEA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14:paraId="3B4710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14:paraId="549601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14:paraId="3E7F6C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14:paraId="407E55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（22）名称：国投证券股份有限公司</w:t>
      </w:r>
    </w:p>
    <w:p w14:paraId="475FAD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14:paraId="350341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14:paraId="2CE8AD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法定代表人：段文务</w:t>
      </w:r>
    </w:p>
    <w:p w14:paraId="035E2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14:paraId="49F74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14:paraId="761CD3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联系人：陈剑虹</w:t>
      </w:r>
    </w:p>
    <w:p w14:paraId="546E93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14:paraId="0BB25A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网址：http://www.essence.com.cn/</w:t>
      </w:r>
    </w:p>
    <w:p w14:paraId="497A9A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（23）名称：国元证券股份有限公司</w:t>
      </w:r>
    </w:p>
    <w:p w14:paraId="2430E3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14:paraId="7E81E2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14:paraId="4D50C5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14:paraId="076EA9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14:paraId="226A20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14:paraId="370A43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14:paraId="5FFD3C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14:paraId="5C31F9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14:paraId="1223C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（24）名称：中航证券有限公司</w:t>
      </w:r>
    </w:p>
    <w:p w14:paraId="049C7F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14:paraId="784540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14:paraId="14D245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14:paraId="467EAA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14:paraId="50F7AA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14:paraId="655492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14:paraId="614A68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14:paraId="311881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14:paraId="75D01B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（25）名称：中信建投证券股份有限公司</w:t>
      </w:r>
    </w:p>
    <w:p w14:paraId="324DEA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14:paraId="231F61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14:paraId="508FE5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法定代表人：王常青</w:t>
      </w:r>
    </w:p>
    <w:p w14:paraId="492FDC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电话：（010）85130588</w:t>
      </w:r>
    </w:p>
    <w:p w14:paraId="755B87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传真：（010）65182261</w:t>
      </w:r>
    </w:p>
    <w:p w14:paraId="2E4E0F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联系人：魏明</w:t>
      </w:r>
    </w:p>
    <w:p w14:paraId="7546A4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14:paraId="5C0058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14:paraId="715FCD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（26）名称：中原证券股份有限公司</w:t>
      </w:r>
    </w:p>
    <w:p w14:paraId="388975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14:paraId="2C9557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14:paraId="26C41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14:paraId="2260D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14:paraId="7F50E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14:paraId="27AD1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14:paraId="572246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14:paraId="45871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（27）名称：国信证券股份有限公司</w:t>
      </w:r>
    </w:p>
    <w:p w14:paraId="3D5D5A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14:paraId="0496D1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14:paraId="30C889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14:paraId="2CA68B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14:paraId="3DBBB6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14:paraId="43B88F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14:paraId="288B07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14:paraId="00D328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14:paraId="2CC1FB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（28）名称：恒泰证券股份有限公司</w:t>
      </w:r>
    </w:p>
    <w:p w14:paraId="2DC37D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住所：内蒙古呼和浩特市新城区新华东街111号</w:t>
      </w:r>
    </w:p>
    <w:p w14:paraId="3E84A9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办公地址：内蒙古呼和浩特市新城区新华东街111号</w:t>
      </w:r>
    </w:p>
    <w:p w14:paraId="12C36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法定代表人：庞介民</w:t>
      </w:r>
    </w:p>
    <w:p w14:paraId="379C9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电话：（0471）4979037</w:t>
      </w:r>
    </w:p>
    <w:p w14:paraId="5FD3C6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传真：（0471）4961259</w:t>
      </w:r>
    </w:p>
    <w:p w14:paraId="3998D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联系人：王旭华</w:t>
      </w:r>
    </w:p>
    <w:p w14:paraId="1B862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客户服务电话：（0471）4960762，（021）68405273</w:t>
      </w:r>
    </w:p>
    <w:p w14:paraId="05A4BB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14:paraId="7AE361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（29）名称：华泰证券股份有限公司</w:t>
      </w:r>
    </w:p>
    <w:p w14:paraId="159845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14:paraId="562DE9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14:paraId="353D2E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14:paraId="779F17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14:paraId="6F6DD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14:paraId="4E6BD8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联系人：胡子豪</w:t>
      </w:r>
    </w:p>
    <w:p w14:paraId="1378E2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14:paraId="2C94C4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14:paraId="4B93A2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（30）名称：兴业证券股份有限公司</w:t>
      </w:r>
    </w:p>
    <w:p w14:paraId="314AF5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14:paraId="4BB26E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14:paraId="72C4E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14:paraId="0ECCDF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电话：021-38565547</w:t>
      </w:r>
    </w:p>
    <w:p w14:paraId="414F18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14:paraId="213539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网址：www.xyzq.com.cn</w:t>
      </w:r>
    </w:p>
    <w:p w14:paraId="74D3C3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14:paraId="17FC5D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（31）名称：广发证券股份有限公司</w:t>
      </w:r>
    </w:p>
    <w:p w14:paraId="30530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14:paraId="48FD5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14:paraId="35F14B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法定代表人：孙树明</w:t>
      </w:r>
    </w:p>
    <w:p w14:paraId="7DDCAB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14:paraId="2D5197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14:paraId="2854C3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联系人：马梦洁</w:t>
      </w:r>
    </w:p>
    <w:p w14:paraId="6798FA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14:paraId="3F721C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14:paraId="70978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（32）名称：海通证券股份有限公司</w:t>
      </w:r>
    </w:p>
    <w:p w14:paraId="20FD20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14:paraId="4C5FC5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14:paraId="2C9571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14:paraId="0E01C0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14:paraId="1DD9C1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14:paraId="31CCCB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14:paraId="5D5060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14:paraId="029D72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14:paraId="13162D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（33）名称：华龙证券股份有限公司</w:t>
      </w:r>
    </w:p>
    <w:p w14:paraId="48B7CD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14:paraId="58ED93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14:paraId="0058C2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14:paraId="124C3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14:paraId="75E726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14:paraId="333C0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14:paraId="18A96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14:paraId="0D61F5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14:paraId="03727C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（34）名称：长城国瑞证券有限公司</w:t>
      </w:r>
    </w:p>
    <w:p w14:paraId="1812E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住所：厦门市莲前西路2号莲富大厦17楼</w:t>
      </w:r>
    </w:p>
    <w:p w14:paraId="00CB2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办公地址：厦门市莲前西路2号莲富大厦17楼</w:t>
      </w:r>
    </w:p>
    <w:p w14:paraId="2F80B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法定代表人：王勇</w:t>
      </w:r>
    </w:p>
    <w:p w14:paraId="17B8C5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电话：（0592）5161642</w:t>
      </w:r>
    </w:p>
    <w:p w14:paraId="464DEC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传真：（0592）5161640</w:t>
      </w:r>
    </w:p>
    <w:p w14:paraId="58C383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联系人：赵钦</w:t>
      </w:r>
    </w:p>
    <w:p w14:paraId="09BC1C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客户服务电话：（0592）5163588</w:t>
      </w:r>
    </w:p>
    <w:p w14:paraId="2996E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网址：www.xmzq.cn</w:t>
      </w:r>
    </w:p>
    <w:p w14:paraId="021020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（35）名称：中国银河证券股份有限公司</w:t>
      </w:r>
    </w:p>
    <w:p w14:paraId="5AF633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14:paraId="2DBD9C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14:paraId="48DB21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14:paraId="134A6F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14:paraId="42316F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14:paraId="130B71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14:paraId="562A73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14:paraId="56DB9E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（36）名称：申万宏源证券有限公司</w:t>
      </w:r>
    </w:p>
    <w:p w14:paraId="4D05A2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14:paraId="02B68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14:paraId="3141AB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14:paraId="3044B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14:paraId="22BB43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14:paraId="732D89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14:paraId="7ED37E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14:paraId="5C8E23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（37）名称：国都证券股份有限公司</w:t>
      </w:r>
    </w:p>
    <w:p w14:paraId="612D5E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14:paraId="7C4A26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14:paraId="799689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14:paraId="11047B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14:paraId="55DEE9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14:paraId="75971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（38）名称：平安证券股份有限公司</w:t>
      </w:r>
    </w:p>
    <w:p w14:paraId="3286D4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14:paraId="35786A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14:paraId="7907FF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14:paraId="3386F6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14:paraId="2B2960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14:paraId="00C45A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14:paraId="683CD8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14:paraId="4D10F9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14:paraId="542B3D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（39）名称：中信证券（山东）有限责任公司</w:t>
      </w:r>
    </w:p>
    <w:p w14:paraId="11B0E9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14:paraId="7F0B3E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14:paraId="4017DF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法定代表人：姜晓林</w:t>
      </w:r>
    </w:p>
    <w:p w14:paraId="734A54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14:paraId="1BF8F7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14:paraId="5B2080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联系人：焦刚</w:t>
      </w:r>
    </w:p>
    <w:p w14:paraId="522908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14:paraId="7889C4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14:paraId="6472ED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（40）名称：申万宏源西部证券有限公司</w:t>
      </w:r>
    </w:p>
    <w:p w14:paraId="0E94BD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14:paraId="08B02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14:paraId="52A69E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14:paraId="4F2765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14:paraId="61C37B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14:paraId="53EBB8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14:paraId="244432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14:paraId="09ACA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14:paraId="2AEE96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（41）名称：中泰证券股份有限公司</w:t>
      </w:r>
    </w:p>
    <w:p w14:paraId="22A2FF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14:paraId="024614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14:paraId="48FE99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14:paraId="5CBC5E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14:paraId="32BEE1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14:paraId="42E331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14:paraId="1F9638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14:paraId="119CEF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14:paraId="394246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（42）名称：江海证券有限公司</w:t>
      </w:r>
    </w:p>
    <w:p w14:paraId="2421CF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14:paraId="2F584C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14:paraId="29825F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14:paraId="630B34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14:paraId="24438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14:paraId="1C9649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14:paraId="379D2A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14:paraId="04B3F0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（43）名称：中国国际金融股份有限公司</w:t>
      </w:r>
    </w:p>
    <w:p w14:paraId="5A0E06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14:paraId="00AD1E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14:paraId="744A05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14:paraId="613182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14:paraId="5E2D21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14:paraId="42EEE8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14:paraId="55B2AD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14:paraId="17F1E8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（44）名称：瑞银证券有限责任公司</w:t>
      </w:r>
    </w:p>
    <w:p w14:paraId="166540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14:paraId="391E35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14:paraId="285E9E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14:paraId="573562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14:paraId="604911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14:paraId="0FC352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14:paraId="619354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14:paraId="2CA438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14:paraId="524E5F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（45）名称：长城证券有限责任公司</w:t>
      </w:r>
    </w:p>
    <w:p w14:paraId="232283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14:paraId="21B7E5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14:paraId="5205F4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14:paraId="1DDD8A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14:paraId="089FAB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14:paraId="417C68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14:paraId="227CBA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14:paraId="493A28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（46）名称：国金证券股份有限公司</w:t>
      </w:r>
    </w:p>
    <w:p w14:paraId="7FDAB0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14:paraId="07A325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14:paraId="36E1B0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14:paraId="0528B7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14:paraId="30B88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14:paraId="588762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14:paraId="0A07C4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14:paraId="4513D3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14:paraId="16357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（47）名称：渤海证券股份有限公司</w:t>
      </w:r>
    </w:p>
    <w:p w14:paraId="030D6D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14:paraId="3D2891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14:paraId="44EE3C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14:paraId="2CA477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14:paraId="74606E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14:paraId="60D75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14:paraId="7DF374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客户服务电话:956066</w:t>
      </w:r>
    </w:p>
    <w:p w14:paraId="7FBE94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14:paraId="2EF217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（48）名称：信达证券股份有限公司</w:t>
      </w:r>
    </w:p>
    <w:p w14:paraId="4E6A76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14:paraId="059C1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14:paraId="35B312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14:paraId="4899C7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14:paraId="6D1651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14:paraId="5BCE46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14:paraId="6567EF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14:paraId="167701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14:paraId="62ACC6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（49）名称：国新证券股份有限公司</w:t>
      </w:r>
    </w:p>
    <w:p w14:paraId="58174D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14:paraId="47A0D4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14:paraId="7D3BC4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14:paraId="348F30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14:paraId="7925F4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14:paraId="6FFDE2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14:paraId="3D8705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14:paraId="7D4683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14:paraId="758D75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（50）名称：华西证券股份有限公司</w:t>
      </w:r>
    </w:p>
    <w:p w14:paraId="1AB014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2C4952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6C80DA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7E3F04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1071B4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39274F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00F75A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5C4A9A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0B01D2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（51）名称：第一创业证券股份有限公司</w:t>
      </w:r>
    </w:p>
    <w:p w14:paraId="5F7BCC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住所：深圳市罗湖区笋岗路12号中民时代广场B座25、26层</w:t>
      </w:r>
    </w:p>
    <w:p w14:paraId="7065E0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办公地址：深圳市罗湖区笋岗路12号中民时代广场B座25、26层</w:t>
      </w:r>
    </w:p>
    <w:p w14:paraId="6F2252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14:paraId="1F37A4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14:paraId="1DE241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14:paraId="61A975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14:paraId="0C6EE4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14:paraId="5B5A14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14:paraId="62E636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（52）名称：中信证券华南股份有限公司</w:t>
      </w:r>
    </w:p>
    <w:p w14:paraId="5F6E6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14:paraId="77EF6F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14:paraId="3D2ED9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法定代表人：胡伏云</w:t>
      </w:r>
    </w:p>
    <w:p w14:paraId="1632B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14:paraId="760197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14:paraId="6572B7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联系人：陈靖</w:t>
      </w:r>
    </w:p>
    <w:p w14:paraId="36689C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14:paraId="040C5A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14:paraId="12F8A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（53）名称：国泰海通证券股份有限公司</w:t>
      </w:r>
    </w:p>
    <w:p w14:paraId="249A6A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14:paraId="63FE72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14:paraId="14DE11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14:paraId="2E1E37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14:paraId="48C3DA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14:paraId="30E67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联系人：朱雅崴</w:t>
      </w:r>
    </w:p>
    <w:p w14:paraId="0E558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w:t>
      </w:r>
      <w:r>
        <w:rPr>
          <w:rFonts w:hint="eastAsia" w:ascii="宋体" w:hAnsi="宋体"/>
          <w:sz w:val="24"/>
          <w:lang w:eastAsia="zh-CN"/>
        </w:rPr>
        <w:t>：</w:t>
      </w:r>
      <w:r>
        <w:rPr>
          <w:rFonts w:ascii="宋体" w:hAnsi="宋体"/>
          <w:sz w:val="24"/>
        </w:rPr>
        <w:t>95521/4008888666</w:t>
      </w:r>
    </w:p>
    <w:p w14:paraId="12F496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14:paraId="2A155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（54）名称：招商证券股份有限公司</w:t>
      </w:r>
    </w:p>
    <w:p w14:paraId="166BB4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14:paraId="4C58C3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14:paraId="1056F0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14:paraId="246B77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14:paraId="0FF361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14:paraId="287B47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14:paraId="06BFE0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14:paraId="7C3E5E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14:paraId="63F148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（55）名称：长江证券股份有限公司</w:t>
      </w:r>
    </w:p>
    <w:p w14:paraId="3893C0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14:paraId="3BFEF6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14:paraId="2AAA7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14:paraId="787D19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14:paraId="6BF308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14:paraId="56C3CB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14:paraId="1B884B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14:paraId="6905E9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14:paraId="396F3C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（56）名称：爱建证券有限责任公司</w:t>
      </w:r>
    </w:p>
    <w:p w14:paraId="60CD9D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14:paraId="086A04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14:paraId="26895B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14:paraId="55A1A5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14:paraId="52B77D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14:paraId="40632F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14:paraId="07145B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14:paraId="5AFD4A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14:paraId="12B3F5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（57）名称：中国中金财富证券有限公司</w:t>
      </w:r>
    </w:p>
    <w:p w14:paraId="4BDD8E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14:paraId="7D0642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14:paraId="3D49FE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14:paraId="0F008F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14:paraId="3257AD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14:paraId="1C7F9A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14:paraId="62973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14:paraId="24C584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（58）名称：华宝证券股份有限公司</w:t>
      </w:r>
    </w:p>
    <w:p w14:paraId="4EF379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14:paraId="5D3D55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14:paraId="5EB2BB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法定代表人：陈林</w:t>
      </w:r>
    </w:p>
    <w:p w14:paraId="275475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14:paraId="2EE62F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14:paraId="57BE60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14:paraId="6F7D2F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14:paraId="10768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14:paraId="6F8A2F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（59）名称：大同证券有限责任公司</w:t>
      </w:r>
    </w:p>
    <w:p w14:paraId="26DB4B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14:paraId="204FBE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办公地址：太原市长治路111号山西世贸中心A座F12、F13</w:t>
      </w:r>
    </w:p>
    <w:p w14:paraId="7D4D7C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14:paraId="57733D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14:paraId="71331C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14:paraId="16A60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14:paraId="206B6B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14:paraId="1946A1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14:paraId="2C31C0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（60）名称：深圳市新兰德证券投资咨询有限公司</w:t>
      </w:r>
    </w:p>
    <w:p w14:paraId="10EB84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14:paraId="2B9C6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14:paraId="5AA339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14:paraId="37B2AA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14:paraId="041A8A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14:paraId="4739E6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14:paraId="27C18D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14:paraId="2085F7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14:paraId="55447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（61）名称：大连网金基金销售有限公司</w:t>
      </w:r>
    </w:p>
    <w:p w14:paraId="3A53A7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住所：辽宁省大连市沙河口区体坛路22号诺德大厦2层202室</w:t>
      </w:r>
    </w:p>
    <w:p w14:paraId="201E6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办公地址：辽宁省大连市沙河口区体坛路22号诺德大厦2层202室</w:t>
      </w:r>
    </w:p>
    <w:p w14:paraId="769A78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法定代表人：樊怀东</w:t>
      </w:r>
    </w:p>
    <w:p w14:paraId="298C8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14:paraId="3877CB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14:paraId="1C4F79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联系人：于秀</w:t>
      </w:r>
    </w:p>
    <w:p w14:paraId="433148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客户服务电话：4000-899-100</w:t>
      </w:r>
    </w:p>
    <w:p w14:paraId="40053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14:paraId="5E0A7B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（62）名称：阳光人寿保险股份有限公司</w:t>
      </w:r>
    </w:p>
    <w:p w14:paraId="7D2C77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14:paraId="362001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14:paraId="21EA81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14:paraId="5BC03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14:paraId="599982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14:paraId="3157D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14:paraId="45019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14:paraId="6EEF0C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14:paraId="09B984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（63）名称：玄元保险代理有限公司</w:t>
      </w:r>
    </w:p>
    <w:p w14:paraId="3FAABE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14:paraId="7B3AC4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14:paraId="15CC2A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14:paraId="715B26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14:paraId="2CAFAC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14:paraId="109675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14:paraId="55E61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14:paraId="5BF58F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（64）名称：京东肯特瑞基金销售有限公司</w:t>
      </w:r>
    </w:p>
    <w:p w14:paraId="7B86EC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住所：北京市海淀区西三旗建材城中路12号17号平房157</w:t>
      </w:r>
    </w:p>
    <w:p w14:paraId="0E3167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4BF351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4E9D3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729C7F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48219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6ABC5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2D6006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4086F6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（65）名称：上海大智慧基金销售有限公司</w:t>
      </w:r>
    </w:p>
    <w:p w14:paraId="1A3CB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14:paraId="531D86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14:paraId="35D202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14:paraId="361855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14:paraId="66AF90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14:paraId="6639D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14:paraId="05902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14:paraId="4EF905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14:paraId="704664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（66）名称：腾安基金销售（深圳）有限公司</w:t>
      </w:r>
    </w:p>
    <w:p w14:paraId="3E29B8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14:paraId="7F24D5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14:paraId="5DE74B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14:paraId="4BC94D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14:paraId="26BF78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14:paraId="73DB9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14:paraId="30E557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14:paraId="48719F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（67）名称：珠海盈米基金销售有限公司</w:t>
      </w:r>
    </w:p>
    <w:p w14:paraId="40688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198627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2549E7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2CE0D9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76C622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22DDC0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72E3DD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187E79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1024E0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（68）名称：上海华夏财富投资管理有限公司</w:t>
      </w:r>
    </w:p>
    <w:p w14:paraId="7B1919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14:paraId="00B8F8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办公地址：北京市西城区金融大街33号通泰大厦B座8层</w:t>
      </w:r>
    </w:p>
    <w:p w14:paraId="22925F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法定代表人：毛淮平</w:t>
      </w:r>
    </w:p>
    <w:p w14:paraId="636978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14:paraId="048CEE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14:paraId="38F138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联系人：张静怡</w:t>
      </w:r>
    </w:p>
    <w:p w14:paraId="451F5A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14:paraId="1884C2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网址：www.amcfortune.com</w:t>
      </w:r>
    </w:p>
    <w:p w14:paraId="4C282E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（69）名称：北京度小满基金销售有限公司</w:t>
      </w:r>
    </w:p>
    <w:p w14:paraId="42A98F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14:paraId="4CF9A9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14:paraId="4BA3CE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14:paraId="3E72DA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14:paraId="521623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14:paraId="295774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14:paraId="7A3293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14:paraId="103F37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14:paraId="34CBDD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（70）名称：南京苏宁基金销售有限公司</w:t>
      </w:r>
    </w:p>
    <w:p w14:paraId="3D937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14:paraId="6EE3D7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14:paraId="038432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14:paraId="05B2D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14:paraId="3C207C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14:paraId="008C87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14:paraId="06A2DD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14:paraId="065D5F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14:paraId="14DB3F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（71）名称：嘉实财富管理有限公司</w:t>
      </w:r>
    </w:p>
    <w:p w14:paraId="5C858E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44DE0F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1D79E6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法定代表人:张峰</w:t>
      </w:r>
    </w:p>
    <w:p w14:paraId="760CE2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电话：010-85097302</w:t>
      </w:r>
    </w:p>
    <w:p w14:paraId="6D0A1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2537C1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575FA4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3BB9B0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（72）名称：北京汇成基金销售有限公司</w:t>
      </w:r>
    </w:p>
    <w:p w14:paraId="248CE7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32BA4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24AB27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74DE81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7988FB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4EC9C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4386D5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客户服务电话：400-619-9059</w:t>
      </w:r>
    </w:p>
    <w:p w14:paraId="76F5F3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2F970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（73）名称：上海利得基金销售有限公司</w:t>
      </w:r>
    </w:p>
    <w:p w14:paraId="1C723B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住所：上海浦东新区峨山路91弄61号陆家嘴软件园10号楼12楼</w:t>
      </w:r>
    </w:p>
    <w:p w14:paraId="182CF3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55F521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0577D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765D1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7D0207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联系人：伍豪</w:t>
      </w:r>
    </w:p>
    <w:p w14:paraId="2EEF85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2C966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1DE008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（74）名称：北京虹点基金销售有限公司</w:t>
      </w:r>
    </w:p>
    <w:p w14:paraId="422B1C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14:paraId="2A79A3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14:paraId="6908C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14:paraId="611542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14:paraId="3F8111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14:paraId="23000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14:paraId="360CDF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14:paraId="041A93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14:paraId="0DFD2F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（75）名称：上海陆金所基金销售有限公司</w:t>
      </w:r>
    </w:p>
    <w:p w14:paraId="0F25C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14:paraId="3DE2E0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14:paraId="5E43A1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14:paraId="305F1A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14:paraId="13C85A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14:paraId="47D5CF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14:paraId="25B0D0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14:paraId="5B03D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14:paraId="5AEFD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（76）名称：上海挖财基金销售有限公司</w:t>
      </w:r>
    </w:p>
    <w:p w14:paraId="426E51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14:paraId="360116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14:paraId="61068E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14:paraId="35F77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14:paraId="25986B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14:paraId="523679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14:paraId="659BAF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14:paraId="1ACAAE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14:paraId="092A7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14:paraId="0F8C3B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（77）名称：万家财富基金销售（天津）有限公司</w:t>
      </w:r>
    </w:p>
    <w:p w14:paraId="799C10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14:paraId="66E8E4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14:paraId="4D9ECD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14:paraId="6DFB3E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14:paraId="43FEE0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14:paraId="3C4CD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14:paraId="5155FE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14:paraId="02E512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14:paraId="72220E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（78）名称：上海万得基金销售有限公司</w:t>
      </w:r>
    </w:p>
    <w:p w14:paraId="10F701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361BED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416C5D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法定代表人：宋晓言</w:t>
      </w:r>
    </w:p>
    <w:p w14:paraId="3CC8D4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4F9F8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5DC160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联系人：马烨莹</w:t>
      </w:r>
    </w:p>
    <w:p w14:paraId="29295C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0CDE2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网址：www.520fund.com.cn</w:t>
      </w:r>
    </w:p>
    <w:p w14:paraId="5519A5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（79）名称：格上富信投资顾问有限公司</w:t>
      </w:r>
    </w:p>
    <w:p w14:paraId="25BB9D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14:paraId="0D8B1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14:paraId="3CBA2F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14:paraId="5649C7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14:paraId="0E2079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14:paraId="5ABC0C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6542BC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14:paraId="3FFB50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14:paraId="3499FD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（80）名称：深圳市金斧子基金销售有限公司</w:t>
      </w:r>
    </w:p>
    <w:p w14:paraId="6965E8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14:paraId="14A00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14:paraId="17DA9E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14:paraId="65BC56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14:paraId="2F8FAF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14:paraId="3D9163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14:paraId="4CE996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14:paraId="3ED197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14:paraId="08489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（81）名称：北京雪球基金销售有限公司</w:t>
      </w:r>
    </w:p>
    <w:p w14:paraId="51DEEB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住所：北京市朝阳区创远路34号院6号楼15层1501室</w:t>
      </w:r>
    </w:p>
    <w:p w14:paraId="60D6AB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办公地址：北京市朝阳区创远路34号院融新科技中心C座17层</w:t>
      </w:r>
    </w:p>
    <w:p w14:paraId="72AA7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74699B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386563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4CD9C2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0DC41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012DEB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1BB0F6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（82）名称：北京新浪仓石基金销售有限公司</w:t>
      </w:r>
    </w:p>
    <w:p w14:paraId="539685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14:paraId="183E1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14:paraId="257678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14:paraId="1CF08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14:paraId="640FC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14:paraId="7F1373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14:paraId="6C7EB1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14:paraId="410B29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（83）名称：中证金牛（北京）基金销售有限公司</w:t>
      </w:r>
    </w:p>
    <w:p w14:paraId="309BB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住所：北京市丰台区东管头1号2号楼2-45室</w:t>
      </w:r>
    </w:p>
    <w:p w14:paraId="61B010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办公地址：北京市西城区宣武门外大街甲一号环球财讯中心A座5层</w:t>
      </w:r>
    </w:p>
    <w:p w14:paraId="6BD927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法定代表人：钱昊旻</w:t>
      </w:r>
    </w:p>
    <w:p w14:paraId="5608E3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14:paraId="5766A1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14:paraId="094EE4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联系人：沈晨</w:t>
      </w:r>
    </w:p>
    <w:p w14:paraId="5CC72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14:paraId="095F3F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网址：www.jnlc.com</w:t>
      </w:r>
    </w:p>
    <w:p w14:paraId="226136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（84）名称：上海证达通基金销售有限公司</w:t>
      </w:r>
    </w:p>
    <w:p w14:paraId="2683F4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住所：上海市浦东新区金葵路118号3层B区</w:t>
      </w:r>
    </w:p>
    <w:p w14:paraId="55789D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14:paraId="4035AB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14:paraId="77EDBD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14:paraId="0E5CF7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14:paraId="029248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联系人：潘梦茹</w:t>
      </w:r>
    </w:p>
    <w:p w14:paraId="6D082D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14:paraId="7150C0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14:paraId="6EDF2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（85）名称：北京创金启富基金销售有限公司</w:t>
      </w:r>
    </w:p>
    <w:p w14:paraId="245F73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住所：北京市西城区白纸坊东街2号院6号楼712室</w:t>
      </w:r>
    </w:p>
    <w:p w14:paraId="4300B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办公地址：北京市西城区白纸坊东街2号院6号楼712室</w:t>
      </w:r>
    </w:p>
    <w:p w14:paraId="65C3D4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法定代表人：梁蓉</w:t>
      </w:r>
    </w:p>
    <w:p w14:paraId="74F54D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14:paraId="49BD2E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14:paraId="12479F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联系人：魏素清</w:t>
      </w:r>
    </w:p>
    <w:p w14:paraId="53348B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14:paraId="3C31D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网址：https://www.5irich.com</w:t>
      </w:r>
    </w:p>
    <w:p w14:paraId="44B819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（86）名称：奕丰基金销售有限公司</w:t>
      </w:r>
    </w:p>
    <w:p w14:paraId="55E1E8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2CD3C5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190677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71520B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6A48B7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5FE7D9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119293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1594B3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249ACC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（87）名称：上海天天基金销售有限公司</w:t>
      </w:r>
    </w:p>
    <w:p w14:paraId="02E21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506AEC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47BA20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7D018D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577E17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7442DB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3CC17A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7E070A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0D4D1F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（88）名称：和讯信息科技有限公司</w:t>
      </w:r>
    </w:p>
    <w:p w14:paraId="7B5FFC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14:paraId="677E94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14:paraId="3B742F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14:paraId="30538A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14:paraId="47E012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14:paraId="72F41E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14:paraId="333704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14:paraId="50D4CD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14:paraId="5E2F2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（89）名称：诺亚正行基金销售有限公司</w:t>
      </w:r>
    </w:p>
    <w:p w14:paraId="114C86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10ED44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656B5E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03A6D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291669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1F1AFB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0ED742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36EFF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39021E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（90）名称：上海好买基金销售有限公司</w:t>
      </w:r>
    </w:p>
    <w:p w14:paraId="13AC3B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516003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5A30E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4BB49E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081EC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5F384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6F6912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0CAEC1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（91）名称：上海长量基金销售有限公司</w:t>
      </w:r>
    </w:p>
    <w:p w14:paraId="28939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1F54BB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02C28D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5F07F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274AC6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69E0FC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4D700D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1D4541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207F04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（92）名称：深圳众禄基金销售股份有限公司</w:t>
      </w:r>
    </w:p>
    <w:p w14:paraId="7C1AAB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0C61A1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14D4C5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31A32E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54373A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0F23F2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4713A5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12A58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530D62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（93）名称：蚂蚁（杭州）基金销售有限公司</w:t>
      </w:r>
    </w:p>
    <w:p w14:paraId="0568B3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5952AE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753E31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7BE5C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2E2C9F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42B494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417D84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77EE9B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4B2343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（94）名称：中信期货有限公司</w:t>
      </w:r>
    </w:p>
    <w:p w14:paraId="3F7098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14:paraId="598666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14:paraId="6D54B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14:paraId="3001E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14:paraId="736E6B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14:paraId="5882CF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14:paraId="28ABC3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14:paraId="76C542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14:paraId="08D82D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（95）名称：天相投资顾问有限公司</w:t>
      </w:r>
    </w:p>
    <w:p w14:paraId="6090B4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14:paraId="2852F8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14:paraId="3775CE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14:paraId="0CB7D8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14:paraId="4144CF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14:paraId="3921F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14:paraId="3FB611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14:paraId="3EEF5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14:paraId="6E018B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（96）名称：上海基煜基金销售有限公司</w:t>
      </w:r>
    </w:p>
    <w:p w14:paraId="655ED6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249F74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576231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08E1E1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529DD1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47FBC9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2388B5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1551DF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301D78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（97）名称：浙江同花顺基金销售有限公司</w:t>
      </w:r>
    </w:p>
    <w:p w14:paraId="4D920C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14:paraId="1C3329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14:paraId="73254C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14:paraId="498F77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14:paraId="525496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14:paraId="61E95C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14:paraId="62A44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14:paraId="7C1984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14:paraId="378F45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（98）名称：宜信普泽（北京）基金销售有限公司</w:t>
      </w:r>
    </w:p>
    <w:p w14:paraId="0CEA65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14:paraId="2FF452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14:paraId="17FACE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14:paraId="35F43E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电话：400-6099-200</w:t>
      </w:r>
    </w:p>
    <w:p w14:paraId="1068E0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0E37CE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14:paraId="54502C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14:paraId="4CFB90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14:paraId="5783F3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（99）名称：上海联泰基金销售有限公司</w:t>
      </w:r>
    </w:p>
    <w:p w14:paraId="336AF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6FEB8F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6F06BA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33E3C4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30C709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485475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6EF02D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140BFE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461E10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（100）名称：泛华普益基金销售有限公司</w:t>
      </w:r>
    </w:p>
    <w:p w14:paraId="05A473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01C358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3DF147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2230D7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4410B7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262DC1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6D3C2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3D1EC4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735FD3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（101）名称：北京展恒基金销售股份有限公司</w:t>
      </w:r>
    </w:p>
    <w:p w14:paraId="35D70F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14:paraId="7505E9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14:paraId="146B39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14:paraId="138A3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14:paraId="030C87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14:paraId="73CDA8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联系人：马林</w:t>
      </w:r>
    </w:p>
    <w:p w14:paraId="55F550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14:paraId="6B9A8C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14:paraId="08E0FC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（102）名称：和耕传承基金销售有限公司</w:t>
      </w:r>
    </w:p>
    <w:p w14:paraId="3D2A7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6D314F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15C7F9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27B64E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7F778C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64575F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669FA6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73C562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73B8D3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（103）名称：上海中欧财富基金销售有限公司</w:t>
      </w:r>
    </w:p>
    <w:p w14:paraId="7F55D8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14:paraId="02AE34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14:paraId="4BDB0B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14:paraId="0C20B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14:paraId="4A2D3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14:paraId="6119B7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联系人：刘弘义</w:t>
      </w:r>
    </w:p>
    <w:p w14:paraId="468A27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14:paraId="49DAB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14:paraId="00E9FA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（104）名称：中国人寿保险股份有限公司</w:t>
      </w:r>
    </w:p>
    <w:p w14:paraId="478F38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14:paraId="7E0596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14:paraId="591D1D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14:paraId="1A481D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14:paraId="2A1287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网址：www.e-chinalife.com</w:t>
      </w:r>
    </w:p>
    <w:p w14:paraId="138B7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（105）名称：济安财富（北京）基金销售有限公司</w:t>
      </w:r>
    </w:p>
    <w:p w14:paraId="6B8C78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677A1D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5DABB0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761352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0DEDE9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20AC7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157BA6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0B0077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41B1E4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（106）名称：博时财富基金销售有限公司</w:t>
      </w:r>
    </w:p>
    <w:p w14:paraId="03D752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79082B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43087E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7A73AC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2D35FD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30F3F5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700B05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2D5B8E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24C111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（107）名称：深圳前海微众银行股份有限公司</w:t>
      </w:r>
    </w:p>
    <w:p w14:paraId="0C08BB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14:paraId="1FA617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14:paraId="4A239A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14:paraId="2CB429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14:paraId="5FCB9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14:paraId="6E2D5D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14:paraId="27071C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14:paraId="562E1466">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网址：</w:t>
      </w:r>
      <w:r>
        <w:rPr>
          <w:rFonts w:ascii="宋体" w:hAnsi="宋体"/>
          <w:sz w:val="24"/>
        </w:rPr>
        <w:fldChar w:fldCharType="begin"/>
      </w:r>
      <w:r>
        <w:rPr>
          <w:rFonts w:ascii="宋体" w:hAnsi="宋体"/>
          <w:sz w:val="24"/>
        </w:rPr>
        <w:instrText xml:space="preserve"> HYPERLINK "http://www.webank.com" </w:instrText>
      </w:r>
      <w:r>
        <w:rPr>
          <w:rFonts w:ascii="宋体" w:hAnsi="宋体"/>
          <w:sz w:val="24"/>
        </w:rPr>
        <w:fldChar w:fldCharType="separate"/>
      </w:r>
      <w:r>
        <w:rPr>
          <w:rStyle w:val="17"/>
          <w:rFonts w:ascii="宋体" w:hAnsi="宋体"/>
          <w:sz w:val="24"/>
        </w:rPr>
        <w:t>www.webank.com</w:t>
      </w:r>
      <w:r>
        <w:rPr>
          <w:rFonts w:ascii="宋体" w:hAnsi="宋体"/>
          <w:sz w:val="24"/>
        </w:rPr>
        <w:fldChar w:fldCharType="end"/>
      </w:r>
    </w:p>
    <w:p w14:paraId="7C4B8869">
      <w:pPr>
        <w:autoSpaceDE w:val="0"/>
        <w:autoSpaceDN w:val="0"/>
        <w:adjustRightInd w:val="0"/>
        <w:snapToGrid w:val="0"/>
        <w:spacing w:line="360" w:lineRule="auto"/>
        <w:ind w:firstLine="480" w:firstLineChars="200"/>
        <w:jc w:val="left"/>
        <w:rPr>
          <w:rFonts w:ascii="宋体" w:hAnsi="宋体"/>
          <w:sz w:val="24"/>
        </w:rPr>
      </w:pPr>
      <w:r>
        <w:rPr>
          <w:rFonts w:hint="default" w:ascii="宋体" w:hAnsi="宋体"/>
          <w:sz w:val="24"/>
        </w:rPr>
        <w:t>本基金C类基金份额的销售机构：</w:t>
      </w:r>
    </w:p>
    <w:p w14:paraId="28691923">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rPr>
          <w:rFonts w:ascii="宋体" w:hAnsi="宋体" w:cs="Times New Roman"/>
          <w:i w:val="0"/>
          <w:iCs w:val="0"/>
          <w:caps w:val="0"/>
          <w:spacing w:val="0"/>
          <w:sz w:val="24"/>
          <w:szCs w:val="22"/>
        </w:rPr>
      </w:pPr>
      <w:r>
        <w:rPr>
          <w:rFonts w:hint="default" w:ascii="宋体" w:hAnsi="宋体" w:eastAsia="宋体" w:cs="Times New Roman"/>
          <w:i w:val="0"/>
          <w:iCs w:val="0"/>
          <w:caps w:val="0"/>
          <w:spacing w:val="0"/>
          <w:kern w:val="2"/>
          <w:sz w:val="24"/>
          <w:szCs w:val="22"/>
          <w:lang w:val="en-US" w:eastAsia="zh-CN" w:bidi="ar"/>
        </w:rPr>
        <w:t>（1）上海基煜基金销售有限公司</w:t>
      </w:r>
    </w:p>
    <w:p w14:paraId="0AB12EC5">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rPr>
          <w:rFonts w:hint="default" w:ascii="宋体" w:hAnsi="宋体" w:cs="Times New Roman"/>
          <w:i w:val="0"/>
          <w:iCs w:val="0"/>
          <w:caps w:val="0"/>
          <w:spacing w:val="0"/>
          <w:sz w:val="24"/>
          <w:szCs w:val="22"/>
        </w:rPr>
      </w:pPr>
      <w:r>
        <w:rPr>
          <w:rFonts w:hint="default" w:ascii="宋体" w:hAnsi="宋体" w:eastAsia="宋体" w:cs="Times New Roman"/>
          <w:i w:val="0"/>
          <w:iCs w:val="0"/>
          <w:caps w:val="0"/>
          <w:spacing w:val="0"/>
          <w:kern w:val="2"/>
          <w:sz w:val="24"/>
          <w:szCs w:val="22"/>
          <w:lang w:val="en-US" w:eastAsia="zh-CN" w:bidi="ar"/>
        </w:rPr>
        <w:t>客户服务电话：（021）65370077</w:t>
      </w:r>
    </w:p>
    <w:p w14:paraId="2422FCC0">
      <w:pPr>
        <w:widowControl/>
        <w:autoSpaceDE w:val="0"/>
        <w:autoSpaceDN w:val="0"/>
        <w:adjustRightInd w:val="0"/>
        <w:snapToGrid w:val="0"/>
        <w:spacing w:line="360" w:lineRule="auto"/>
        <w:ind w:firstLine="480" w:firstLineChars="200"/>
        <w:jc w:val="left"/>
        <w:rPr>
          <w:rFonts w:hint="default" w:ascii="宋体" w:hAnsi="宋体" w:eastAsia="宋体"/>
          <w:sz w:val="24"/>
          <w:lang w:val="en-US" w:eastAsia="zh-CN"/>
        </w:rPr>
      </w:pPr>
      <w:r>
        <w:rPr>
          <w:rFonts w:hint="default" w:ascii="宋体" w:hAnsi="宋体" w:eastAsia="宋体" w:cs="Times New Roman"/>
          <w:i w:val="0"/>
          <w:iCs w:val="0"/>
          <w:caps w:val="0"/>
          <w:spacing w:val="0"/>
          <w:kern w:val="2"/>
          <w:sz w:val="24"/>
          <w:szCs w:val="22"/>
          <w:lang w:val="en-US" w:eastAsia="zh-CN" w:bidi="ar"/>
        </w:rPr>
        <w:t>网址：www.fofund.com.cn</w:t>
      </w:r>
    </w:p>
    <w:p w14:paraId="560EA3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14:paraId="31F80A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（二）注册登记机构</w:t>
      </w:r>
    </w:p>
    <w:p w14:paraId="6211BF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14:paraId="2FF1DB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14:paraId="02C487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14:paraId="317931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14:paraId="1ED7CD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14:paraId="503CB6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14:paraId="3F1E4B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14:paraId="4137D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396ADF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14:paraId="650967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14:paraId="60A82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14:paraId="2AEBC2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14:paraId="089E32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14:paraId="21B47D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14:paraId="6E9471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联系人：黎明</w:t>
      </w:r>
    </w:p>
    <w:p w14:paraId="00C117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经办律师：吕红、黎明</w:t>
      </w:r>
    </w:p>
    <w:p w14:paraId="3F368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09490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14:paraId="0D1825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14:paraId="5C7843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14:paraId="38014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14:paraId="4692A0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14:paraId="632CA2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14:paraId="7B1F5F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14:paraId="511228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14:paraId="5260FE8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7B09DD8">
      <w:pPr>
        <w:pStyle w:val="2"/>
        <w:snapToGrid w:val="0"/>
        <w:spacing w:before="240" w:beforeLines="0" w:after="240"/>
        <w:rPr>
          <w:rFonts w:ascii="宋体" w:hAnsi="宋体"/>
          <w:szCs w:val="30"/>
        </w:rPr>
      </w:pPr>
      <w:bookmarkStart w:id="8" w:name="_Toc202960196"/>
      <w:r>
        <w:rPr>
          <w:rFonts w:ascii="Times New Roman" w:hAnsi="Times New Roman"/>
          <w:sz w:val="30"/>
        </w:rPr>
        <w:t>六、基金的募集</w:t>
      </w:r>
      <w:bookmarkEnd w:id="8"/>
    </w:p>
    <w:p w14:paraId="230BF1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本基金由基金管理人依照《基金法》、《运作办法》、基金合同及其他有关规定，并经中国证监会证监许可[2010]1601号文核准募集发售。</w:t>
      </w:r>
    </w:p>
    <w:p w14:paraId="0C85C7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债券型基金。本基金在基金合同生效之日起三年(含三年)的期间内，采取封闭式运作（按照基金合同的约定提前转换基金运作方式的除外），在深圳证券交易所上市交易，封闭期结束后转为上市开放式基金（LOF）。基金存续期间为不定期。</w:t>
      </w:r>
    </w:p>
    <w:p w14:paraId="3D81E0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本基金募集期间基金份额净值为人民币1.00元，按面值发售。</w:t>
      </w:r>
    </w:p>
    <w:p w14:paraId="62B08A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本基金自2011年1月6日至2011年1月21日进行发售。本基金设立募集期共募集1,895,085,749.23份基金份额，有效认购户数为10,403户。</w:t>
      </w:r>
    </w:p>
    <w:p w14:paraId="06811AC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ECB2468">
      <w:pPr>
        <w:pStyle w:val="2"/>
        <w:snapToGrid w:val="0"/>
        <w:spacing w:before="240" w:beforeLines="0" w:after="240"/>
        <w:rPr>
          <w:rFonts w:ascii="宋体" w:hAnsi="宋体"/>
          <w:szCs w:val="30"/>
        </w:rPr>
      </w:pPr>
      <w:bookmarkStart w:id="9" w:name="_Toc202960197"/>
      <w:r>
        <w:rPr>
          <w:rFonts w:ascii="Times New Roman" w:hAnsi="Times New Roman"/>
          <w:sz w:val="30"/>
        </w:rPr>
        <w:t>七、基金合同的生效</w:t>
      </w:r>
      <w:bookmarkEnd w:id="9"/>
    </w:p>
    <w:p w14:paraId="461407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根据有关规定，本基金满足基金合同生效条件，基金合同已于2011年1月27日正式生效。自基金合同生效之日起，本基金管理人正式开始管理本基金。</w:t>
      </w:r>
    </w:p>
    <w:p w14:paraId="3EB002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p w14:paraId="0640A91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E7C1A00">
      <w:pPr>
        <w:pStyle w:val="2"/>
        <w:snapToGrid w:val="0"/>
        <w:spacing w:before="240" w:beforeLines="0" w:after="240"/>
        <w:rPr>
          <w:rFonts w:ascii="宋体" w:hAnsi="宋体"/>
          <w:szCs w:val="30"/>
        </w:rPr>
      </w:pPr>
      <w:bookmarkStart w:id="10" w:name="_Toc202960198"/>
      <w:r>
        <w:rPr>
          <w:rFonts w:ascii="Times New Roman" w:hAnsi="Times New Roman"/>
          <w:sz w:val="30"/>
        </w:rPr>
        <w:t>八、基金份额的上市交易</w:t>
      </w:r>
      <w:bookmarkEnd w:id="10"/>
    </w:p>
    <w:p w14:paraId="2DAA266A">
      <w:pPr>
        <w:spacing w:line="360" w:lineRule="auto"/>
        <w:ind w:firstLine="480" w:firstLineChars="200"/>
        <w:rPr>
          <w:rFonts w:hint="eastAsia"/>
          <w:bCs/>
          <w:sz w:val="24"/>
        </w:rPr>
      </w:pPr>
      <w:r>
        <w:rPr>
          <w:rFonts w:hint="eastAsia"/>
          <w:bCs/>
          <w:sz w:val="24"/>
        </w:rPr>
        <w:t>如无特别说明，本部分约定仅适用于本基金</w:t>
      </w:r>
      <w:r>
        <w:rPr>
          <w:rFonts w:hint="eastAsia" w:ascii="Times New Roman" w:hAnsi="Times New Roman"/>
          <w:kern w:val="0"/>
          <w:sz w:val="24"/>
          <w:lang w:val="en-US" w:eastAsia="zh-CN"/>
        </w:rPr>
        <w:t>A类</w:t>
      </w:r>
      <w:r>
        <w:rPr>
          <w:rFonts w:hint="eastAsia"/>
          <w:bCs/>
          <w:sz w:val="24"/>
        </w:rPr>
        <w:t>基金份额。</w:t>
      </w:r>
    </w:p>
    <w:p w14:paraId="47BD3DF2">
      <w:pPr>
        <w:spacing w:line="360" w:lineRule="auto"/>
        <w:ind w:firstLine="480" w:firstLineChars="200"/>
        <w:rPr>
          <w:rFonts w:hint="eastAsia"/>
          <w:bCs/>
          <w:sz w:val="24"/>
        </w:rPr>
      </w:pPr>
      <w:r>
        <w:rPr>
          <w:rFonts w:hint="eastAsia"/>
          <w:bCs/>
          <w:sz w:val="24"/>
        </w:rPr>
        <w:t>未来，基金管理人在符合法律法规的情况下也可申请本基金</w:t>
      </w:r>
      <w:r>
        <w:rPr>
          <w:rFonts w:hint="eastAsia" w:ascii="Times New Roman" w:hAnsi="Times New Roman"/>
          <w:bCs w:val="0"/>
          <w:kern w:val="0"/>
          <w:sz w:val="24"/>
        </w:rPr>
        <w:t>C</w:t>
      </w:r>
      <w:r>
        <w:rPr>
          <w:rFonts w:hint="eastAsia"/>
          <w:bCs/>
          <w:sz w:val="24"/>
        </w:rPr>
        <w:t>类基金份额的上市交易，基金管理人可根据需要修改基金合同相关内容，但应在实施日前依照《信息披露办法》的有关规定在指定媒介上公告。</w:t>
      </w:r>
    </w:p>
    <w:p w14:paraId="4B9DCF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（一）基金的上市</w:t>
      </w:r>
    </w:p>
    <w:p w14:paraId="14D3B0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根据深圳证券交易所深证上［2011］117号文核准，本基金前端基金份额于2011年4月20日在深圳证券交易所上市交易。投资者在深圳证券交易所各会员单位证券营业部均可参与基金交易。</w:t>
      </w:r>
    </w:p>
    <w:p w14:paraId="559131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基金简称：交银信用添利债券（LOF）</w:t>
      </w:r>
    </w:p>
    <w:p w14:paraId="06E143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基金场内简称：交银添利</w:t>
      </w:r>
    </w:p>
    <w:p w14:paraId="591A31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交易代码：164902</w:t>
      </w:r>
    </w:p>
    <w:p w14:paraId="0F0926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本次上市交易份额：211,820,433.00份（截至：2011年4月13日）</w:t>
      </w:r>
    </w:p>
    <w:p w14:paraId="097733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净值的披露：基金管理人每个估值日对基金资产估值。用于基金信息披露的基金资产净值和基金份额净值由基金管理人负责计算，基金托管人复核。本基金上市交易后，基金管理人于每个工作日交易结束后将经过基金托管人复核的基金份额净值传送给深圳证券交易所，深圳证券交易所于下个工作日通过行情系统揭示。</w:t>
      </w:r>
    </w:p>
    <w:p w14:paraId="2C52DB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上市交易份额的流通规定：本基金后端基金份额和前端未上市交易的份额登记在中国证券登记结算有限责任公司开放式基金注册登记系统基金份额持有人开放式基金账户下，前端基金份额持有人将其转托管至深圳证券交易所场内（即中国证券登记结算有限责任公司深圳分公司证券登记结算系统）后即可上市流通。本基金后端基金份额未开通上市交易业务和场内申购赎回业务。</w:t>
      </w:r>
    </w:p>
    <w:p w14:paraId="6F637A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上市后，登记在证券登记系统中的基金份额可直接在深圳证券交易所上市交易；登记在基金登记系统中的基金份额通过办理跨系统转托管业务将基金份额转托管至证券登记系统后，方可上市交易（本基金后端基金份额未开通上市交易业务以及场内申购赎回业务，跨系统转托管业务仅适用于前端基金份额，投资人就持有的后端基金份额不能跨系统转托管到场内）。</w:t>
      </w:r>
    </w:p>
    <w:p w14:paraId="3D87F4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（二）上市交易的规则</w:t>
      </w:r>
    </w:p>
    <w:p w14:paraId="497D2D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本基金在深圳证券交易所的上市交易需遵守有关规定，包括但不限于：</w:t>
      </w:r>
    </w:p>
    <w:p w14:paraId="19CE5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1、本基金上市首日的开盘参考价为前一交易日基金份额净值；</w:t>
      </w:r>
    </w:p>
    <w:p w14:paraId="66C5A8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2、本基金实行价格涨跌幅限制，涨跌幅比例限制为10%，自上市首日起实行；</w:t>
      </w:r>
    </w:p>
    <w:p w14:paraId="6C685F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3、本基金买入申报数量为100份或其整数倍；</w:t>
      </w:r>
    </w:p>
    <w:p w14:paraId="2FA069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4、本基金申报价格最小变动单位为0.001元人民币；</w:t>
      </w:r>
    </w:p>
    <w:p w14:paraId="37B6A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5、本基金在深圳证券交易所的上市交易需遵照《深圳证券交易所交易规则》、《深圳证券交易所证券投资基金上市规则》等有关规定。</w:t>
      </w:r>
    </w:p>
    <w:p w14:paraId="6EAEE0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（三）上市交易的费用</w:t>
      </w:r>
    </w:p>
    <w:p w14:paraId="2CCF53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本基金上市交易的费用按照深圳证券交易所有关规定办理。</w:t>
      </w:r>
    </w:p>
    <w:p w14:paraId="5A2F9E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（四）上市交易的行情揭示</w:t>
      </w:r>
    </w:p>
    <w:p w14:paraId="135F0F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本基金在深圳证券交易所挂牌交易，交易行情通过行情发布系统揭示。行情发布系统同时揭示基金前一交易日的基金份额净值。</w:t>
      </w:r>
    </w:p>
    <w:p w14:paraId="49BDD2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（五）暂停上市的情形和处理方式</w:t>
      </w:r>
    </w:p>
    <w:p w14:paraId="25EC1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本基金在深圳证券交易所上市后，发生下列情形之一时</w:t>
      </w:r>
      <w:r>
        <w:rPr>
          <w:rFonts w:hint="eastAsia" w:ascii="宋体" w:hAnsi="宋体"/>
          <w:sz w:val="24"/>
          <w:lang w:eastAsia="zh-CN"/>
        </w:rPr>
        <w:t>，</w:t>
      </w:r>
      <w:r>
        <w:rPr>
          <w:rFonts w:ascii="宋体" w:hAnsi="宋体"/>
          <w:sz w:val="24"/>
        </w:rPr>
        <w:t>深圳证券交易所可暂停本基金的上市交易：</w:t>
      </w:r>
    </w:p>
    <w:p w14:paraId="61C05E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1、不再具备深圳证券交易所规定的上市条件；</w:t>
      </w:r>
    </w:p>
    <w:p w14:paraId="748D86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2、违反国家有关法律、法规，中国证监会决定暂停其上市；</w:t>
      </w:r>
    </w:p>
    <w:p w14:paraId="0CB776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3、严重违反《深圳证券交易所证券投资基金上市规则》；</w:t>
      </w:r>
    </w:p>
    <w:p w14:paraId="70C2BC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4、深圳证券交易所认为应当暂停上市的其他情形。</w:t>
      </w:r>
    </w:p>
    <w:p w14:paraId="5D09C4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发生上述暂停上市情形时，基金管理人在接到深圳证券交易所通知后，应依法在指定媒介上刊登暂停上市公告。</w:t>
      </w:r>
    </w:p>
    <w:p w14:paraId="3DDB8F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（六）恢复上市的公告</w:t>
      </w:r>
    </w:p>
    <w:p w14:paraId="40A491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暂停上市情形消除后，基金管理人可向深圳证券交易所提出恢复上市申请，经深圳证券交易所核准后，可恢复本基金上市。基金管理人应依法在指定媒介上刊登恢复上市公告。</w:t>
      </w:r>
    </w:p>
    <w:p w14:paraId="4B2C61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（七）终止上市的情形和处理方式</w:t>
      </w:r>
    </w:p>
    <w:p w14:paraId="5908D5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发生下列情况之一时，本基金应终止上市交易：</w:t>
      </w:r>
    </w:p>
    <w:p w14:paraId="6FDB90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1、自暂停上市之日起半年内未能消除暂停上市原因的；</w:t>
      </w:r>
    </w:p>
    <w:p w14:paraId="507419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2、基金份额持有人大会决定终止上市；</w:t>
      </w:r>
    </w:p>
    <w:p w14:paraId="72AB53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3、基金合同约定的终止上市的其他情形；</w:t>
      </w:r>
    </w:p>
    <w:p w14:paraId="6D3C22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4、深圳证券交易所认为应当终止上市的其他情形。</w:t>
      </w:r>
    </w:p>
    <w:p w14:paraId="4D5F90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发生上述终止上市情形时，由证券交易所终止其上市交易，基金管理人报经中国证监会备案后终止本基金的上市，并依法在指定媒介上刊登终止上市公告。</w:t>
      </w:r>
    </w:p>
    <w:p w14:paraId="4DFF7D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（八）上市交易的其他业务规则按照深圳证券交易所的相关业务规则执行。</w:t>
      </w:r>
    </w:p>
    <w:p w14:paraId="749EE0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相关法律法规、中国证监会及深圳证券交易所对基金上市交易的规则等相关规定进行调整的，本基金基金合同相应予以修改，且此项修改无须召开基金份额持有人大会，并在本基金更新的招募说明书中列示。</w:t>
      </w:r>
    </w:p>
    <w:p w14:paraId="2F8135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（十）若深圳证券交易所、中国证券登记结算有限责任公司增加了基金上市交易的新功能，基金管理人可以在履行适当的程序后增加相应功能。</w:t>
      </w:r>
    </w:p>
    <w:p w14:paraId="3031C97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0471A1B">
      <w:pPr>
        <w:pStyle w:val="2"/>
        <w:snapToGrid w:val="0"/>
        <w:spacing w:before="240" w:beforeLines="0" w:after="240"/>
        <w:rPr>
          <w:rFonts w:ascii="宋体" w:hAnsi="宋体"/>
          <w:szCs w:val="30"/>
        </w:rPr>
      </w:pPr>
      <w:bookmarkStart w:id="11" w:name="_Toc202960199"/>
      <w:r>
        <w:rPr>
          <w:rFonts w:ascii="Times New Roman" w:hAnsi="Times New Roman"/>
          <w:sz w:val="30"/>
        </w:rPr>
        <w:t>九、基金份额的申购与赎回</w:t>
      </w:r>
      <w:bookmarkEnd w:id="11"/>
    </w:p>
    <w:p w14:paraId="63584430">
      <w:pPr>
        <w:spacing w:line="360" w:lineRule="auto"/>
        <w:ind w:firstLine="480" w:firstLineChars="200"/>
        <w:rPr>
          <w:rFonts w:hint="eastAsia" w:ascii="宋体" w:hAnsi="宋体"/>
          <w:sz w:val="24"/>
          <w:szCs w:val="18"/>
        </w:rPr>
      </w:pPr>
      <w:r>
        <w:rPr>
          <w:rFonts w:hint="eastAsia" w:ascii="宋体" w:hAnsi="宋体"/>
          <w:sz w:val="24"/>
          <w:szCs w:val="18"/>
        </w:rPr>
        <w:t>投资者可通过场外和场内两种方式申购与赎回A类基金份额；C类基金份额不上市交易，也不开设场内申购、赎回的方式，投资者只能通过场外方式申购与赎回C类基金份额。</w:t>
      </w:r>
    </w:p>
    <w:p w14:paraId="4E660C0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（一）申购和赎回的期间</w:t>
      </w:r>
    </w:p>
    <w:p w14:paraId="46921B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2014年1月28日，本基金转为上市开放式基金（LOF），投资者可进行</w:t>
      </w:r>
      <w:r>
        <w:rPr>
          <w:rFonts w:hint="eastAsia" w:ascii="宋体" w:hAnsi="宋体"/>
          <w:sz w:val="24"/>
          <w:lang w:val="en-US" w:eastAsia="zh-CN"/>
        </w:rPr>
        <w:t>A类</w:t>
      </w:r>
      <w:r>
        <w:rPr>
          <w:rFonts w:ascii="宋体" w:hAnsi="宋体"/>
          <w:sz w:val="24"/>
        </w:rPr>
        <w:t>基金份额的申购与赎回。本基金自即日起开通</w:t>
      </w:r>
      <w:r>
        <w:rPr>
          <w:rFonts w:hint="eastAsia" w:ascii="宋体" w:hAnsi="宋体"/>
          <w:sz w:val="24"/>
          <w:lang w:val="en-US" w:eastAsia="zh-CN"/>
        </w:rPr>
        <w:t>A类</w:t>
      </w:r>
      <w:r>
        <w:rPr>
          <w:rFonts w:ascii="宋体" w:hAnsi="宋体"/>
          <w:sz w:val="24"/>
        </w:rPr>
        <w:t>前端和后端基金份额的申购、赎回业务：投资人申购</w:t>
      </w:r>
      <w:r>
        <w:rPr>
          <w:rFonts w:hint="eastAsia" w:ascii="宋体" w:hAnsi="宋体"/>
          <w:sz w:val="24"/>
          <w:lang w:val="en-US" w:eastAsia="zh-CN"/>
        </w:rPr>
        <w:t>A类</w:t>
      </w:r>
      <w:r>
        <w:rPr>
          <w:rFonts w:ascii="宋体" w:hAnsi="宋体"/>
          <w:sz w:val="24"/>
        </w:rPr>
        <w:t>前端基金份额在申购时支付申购费用，申购</w:t>
      </w:r>
      <w:r>
        <w:rPr>
          <w:rFonts w:hint="eastAsia" w:ascii="宋体" w:hAnsi="宋体"/>
          <w:sz w:val="24"/>
          <w:lang w:val="en-US" w:eastAsia="zh-CN"/>
        </w:rPr>
        <w:t>A类</w:t>
      </w:r>
      <w:r>
        <w:rPr>
          <w:rFonts w:ascii="宋体" w:hAnsi="宋体"/>
          <w:sz w:val="24"/>
        </w:rPr>
        <w:t>后端基金份额在赎回时才支付相应的申购费用。</w:t>
      </w:r>
    </w:p>
    <w:p w14:paraId="61C565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lang w:val="en-US" w:eastAsia="zh-CN"/>
        </w:rPr>
        <w:t>A类</w:t>
      </w:r>
      <w:r>
        <w:rPr>
          <w:rFonts w:ascii="宋体" w:hAnsi="宋体"/>
          <w:sz w:val="24"/>
        </w:rPr>
        <w:t>前端和后端基金份额分别设置基金代码，投资人可自行选择申购的基金份额类别。</w:t>
      </w:r>
    </w:p>
    <w:p w14:paraId="2387103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（二）申购和赎回的场所</w:t>
      </w:r>
    </w:p>
    <w:p w14:paraId="04639B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投资者可以使用开放式基金账户（账户开立的具体事项参见发售公告认购开户的相关内容），通过基金管理人的直销中心及场外代销机构办理本基金</w:t>
      </w:r>
      <w:r>
        <w:rPr>
          <w:rFonts w:hint="eastAsia" w:ascii="Times New Roman" w:hAnsi="Times New Roman"/>
          <w:sz w:val="24"/>
        </w:rPr>
        <w:t>A类</w:t>
      </w:r>
      <w:r>
        <w:rPr>
          <w:rFonts w:ascii="宋体" w:hAnsi="宋体"/>
          <w:sz w:val="24"/>
        </w:rPr>
        <w:t>基金份额</w:t>
      </w:r>
      <w:r>
        <w:rPr>
          <w:rFonts w:hint="eastAsia" w:ascii="Times New Roman" w:hAnsi="Times New Roman"/>
          <w:sz w:val="24"/>
        </w:rPr>
        <w:t>和C类基金份额</w:t>
      </w:r>
      <w:r>
        <w:rPr>
          <w:rFonts w:ascii="宋体" w:hAnsi="宋体"/>
          <w:sz w:val="24"/>
        </w:rPr>
        <w:t>的场外申购和赎回业务。</w:t>
      </w:r>
    </w:p>
    <w:p w14:paraId="28F6DB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基金投资者也可使用深圳证券账户（账户开立的具体事项参见发售公告认购开户的相关内容），通过场内代销机构利用深圳证券交易所交易系统办理本基金</w:t>
      </w:r>
      <w:r>
        <w:rPr>
          <w:rFonts w:hint="eastAsia" w:ascii="宋体" w:hAnsi="宋体"/>
          <w:sz w:val="24"/>
          <w:szCs w:val="18"/>
        </w:rPr>
        <w:t>A类基金份额</w:t>
      </w:r>
      <w:r>
        <w:rPr>
          <w:rFonts w:ascii="宋体" w:hAnsi="宋体"/>
          <w:sz w:val="24"/>
        </w:rPr>
        <w:t>的场内申购和赎回业务。</w:t>
      </w:r>
    </w:p>
    <w:p w14:paraId="5D87D0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投资者可通过下述场所按照规定的方式进行申购或赎回：</w:t>
      </w:r>
    </w:p>
    <w:p w14:paraId="1BA0CF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7B7E40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14:paraId="7A7088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157EEC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FE085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5B328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757DE5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33FA7D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3009F3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1A7E4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3D21F5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个人投资者可以通过本公司网上直销交易平台办理开户、本基金的申购、赎回、转换及定期定额投资等业务，具体交易细则请参阅本公司网站。网上直销交易平台网址：www.fund001.com</w:t>
      </w:r>
    </w:p>
    <w:p w14:paraId="0F330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2、场内代销机构</w:t>
      </w:r>
    </w:p>
    <w:p w14:paraId="69ABA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代销机构为具有基金代销业务资格的深圳证券交易所会员单位（具体名单可在深圳证券交易所网站查询）。目前场内交易只支持前端基金份额的申购和赎回。场内代销机构名单的变动以深圳证券交易所的相关公告为准。</w:t>
      </w:r>
    </w:p>
    <w:p w14:paraId="3D910B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3、场外代销机构</w:t>
      </w:r>
    </w:p>
    <w:p w14:paraId="28D710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14:paraId="58D0F7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14:paraId="4ED9AB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14:paraId="6A8B8B4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（三）申购和赎回的开放日及时间</w:t>
      </w:r>
    </w:p>
    <w:p w14:paraId="3D7C9F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14A97E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在开放日申请办理基金份额的申购和赎回，具体办理时间为上海证券交易所、深圳证券交易所的正常交易日的交易时间，但基金管理人根据法律法规、中国证监会的要求或基金合同的规定公告暂停申购、赎回时除外。</w:t>
      </w:r>
    </w:p>
    <w:p w14:paraId="5979D2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14:paraId="1C348F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2、申购、赎回的开始日及业务办理时间</w:t>
      </w:r>
    </w:p>
    <w:p w14:paraId="58B0B898">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2014年1月28日起本基金转为上市开放式基金(LOF)，投资者自该日起可申购赎回本基金</w:t>
      </w:r>
      <w:r>
        <w:rPr>
          <w:rFonts w:hint="eastAsia" w:ascii="宋体" w:hAnsi="宋体"/>
          <w:sz w:val="24"/>
          <w:lang w:val="en-US" w:eastAsia="zh-CN"/>
        </w:rPr>
        <w:t>A类</w:t>
      </w:r>
      <w:r>
        <w:rPr>
          <w:rFonts w:ascii="宋体" w:hAnsi="宋体"/>
          <w:sz w:val="24"/>
        </w:rPr>
        <w:t>基金份额。</w:t>
      </w:r>
    </w:p>
    <w:p w14:paraId="768E09B9">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本基金C类基金份额于202</w:t>
      </w:r>
      <w:r>
        <w:rPr>
          <w:rFonts w:ascii="宋体" w:hAnsi="宋体"/>
          <w:sz w:val="24"/>
        </w:rPr>
        <w:t>6</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r>
        <w:rPr>
          <w:rFonts w:hint="eastAsia" w:ascii="宋体" w:hAnsi="宋体"/>
          <w:sz w:val="24"/>
          <w:lang w:val="en-US" w:eastAsia="zh-CN"/>
        </w:rPr>
        <w:t>22</w:t>
      </w:r>
      <w:r>
        <w:rPr>
          <w:rFonts w:hint="eastAsia" w:ascii="宋体" w:hAnsi="宋体"/>
          <w:sz w:val="24"/>
        </w:rPr>
        <w:t>日起开放日常申购</w:t>
      </w:r>
      <w:r>
        <w:rPr>
          <w:rFonts w:hint="eastAsia" w:ascii="宋体" w:hAnsi="宋体"/>
          <w:sz w:val="24"/>
          <w:lang w:eastAsia="zh-CN"/>
        </w:rPr>
        <w:t>、</w:t>
      </w:r>
      <w:r>
        <w:rPr>
          <w:rFonts w:hint="eastAsia" w:ascii="宋体" w:hAnsi="宋体"/>
          <w:sz w:val="24"/>
          <w:lang w:val="en-US" w:eastAsia="zh-CN"/>
        </w:rPr>
        <w:t>赎回</w:t>
      </w:r>
      <w:r>
        <w:rPr>
          <w:rFonts w:hint="eastAsia" w:ascii="宋体" w:hAnsi="宋体"/>
          <w:sz w:val="24"/>
        </w:rPr>
        <w:t>业务。</w:t>
      </w:r>
    </w:p>
    <w:p w14:paraId="35293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或者赎回。基金投资者在基金合同约定之外的日期和时间提出申购或者赎回的，其基金份额申购、赎回价格为下次办理基金份额申购、赎回时间所在开放日的价格。</w:t>
      </w:r>
    </w:p>
    <w:p w14:paraId="5C7EA94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（四）申购和赎回的原则</w:t>
      </w:r>
    </w:p>
    <w:p w14:paraId="53B5E2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1、“未知价”原则，即基金份额的申购与赎回价格以申请当日收市后计算的基金份额净值为基准进行计算；</w:t>
      </w:r>
    </w:p>
    <w:p w14:paraId="2D0E8B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2、基金采用金额申购和份额赎回的方式，即申购以金额申请，赎回以份额申请；</w:t>
      </w:r>
    </w:p>
    <w:p w14:paraId="2D785E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者通过深圳证券交易所交易系统办理本基金的场内申购、赎回业务时，需遵守深圳证券交易所及中国证券登记结算有限责任公司的相关业务规则，若相关法律法规、中国证监会、深圳证券交易所或中国证券登记结算有限责任公司对场内申购、赎回业务规则有新的规定</w:t>
      </w:r>
      <w:r>
        <w:rPr>
          <w:rFonts w:hint="eastAsia" w:ascii="宋体" w:hAnsi="宋体"/>
          <w:sz w:val="24"/>
          <w:lang w:eastAsia="zh-CN"/>
        </w:rPr>
        <w:t>，</w:t>
      </w:r>
      <w:r>
        <w:rPr>
          <w:rFonts w:ascii="宋体" w:hAnsi="宋体"/>
          <w:sz w:val="24"/>
        </w:rPr>
        <w:t>将按新规定执行；</w:t>
      </w:r>
    </w:p>
    <w:p w14:paraId="6E72B1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场外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14:paraId="48205E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5、当日的场外申购与赎回申请可以在基金管理人规定的时间以内撤销；当日的场内申购与赎回申请可以在当日交易结束时间前撤销，在当日的交易时间结束后不得撤销；</w:t>
      </w:r>
    </w:p>
    <w:p w14:paraId="6B4C16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6、基金管理人在不损害基金份额持有人权益的情况下可更改上述原则，但最迟应在新的原则实施前依照有关规定在指定媒介上予以公告。</w:t>
      </w:r>
    </w:p>
    <w:p w14:paraId="1128630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（五）申购和赎回的数额限定</w:t>
      </w:r>
    </w:p>
    <w:p w14:paraId="3F5A42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20CBF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场外申购时，场外代销机构网点每个账户单笔申购的最低金额为单笔1元，如果代销机构业务规则规定的最低单笔申购金额高于1元，以代销机构的规定为准。</w:t>
      </w:r>
    </w:p>
    <w:p w14:paraId="05A32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14:paraId="6269C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场内申购时，申购金额的申报单位为1元人民币，每笔申购金额最低为1,000元。</w:t>
      </w:r>
    </w:p>
    <w:p w14:paraId="3AFE24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698F25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份基金份额，同时赎回份额必须是整数份额，且单笔赎回最多不超过99,999,999份基金份额。</w:t>
      </w:r>
    </w:p>
    <w:p w14:paraId="73BDD3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14:paraId="17E0B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场内赎回发生上述情形时，需遵守深圳证券交易所及中国证券登记结算有限责任公司的相关业务规则。</w:t>
      </w:r>
    </w:p>
    <w:p w14:paraId="21C6E0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14:paraId="315BB1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5、基金管理人可以根据市场情况，在法律法规允许的情况下，调整上述规定的数量或比例限制。基金管理人必须在调整前依照有关规定在指定媒介上公告。</w:t>
      </w:r>
    </w:p>
    <w:p w14:paraId="6F2714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6、投资者通过深圳证券交易所交易系统办理本基金的场内申购、赎回业务时，需遵守深圳证券交易所及中国证券登记结算有限责任公司关于申购和赎回数额限定的相关业务规则。</w:t>
      </w:r>
    </w:p>
    <w:p w14:paraId="0D7D855C">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（六）申购和赎回的程序</w:t>
      </w:r>
    </w:p>
    <w:p w14:paraId="46E32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w:t>
      </w:r>
    </w:p>
    <w:p w14:paraId="7A491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基金投资者必须根据销售机构规定的程序，在开放日的具体业务办理时间内提出申购或赎回的申请。</w:t>
      </w:r>
    </w:p>
    <w:p w14:paraId="113353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基金投资者在提交申购申请时须按销售机构规定的方式备足申购资金，基金投资者在提交赎回申请时须持有足够的基金份额余额，否则所提交的申购、赎回申请无效而不予成交。</w:t>
      </w:r>
    </w:p>
    <w:p w14:paraId="7C85E3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14:paraId="72CA79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日规定时间受理的申请，正常情况下，注册登记机构在T+1日内（包括该日）为投资者对该交易的有效性进行确认，基金投资者应在T+2日后（包括该日）到销售网点柜台或以销售机构规定的其他方式及时查询申请的确认情况。</w:t>
      </w:r>
    </w:p>
    <w:p w14:paraId="1B0260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销售机构对申购申请的受理并不代表该申请一定成功，而仅代表销售机构确实接收到申购申请。申购的确认以注册登记机构的确认结果为准。</w:t>
      </w:r>
    </w:p>
    <w:p w14:paraId="389EE9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在法律法规允许的范围内，注册登记机构可根据业务规则，对上述业务办理时间进行调整，本基金管理人将于开始实施前按照有关规定予以公告。</w:t>
      </w:r>
    </w:p>
    <w:p w14:paraId="69C1EF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14:paraId="645B5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申购采用全额缴款方式，若申购资金在规定时间内未全额到账则申购不成功。若申购不成功或无效，基金管理人或基金管理人指定的代销机构将基金投资者已缴付的申购款项本金退还给基金投资者。</w:t>
      </w:r>
    </w:p>
    <w:p w14:paraId="1F4CFD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基金投资者赎回申请成功后，基金管理人将通过注册登记机构及其相关销售机构在T＋7日(包括该日)内将赎回款项划往基金份额持有人银行账户。在发生巨额赎回时，款项的支付办法参照基金合同有关条款处理。</w:t>
      </w:r>
    </w:p>
    <w:p w14:paraId="2497313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（七）申购与赎回的注册登记</w:t>
      </w:r>
    </w:p>
    <w:p w14:paraId="46D83F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1、基金投资者T日申购基金成功后，正常情况下，注册登记机构在T＋1日为基金投资者增加权益并办理注册登记手续，基金投资者自T＋2日（含该日）起有权赎回、转换或转托管该部分基金份额。</w:t>
      </w:r>
    </w:p>
    <w:p w14:paraId="54FACE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2、基金投资者T日赎回基金成功后，正常情况下，注册登记机构在T＋1日为投资者扣除权益并办理相应的注册登记手续。</w:t>
      </w:r>
    </w:p>
    <w:p w14:paraId="50B579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3、在法律法规允许的范围内，注册登记机构可根据业务规则，对上述注册登记办理时间进行调整，本基金管理人将于该调整开始实施前按有关规定予以公告。</w:t>
      </w:r>
    </w:p>
    <w:p w14:paraId="0DAB72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本基金场内申购和赎回的注册与过户登记业务，按照深圳证券交易所及中国证券登记结算有限责任公司的有关规定办理。</w:t>
      </w:r>
    </w:p>
    <w:p w14:paraId="50A2D40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（八）基金的申购费和赎回费</w:t>
      </w:r>
    </w:p>
    <w:p w14:paraId="47CE59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14:paraId="7ECAD109">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本基金基金份额分为A类基金份额和C类基金份额。投资人申购A类基金份额在申购时支付申购费用；申购C类基金份额不支付申购费用。</w:t>
      </w:r>
    </w:p>
    <w:p w14:paraId="5D803B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rPr>
        <w:t>A类基金份额</w:t>
      </w:r>
      <w:r>
        <w:rPr>
          <w:rFonts w:ascii="宋体" w:hAnsi="宋体"/>
          <w:sz w:val="24"/>
        </w:rPr>
        <w:t>的场外申购提供两种申购费用的支付模式。投资者可以选择前端收费模式，即在申购时支付申购费用；也可以选择后端收费模式，即在赎回时才支付相应的申购费用，该费用随基金份额的持有时间递减。场外申购后端收费模式下的基金份额不能转托管至场内进行上市交易。</w:t>
      </w:r>
    </w:p>
    <w:p w14:paraId="083129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rPr>
        <w:t>A类基金份额</w:t>
      </w:r>
      <w:r>
        <w:rPr>
          <w:rFonts w:ascii="宋体" w:hAnsi="宋体"/>
          <w:sz w:val="24"/>
        </w:rPr>
        <w:t>的场内申购只能选择前端收费模式支付申购费用。</w:t>
      </w:r>
    </w:p>
    <w:p w14:paraId="2CE399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rPr>
        <w:t>A类基金份额</w:t>
      </w:r>
      <w:r>
        <w:rPr>
          <w:rFonts w:ascii="宋体" w:hAnsi="宋体"/>
          <w:sz w:val="24"/>
        </w:rPr>
        <w:t>的申购费用由</w:t>
      </w:r>
      <w:r>
        <w:rPr>
          <w:rFonts w:hint="eastAsia" w:ascii="宋体" w:hAnsi="宋体"/>
          <w:sz w:val="24"/>
        </w:rPr>
        <w:t>申购A类基金份额的</w:t>
      </w:r>
      <w:r>
        <w:rPr>
          <w:rFonts w:ascii="宋体" w:hAnsi="宋体"/>
          <w:sz w:val="24"/>
        </w:rPr>
        <w:t>申购人承担，不列入基金财产，主要用于本基金的市场推广、销售、注册登记等各项费用。</w:t>
      </w:r>
    </w:p>
    <w:p w14:paraId="3732EC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投资者可以多次申购本基金，申购费率按每笔申购申请单独计算。</w:t>
      </w:r>
    </w:p>
    <w:p w14:paraId="7E8FA4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rPr>
        <w:t>A类基金份额（非养老金客户）</w:t>
      </w:r>
      <w:r>
        <w:rPr>
          <w:rFonts w:ascii="宋体" w:hAnsi="宋体"/>
          <w:sz w:val="24"/>
        </w:rPr>
        <w:t>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49F13290">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4447C064">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场内、场外前端申购费率</w:t>
            </w:r>
          </w:p>
        </w:tc>
        <w:tc>
          <w:tcPr>
            <w:tcW w:w="750" w:type="pct"/>
            <w:tcBorders>
              <w:top w:val="single" w:color="auto" w:sz="4" w:space="0"/>
              <w:left w:val="single" w:color="auto" w:sz="4" w:space="0"/>
              <w:bottom w:val="single" w:color="auto" w:sz="4" w:space="0"/>
              <w:right w:val="single" w:color="auto" w:sz="4" w:space="0"/>
            </w:tcBorders>
            <w:vAlign w:val="center"/>
          </w:tcPr>
          <w:p w14:paraId="3E18D0B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14:paraId="6135F26D">
            <w:pPr>
              <w:widowControl/>
              <w:snapToGrid w:val="0"/>
              <w:jc w:val="center"/>
              <w:rPr>
                <w:rFonts w:ascii="宋体" w:hAnsi="宋体"/>
                <w:color w:val="000000"/>
                <w:kern w:val="0"/>
                <w:sz w:val="25"/>
                <w:szCs w:val="24"/>
              </w:rPr>
            </w:pPr>
            <w:r>
              <w:rPr>
                <w:rFonts w:hint="eastAsia" w:ascii="宋体" w:hAnsi="宋体"/>
                <w:sz w:val="24"/>
              </w:rPr>
              <w:t>A类基金份额</w:t>
            </w:r>
            <w:r>
              <w:rPr>
                <w:rFonts w:ascii="Times New Roman" w:hAnsi="Times New Roman"/>
                <w:color w:val="000000"/>
                <w:kern w:val="0"/>
                <w:sz w:val="25"/>
                <w:szCs w:val="24"/>
              </w:rPr>
              <w:t>前端申购费率</w:t>
            </w:r>
          </w:p>
        </w:tc>
      </w:tr>
      <w:tr w14:paraId="17CA1117">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22A384D3">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3B24F483">
            <w:pPr>
              <w:widowControl/>
              <w:snapToGrid w:val="0"/>
              <w:jc w:val="center"/>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7B645E23">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14:paraId="1AEE09FA">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5108469F">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6EEC117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3BF7BD1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057BD35B">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563BCA37">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50A55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3B9A7E9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14:paraId="48E6F53B">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0CA8A09A">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657701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61AC696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14:paraId="77300572">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44D95710">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126DAE4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500万元（含）以上</w:t>
            </w:r>
          </w:p>
        </w:tc>
        <w:tc>
          <w:tcPr>
            <w:tcW w:w="750" w:type="pct"/>
            <w:tcBorders>
              <w:top w:val="single" w:color="auto" w:sz="4" w:space="0"/>
              <w:left w:val="single" w:color="auto" w:sz="4" w:space="0"/>
              <w:bottom w:val="single" w:color="auto" w:sz="4" w:space="0"/>
              <w:right w:val="single" w:color="auto" w:sz="4" w:space="0"/>
            </w:tcBorders>
            <w:vAlign w:val="center"/>
          </w:tcPr>
          <w:p w14:paraId="502720A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r w14:paraId="5AA3D19F">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4313E361">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场外后端申购费率</w:t>
            </w:r>
          </w:p>
        </w:tc>
        <w:tc>
          <w:tcPr>
            <w:tcW w:w="750" w:type="pct"/>
            <w:tcBorders>
              <w:top w:val="single" w:color="auto" w:sz="4" w:space="0"/>
              <w:left w:val="single" w:color="auto" w:sz="4" w:space="0"/>
              <w:bottom w:val="single" w:color="auto" w:sz="4" w:space="0"/>
              <w:right w:val="single" w:color="auto" w:sz="4" w:space="0"/>
            </w:tcBorders>
            <w:vAlign w:val="center"/>
          </w:tcPr>
          <w:p w14:paraId="2F445623">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14:paraId="509F563A">
            <w:pPr>
              <w:widowControl/>
              <w:snapToGrid w:val="0"/>
              <w:jc w:val="center"/>
              <w:rPr>
                <w:rFonts w:ascii="宋体" w:hAnsi="宋体"/>
                <w:color w:val="000000"/>
                <w:kern w:val="0"/>
                <w:sz w:val="25"/>
                <w:szCs w:val="24"/>
              </w:rPr>
            </w:pPr>
            <w:r>
              <w:rPr>
                <w:rFonts w:hint="eastAsia" w:ascii="宋体" w:hAnsi="宋体"/>
                <w:sz w:val="24"/>
              </w:rPr>
              <w:t>A类基金份额</w:t>
            </w:r>
            <w:r>
              <w:rPr>
                <w:rFonts w:ascii="Times New Roman" w:hAnsi="Times New Roman"/>
                <w:color w:val="000000"/>
                <w:kern w:val="0"/>
                <w:sz w:val="25"/>
                <w:szCs w:val="24"/>
              </w:rPr>
              <w:t>后端申购费率</w:t>
            </w:r>
          </w:p>
        </w:tc>
      </w:tr>
      <w:tr w14:paraId="6A6BEF45">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26CEAAEF">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4A4EE246">
            <w:pPr>
              <w:widowControl/>
              <w:snapToGrid w:val="0"/>
              <w:jc w:val="center"/>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14:paraId="72A76A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14:paraId="0242F689">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47BC46FB">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E5F2802">
            <w:pPr>
              <w:widowControl/>
              <w:snapToGrid w:val="0"/>
              <w:jc w:val="center"/>
              <w:rPr>
                <w:rFonts w:ascii="宋体" w:hAnsi="宋体"/>
                <w:color w:val="000000"/>
                <w:kern w:val="0"/>
                <w:sz w:val="25"/>
                <w:szCs w:val="24"/>
              </w:rPr>
            </w:pPr>
            <w:r>
              <w:rPr>
                <w:rFonts w:ascii="Times New Roman" w:hAnsi="Times New Roman"/>
                <w:color w:val="000000"/>
                <w:kern w:val="0"/>
                <w:sz w:val="25"/>
                <w:szCs w:val="24"/>
              </w:rPr>
              <w:t>1年—3年（含）</w:t>
            </w:r>
          </w:p>
        </w:tc>
        <w:tc>
          <w:tcPr>
            <w:tcW w:w="750" w:type="pct"/>
            <w:tcBorders>
              <w:top w:val="single" w:color="auto" w:sz="4" w:space="0"/>
              <w:left w:val="single" w:color="auto" w:sz="4" w:space="0"/>
              <w:bottom w:val="single" w:color="auto" w:sz="4" w:space="0"/>
              <w:right w:val="single" w:color="auto" w:sz="4" w:space="0"/>
            </w:tcBorders>
            <w:vAlign w:val="center"/>
          </w:tcPr>
          <w:p w14:paraId="087D0F83">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2D97D17A">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01B3B241">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79DB32AA">
            <w:pPr>
              <w:widowControl/>
              <w:snapToGrid w:val="0"/>
              <w:jc w:val="center"/>
              <w:rPr>
                <w:rFonts w:ascii="宋体" w:hAnsi="宋体"/>
                <w:color w:val="000000"/>
                <w:kern w:val="0"/>
                <w:sz w:val="25"/>
                <w:szCs w:val="24"/>
              </w:rPr>
            </w:pPr>
            <w:r>
              <w:rPr>
                <w:rFonts w:ascii="Times New Roman" w:hAnsi="Times New Roman"/>
                <w:color w:val="000000"/>
                <w:kern w:val="0"/>
                <w:sz w:val="25"/>
                <w:szCs w:val="24"/>
              </w:rPr>
              <w:t>3年—5年（含）</w:t>
            </w:r>
          </w:p>
        </w:tc>
        <w:tc>
          <w:tcPr>
            <w:tcW w:w="750" w:type="pct"/>
            <w:tcBorders>
              <w:top w:val="single" w:color="auto" w:sz="4" w:space="0"/>
              <w:left w:val="single" w:color="auto" w:sz="4" w:space="0"/>
              <w:bottom w:val="single" w:color="auto" w:sz="4" w:space="0"/>
              <w:right w:val="single" w:color="auto" w:sz="4" w:space="0"/>
            </w:tcBorders>
            <w:vAlign w:val="center"/>
          </w:tcPr>
          <w:p w14:paraId="73426CB8">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14:paraId="3D58A4D5">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6F38387D">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3346296E">
            <w:pPr>
              <w:widowControl/>
              <w:snapToGrid w:val="0"/>
              <w:jc w:val="center"/>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14:paraId="3F0F7E18">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5A56A22E">
      <w:pPr>
        <w:autoSpaceDE w:val="0"/>
        <w:autoSpaceDN w:val="0"/>
        <w:adjustRightInd w:val="0"/>
        <w:snapToGrid w:val="0"/>
        <w:spacing w:line="360" w:lineRule="auto"/>
        <w:ind w:firstLine="480" w:firstLineChars="200"/>
        <w:jc w:val="left"/>
        <w:rPr>
          <w:rFonts w:ascii="宋体" w:hAnsi="宋体"/>
          <w:sz w:val="24"/>
          <w:szCs w:val="22"/>
        </w:rPr>
      </w:pPr>
      <w:r>
        <w:rPr>
          <w:rFonts w:ascii="宋体" w:hAnsi="宋体"/>
          <w:sz w:val="24"/>
        </w:rPr>
        <w:t>上表中的“年”指的是365个自然日。</w:t>
      </w:r>
    </w:p>
    <w:p w14:paraId="79DDDC7F">
      <w:pPr>
        <w:autoSpaceDE w:val="0"/>
        <w:autoSpaceDN w:val="0"/>
        <w:adjustRightInd w:val="0"/>
        <w:snapToGrid w:val="0"/>
        <w:spacing w:line="360" w:lineRule="auto"/>
        <w:ind w:firstLine="480" w:firstLineChars="200"/>
        <w:jc w:val="left"/>
        <w:rPr>
          <w:rFonts w:ascii="宋体" w:hAnsi="宋体"/>
          <w:sz w:val="24"/>
          <w:szCs w:val="22"/>
        </w:rPr>
      </w:pPr>
      <w:r>
        <w:rPr>
          <w:rFonts w:hint="eastAsia" w:ascii="宋体" w:hAnsi="宋体"/>
          <w:sz w:val="24"/>
        </w:rPr>
        <w:t>持有A类基金份额的投资人</w:t>
      </w:r>
      <w:r>
        <w:rPr>
          <w:rFonts w:ascii="宋体" w:hAnsi="宋体"/>
          <w:sz w:val="24"/>
        </w:rPr>
        <w:t>因红利自动再投资而产生的</w:t>
      </w:r>
      <w:r>
        <w:rPr>
          <w:rFonts w:hint="eastAsia" w:ascii="宋体" w:hAnsi="宋体"/>
          <w:sz w:val="24"/>
        </w:rPr>
        <w:t>A类</w:t>
      </w:r>
      <w:r>
        <w:rPr>
          <w:rFonts w:ascii="宋体" w:hAnsi="宋体"/>
          <w:sz w:val="24"/>
        </w:rPr>
        <w:t>基金份额，不收取相应的申购费用。</w:t>
      </w:r>
    </w:p>
    <w:p w14:paraId="685F1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自2014年1月28日起本基金对通过基金管理人直销柜台申购</w:t>
      </w:r>
      <w:r>
        <w:rPr>
          <w:rFonts w:hint="eastAsia" w:ascii="宋体" w:hAnsi="宋体"/>
          <w:sz w:val="24"/>
        </w:rPr>
        <w:t>A类</w:t>
      </w:r>
      <w:r>
        <w:rPr>
          <w:rFonts w:ascii="宋体" w:hAnsi="宋体"/>
          <w:sz w:val="24"/>
        </w:rPr>
        <w:t>前端基金份额的养老金客户实施特定申购费率。</w:t>
      </w:r>
    </w:p>
    <w:p w14:paraId="4D165A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14:paraId="226BB7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w:t>
      </w:r>
      <w:r>
        <w:rPr>
          <w:rFonts w:hint="eastAsia" w:ascii="宋体" w:hAnsi="宋体"/>
          <w:sz w:val="24"/>
        </w:rPr>
        <w:t>A类</w:t>
      </w:r>
      <w:r>
        <w:rPr>
          <w:rFonts w:ascii="宋体" w:hAnsi="宋体"/>
          <w:sz w:val="24"/>
        </w:rPr>
        <w:t>前端基金份额的养老金客户特定申购费率如下表：</w:t>
      </w:r>
    </w:p>
    <w:tbl>
      <w:tblPr>
        <w:tblStyle w:val="14"/>
        <w:tblW w:w="5005" w:type="pct"/>
        <w:tblInd w:w="0" w:type="dxa"/>
        <w:tblLayout w:type="autofit"/>
        <w:tblCellMar>
          <w:top w:w="0" w:type="dxa"/>
          <w:left w:w="0" w:type="dxa"/>
          <w:bottom w:w="0" w:type="dxa"/>
          <w:right w:w="0" w:type="dxa"/>
        </w:tblCellMar>
      </w:tblPr>
      <w:tblGrid>
        <w:gridCol w:w="3766"/>
        <w:gridCol w:w="4913"/>
      </w:tblGrid>
      <w:tr w14:paraId="6287FC9D">
        <w:tblPrEx>
          <w:tblCellMar>
            <w:top w:w="0" w:type="dxa"/>
            <w:left w:w="0" w:type="dxa"/>
            <w:bottom w:w="0" w:type="dxa"/>
            <w:right w:w="0" w:type="dxa"/>
          </w:tblCellMar>
        </w:tblPrEx>
        <w:trPr>
          <w:cantSplit/>
          <w:trHeight w:val="375" w:hRule="atLeast"/>
        </w:trPr>
        <w:tc>
          <w:tcPr>
            <w:tcW w:w="2169" w:type="pct"/>
            <w:tcBorders>
              <w:top w:val="single" w:color="auto" w:sz="4" w:space="0"/>
              <w:left w:val="single" w:color="auto" w:sz="4" w:space="0"/>
              <w:bottom w:val="single" w:color="auto" w:sz="4" w:space="0"/>
              <w:right w:val="single" w:color="auto" w:sz="4" w:space="0"/>
            </w:tcBorders>
            <w:vAlign w:val="center"/>
          </w:tcPr>
          <w:p w14:paraId="5C5E2ED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2830" w:type="pct"/>
            <w:tcBorders>
              <w:top w:val="single" w:color="auto" w:sz="4" w:space="0"/>
              <w:left w:val="single" w:color="auto" w:sz="4" w:space="0"/>
              <w:bottom w:val="single" w:color="auto" w:sz="4" w:space="0"/>
              <w:right w:val="single" w:color="auto" w:sz="4" w:space="0"/>
            </w:tcBorders>
            <w:vAlign w:val="center"/>
          </w:tcPr>
          <w:p w14:paraId="389ECAF9">
            <w:pPr>
              <w:widowControl/>
              <w:snapToGrid w:val="0"/>
              <w:jc w:val="center"/>
              <w:rPr>
                <w:rFonts w:ascii="宋体" w:hAnsi="宋体"/>
                <w:color w:val="000000"/>
                <w:kern w:val="0"/>
                <w:sz w:val="25"/>
                <w:szCs w:val="24"/>
              </w:rPr>
            </w:pPr>
            <w:r>
              <w:rPr>
                <w:rFonts w:hint="eastAsia" w:ascii="宋体" w:hAnsi="宋体"/>
                <w:sz w:val="24"/>
              </w:rPr>
              <w:t>A类</w:t>
            </w:r>
            <w:r>
              <w:rPr>
                <w:rFonts w:ascii="Times New Roman" w:hAnsi="Times New Roman"/>
                <w:color w:val="000000"/>
                <w:kern w:val="0"/>
                <w:sz w:val="25"/>
                <w:szCs w:val="24"/>
              </w:rPr>
              <w:t>前端基金份额特定申购费率</w:t>
            </w:r>
          </w:p>
        </w:tc>
      </w:tr>
      <w:tr w14:paraId="10284741">
        <w:tblPrEx>
          <w:tblCellMar>
            <w:top w:w="0" w:type="dxa"/>
            <w:left w:w="0" w:type="dxa"/>
            <w:bottom w:w="0" w:type="dxa"/>
            <w:right w:w="0" w:type="dxa"/>
          </w:tblCellMar>
        </w:tblPrEx>
        <w:trPr>
          <w:cantSplit/>
          <w:trHeight w:val="375" w:hRule="atLeast"/>
        </w:trPr>
        <w:tc>
          <w:tcPr>
            <w:tcW w:w="2169" w:type="pct"/>
            <w:tcBorders>
              <w:top w:val="single" w:color="auto" w:sz="4" w:space="0"/>
              <w:left w:val="single" w:color="auto" w:sz="4" w:space="0"/>
              <w:bottom w:val="single" w:color="auto" w:sz="4" w:space="0"/>
              <w:right w:val="single" w:color="auto" w:sz="4" w:space="0"/>
            </w:tcBorders>
            <w:vAlign w:val="center"/>
          </w:tcPr>
          <w:p w14:paraId="45A56623">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2830" w:type="pct"/>
            <w:tcBorders>
              <w:top w:val="single" w:color="auto" w:sz="4" w:space="0"/>
              <w:left w:val="single" w:color="auto" w:sz="4" w:space="0"/>
              <w:bottom w:val="single" w:color="auto" w:sz="4" w:space="0"/>
              <w:right w:val="single" w:color="auto" w:sz="4" w:space="0"/>
            </w:tcBorders>
            <w:vAlign w:val="center"/>
          </w:tcPr>
          <w:p w14:paraId="5464873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14:paraId="24EA291F">
        <w:tblPrEx>
          <w:tblCellMar>
            <w:top w:w="0" w:type="dxa"/>
            <w:left w:w="0" w:type="dxa"/>
            <w:bottom w:w="0" w:type="dxa"/>
            <w:right w:w="0" w:type="dxa"/>
          </w:tblCellMar>
        </w:tblPrEx>
        <w:trPr>
          <w:cantSplit/>
          <w:trHeight w:val="375" w:hRule="atLeast"/>
        </w:trPr>
        <w:tc>
          <w:tcPr>
            <w:tcW w:w="2169" w:type="pct"/>
            <w:tcBorders>
              <w:top w:val="single" w:color="auto" w:sz="4" w:space="0"/>
              <w:left w:val="single" w:color="auto" w:sz="4" w:space="0"/>
              <w:bottom w:val="single" w:color="auto" w:sz="4" w:space="0"/>
              <w:right w:val="single" w:color="auto" w:sz="4" w:space="0"/>
            </w:tcBorders>
            <w:vAlign w:val="center"/>
          </w:tcPr>
          <w:p w14:paraId="2D6CFB9C">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2830" w:type="pct"/>
            <w:tcBorders>
              <w:top w:val="single" w:color="auto" w:sz="4" w:space="0"/>
              <w:left w:val="single" w:color="auto" w:sz="4" w:space="0"/>
              <w:bottom w:val="single" w:color="auto" w:sz="4" w:space="0"/>
              <w:right w:val="single" w:color="auto" w:sz="4" w:space="0"/>
            </w:tcBorders>
            <w:vAlign w:val="center"/>
          </w:tcPr>
          <w:p w14:paraId="0B7B73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14:paraId="11726B37">
        <w:tblPrEx>
          <w:tblCellMar>
            <w:top w:w="0" w:type="dxa"/>
            <w:left w:w="0" w:type="dxa"/>
            <w:bottom w:w="0" w:type="dxa"/>
            <w:right w:w="0" w:type="dxa"/>
          </w:tblCellMar>
        </w:tblPrEx>
        <w:trPr>
          <w:cantSplit/>
          <w:trHeight w:val="375" w:hRule="atLeast"/>
        </w:trPr>
        <w:tc>
          <w:tcPr>
            <w:tcW w:w="2169" w:type="pct"/>
            <w:tcBorders>
              <w:top w:val="single" w:color="auto" w:sz="4" w:space="0"/>
              <w:left w:val="single" w:color="auto" w:sz="4" w:space="0"/>
              <w:bottom w:val="single" w:color="auto" w:sz="4" w:space="0"/>
              <w:right w:val="single" w:color="auto" w:sz="4" w:space="0"/>
            </w:tcBorders>
            <w:vAlign w:val="center"/>
          </w:tcPr>
          <w:p w14:paraId="1665692F">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2830" w:type="pct"/>
            <w:tcBorders>
              <w:top w:val="single" w:color="auto" w:sz="4" w:space="0"/>
              <w:left w:val="single" w:color="auto" w:sz="4" w:space="0"/>
              <w:bottom w:val="single" w:color="auto" w:sz="4" w:space="0"/>
              <w:right w:val="single" w:color="auto" w:sz="4" w:space="0"/>
            </w:tcBorders>
            <w:vAlign w:val="center"/>
          </w:tcPr>
          <w:p w14:paraId="621644F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14:paraId="2FAD7959">
        <w:tblPrEx>
          <w:tblCellMar>
            <w:top w:w="0" w:type="dxa"/>
            <w:left w:w="0" w:type="dxa"/>
            <w:bottom w:w="0" w:type="dxa"/>
            <w:right w:w="0" w:type="dxa"/>
          </w:tblCellMar>
        </w:tblPrEx>
        <w:trPr>
          <w:cantSplit/>
          <w:trHeight w:val="375" w:hRule="atLeast"/>
        </w:trPr>
        <w:tc>
          <w:tcPr>
            <w:tcW w:w="2169" w:type="pct"/>
            <w:tcBorders>
              <w:top w:val="single" w:color="auto" w:sz="4" w:space="0"/>
              <w:left w:val="single" w:color="auto" w:sz="4" w:space="0"/>
              <w:bottom w:val="single" w:color="auto" w:sz="4" w:space="0"/>
              <w:right w:val="single" w:color="auto" w:sz="4" w:space="0"/>
            </w:tcBorders>
            <w:vAlign w:val="center"/>
          </w:tcPr>
          <w:p w14:paraId="61326250">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2830" w:type="pct"/>
            <w:tcBorders>
              <w:top w:val="single" w:color="auto" w:sz="4" w:space="0"/>
              <w:left w:val="single" w:color="auto" w:sz="4" w:space="0"/>
              <w:bottom w:val="single" w:color="auto" w:sz="4" w:space="0"/>
              <w:right w:val="single" w:color="auto" w:sz="4" w:space="0"/>
            </w:tcBorders>
            <w:vAlign w:val="center"/>
          </w:tcPr>
          <w:p w14:paraId="515E1C7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14:paraId="41C15955">
        <w:tblPrEx>
          <w:tblCellMar>
            <w:top w:w="0" w:type="dxa"/>
            <w:left w:w="0" w:type="dxa"/>
            <w:bottom w:w="0" w:type="dxa"/>
            <w:right w:w="0" w:type="dxa"/>
          </w:tblCellMar>
        </w:tblPrEx>
        <w:trPr>
          <w:cantSplit/>
          <w:trHeight w:val="375" w:hRule="atLeast"/>
        </w:trPr>
        <w:tc>
          <w:tcPr>
            <w:tcW w:w="2169" w:type="pct"/>
            <w:tcBorders>
              <w:top w:val="single" w:color="auto" w:sz="4" w:space="0"/>
              <w:left w:val="single" w:color="auto" w:sz="4" w:space="0"/>
              <w:bottom w:val="single" w:color="auto" w:sz="4" w:space="0"/>
              <w:right w:val="single" w:color="auto" w:sz="4" w:space="0"/>
            </w:tcBorders>
            <w:vAlign w:val="center"/>
          </w:tcPr>
          <w:p w14:paraId="3DA62FF3">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2830" w:type="pct"/>
            <w:tcBorders>
              <w:top w:val="single" w:color="auto" w:sz="4" w:space="0"/>
              <w:left w:val="single" w:color="auto" w:sz="4" w:space="0"/>
              <w:bottom w:val="single" w:color="auto" w:sz="4" w:space="0"/>
              <w:right w:val="single" w:color="auto" w:sz="4" w:space="0"/>
            </w:tcBorders>
            <w:vAlign w:val="center"/>
          </w:tcPr>
          <w:p w14:paraId="3FADB84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53AF9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26E25A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14:paraId="7CA98DA2">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（1）本基金A类基金份额的赎回费率</w:t>
      </w:r>
    </w:p>
    <w:p w14:paraId="39D3EA5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本基金A类基金份额的</w:t>
      </w:r>
      <w:r>
        <w:rPr>
          <w:rFonts w:ascii="宋体" w:hAnsi="宋体"/>
          <w:sz w:val="24"/>
        </w:rPr>
        <w:t>赎回费用由赎回</w:t>
      </w:r>
      <w:r>
        <w:rPr>
          <w:rFonts w:hint="eastAsia" w:ascii="宋体" w:hAnsi="宋体"/>
          <w:sz w:val="24"/>
        </w:rPr>
        <w:t>A类</w:t>
      </w:r>
      <w:r>
        <w:rPr>
          <w:rFonts w:ascii="宋体" w:hAnsi="宋体"/>
          <w:sz w:val="24"/>
        </w:rPr>
        <w:t>基金份额的基金份额持有人承担，赎回费用的25%归基金财产，其余用于支付注册登记费和其他必要的手续费。但对持续持有期少于7日的基金份额持有人收取不低于1.5%的赎回费并全额计入基金财产。</w:t>
      </w:r>
    </w:p>
    <w:p w14:paraId="1EFBD0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rPr>
        <w:t>A类基金份额</w:t>
      </w:r>
      <w:r>
        <w:rPr>
          <w:rFonts w:ascii="宋体" w:hAnsi="宋体"/>
          <w:sz w:val="24"/>
        </w:rPr>
        <w:t>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1A597905">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1ECFDB45">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场外赎回费率</w:t>
            </w:r>
          </w:p>
        </w:tc>
        <w:tc>
          <w:tcPr>
            <w:tcW w:w="750" w:type="pct"/>
            <w:tcBorders>
              <w:top w:val="single" w:color="auto" w:sz="4" w:space="0"/>
              <w:left w:val="single" w:color="auto" w:sz="4" w:space="0"/>
              <w:bottom w:val="single" w:color="auto" w:sz="4" w:space="0"/>
              <w:right w:val="single" w:color="auto" w:sz="4" w:space="0"/>
            </w:tcBorders>
            <w:vAlign w:val="center"/>
          </w:tcPr>
          <w:p w14:paraId="060C59DA">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14:paraId="5F720F05">
            <w:pPr>
              <w:widowControl/>
              <w:snapToGrid w:val="0"/>
              <w:jc w:val="center"/>
              <w:rPr>
                <w:rFonts w:ascii="宋体" w:hAnsi="宋体"/>
                <w:color w:val="000000"/>
                <w:kern w:val="0"/>
                <w:sz w:val="25"/>
                <w:szCs w:val="24"/>
              </w:rPr>
            </w:pPr>
            <w:r>
              <w:rPr>
                <w:rFonts w:hint="eastAsia" w:ascii="宋体" w:hAnsi="宋体"/>
                <w:sz w:val="24"/>
              </w:rPr>
              <w:t>A类基金份额</w:t>
            </w:r>
            <w:r>
              <w:rPr>
                <w:rFonts w:ascii="Times New Roman" w:hAnsi="Times New Roman"/>
                <w:color w:val="000000"/>
                <w:kern w:val="0"/>
                <w:sz w:val="25"/>
                <w:szCs w:val="24"/>
              </w:rPr>
              <w:t>赎回费率</w:t>
            </w:r>
          </w:p>
        </w:tc>
      </w:tr>
      <w:tr w14:paraId="7AB2888C">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1BDADCC3">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DD8A116">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14:paraId="419C66B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14:paraId="6B1A84C8">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464C8B5B">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1AE4A1A9">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14:paraId="7E1B74D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14:paraId="792220F9">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3F649DFC">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1A1BA1FD">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14:paraId="5BC4D6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14:paraId="7707D28E">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54E32B01">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F702E97">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14:paraId="3508049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14:paraId="0EC2D30C">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53596721">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场内前端基金份额赎回费率</w:t>
            </w:r>
          </w:p>
        </w:tc>
        <w:tc>
          <w:tcPr>
            <w:tcW w:w="750" w:type="pct"/>
            <w:tcBorders>
              <w:top w:val="single" w:color="auto" w:sz="4" w:space="0"/>
              <w:left w:val="single" w:color="auto" w:sz="4" w:space="0"/>
              <w:bottom w:val="single" w:color="auto" w:sz="4" w:space="0"/>
              <w:right w:val="single" w:color="auto" w:sz="4" w:space="0"/>
            </w:tcBorders>
            <w:vAlign w:val="center"/>
          </w:tcPr>
          <w:p w14:paraId="30D267B6">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400" w:type="pct"/>
            <w:tcBorders>
              <w:top w:val="single" w:color="auto" w:sz="4" w:space="0"/>
              <w:left w:val="single" w:color="auto" w:sz="4" w:space="0"/>
              <w:bottom w:val="single" w:color="auto" w:sz="4" w:space="0"/>
              <w:right w:val="single" w:color="auto" w:sz="4" w:space="0"/>
            </w:tcBorders>
            <w:vAlign w:val="center"/>
          </w:tcPr>
          <w:p w14:paraId="35B5E06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14:paraId="3C8CC252">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3DE20A5C">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7E891DD2">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14:paraId="1D35524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bl>
    <w:p w14:paraId="5E737A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14:paraId="3AE94A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通过场外认购或场外申购获得的基金份额场外赎回时其持有期限以基金份额实际持有期限为准；通过场内认购、场内申购以及场内买入获得基金份额被转托管至场外并赎回的，其基金份额持有期限自该基金份额转托管至场外之日起开始计算；对于多次实施跨系统转托管并从场外赎回的基金份额，其基金份额持有期限自该基金份额最近一次转托管至场外之日起开始计算。</w:t>
      </w:r>
    </w:p>
    <w:p w14:paraId="6BD8C8B5">
      <w:pPr>
        <w:autoSpaceDE w:val="0"/>
        <w:autoSpaceDN w:val="0"/>
        <w:adjustRightInd w:val="0"/>
        <w:snapToGrid w:val="0"/>
        <w:spacing w:line="360" w:lineRule="auto"/>
        <w:ind w:firstLine="480" w:firstLineChars="200"/>
        <w:jc w:val="left"/>
        <w:rPr>
          <w:rFonts w:hint="default" w:ascii="宋体" w:hAnsi="宋体" w:cs="Times New Roman"/>
          <w:sz w:val="24"/>
        </w:rPr>
      </w:pPr>
      <w:r>
        <w:rPr>
          <w:rFonts w:hint="default" w:ascii="宋体" w:hAnsi="宋体" w:cs="Times New Roman"/>
          <w:sz w:val="24"/>
        </w:rPr>
        <w:t>（2）本基金C类基金份额的赎回费率</w:t>
      </w:r>
    </w:p>
    <w:p w14:paraId="3893E8ED">
      <w:pPr>
        <w:autoSpaceDE w:val="0"/>
        <w:autoSpaceDN w:val="0"/>
        <w:adjustRightInd w:val="0"/>
        <w:snapToGrid w:val="0"/>
        <w:spacing w:line="360" w:lineRule="auto"/>
        <w:ind w:firstLine="480" w:firstLineChars="200"/>
        <w:jc w:val="left"/>
        <w:rPr>
          <w:rFonts w:ascii="宋体" w:hAnsi="宋体" w:cs="Times New Roman"/>
          <w:sz w:val="24"/>
          <w:szCs w:val="22"/>
        </w:rPr>
      </w:pPr>
      <w:r>
        <w:rPr>
          <w:rFonts w:hint="default" w:ascii="宋体" w:hAnsi="宋体" w:cs="Times New Roman"/>
          <w:sz w:val="24"/>
        </w:rPr>
        <w:t>本基金</w:t>
      </w:r>
      <w:r>
        <w:rPr>
          <w:rFonts w:ascii="宋体" w:hAnsi="宋体" w:cs="Times New Roman"/>
          <w:sz w:val="24"/>
        </w:rPr>
        <w:t>C</w:t>
      </w:r>
      <w:r>
        <w:rPr>
          <w:rFonts w:hint="default" w:ascii="宋体" w:hAnsi="宋体" w:cs="Times New Roman"/>
          <w:sz w:val="24"/>
        </w:rPr>
        <w:t>类基金份额的赎回费用由赎回该类基金份额的基金份额持有人承担，在基金份额持有人赎回基金份额时收取</w:t>
      </w:r>
      <w:r>
        <w:rPr>
          <w:rFonts w:hint="default" w:ascii="宋体" w:hAnsi="宋体" w:cs="Times New Roman"/>
          <w:sz w:val="24"/>
          <w:lang w:eastAsia="zh-CN"/>
        </w:rPr>
        <w:t>，</w:t>
      </w:r>
      <w:r>
        <w:rPr>
          <w:rFonts w:hint="default" w:ascii="宋体" w:hAnsi="宋体" w:cs="Times New Roman"/>
          <w:sz w:val="24"/>
        </w:rPr>
        <w:t>赎回费用全额计入基金财产。</w:t>
      </w:r>
    </w:p>
    <w:p w14:paraId="10CDC206">
      <w:pPr>
        <w:autoSpaceDE w:val="0"/>
        <w:autoSpaceDN w:val="0"/>
        <w:adjustRightInd w:val="0"/>
        <w:snapToGrid w:val="0"/>
        <w:spacing w:line="360" w:lineRule="auto"/>
        <w:ind w:firstLine="480" w:firstLineChars="200"/>
        <w:jc w:val="left"/>
        <w:rPr>
          <w:rFonts w:ascii="宋体" w:hAnsi="宋体" w:cs="Times New Roman"/>
          <w:sz w:val="24"/>
          <w:szCs w:val="22"/>
        </w:rPr>
      </w:pPr>
      <w:r>
        <w:rPr>
          <w:rFonts w:hint="default" w:ascii="宋体" w:hAnsi="宋体" w:cs="Times New Roman"/>
          <w:sz w:val="24"/>
          <w:lang w:val="en-US" w:eastAsia="zh-CN"/>
        </w:rPr>
        <w:t>对个人投资者，</w:t>
      </w:r>
      <w:r>
        <w:rPr>
          <w:rFonts w:hint="default" w:ascii="宋体" w:hAnsi="宋体" w:cs="Times New Roman"/>
          <w:sz w:val="24"/>
        </w:rPr>
        <w:t>本基金C类基金份额的赎回费率如下：</w:t>
      </w:r>
    </w:p>
    <w:tbl>
      <w:tblPr>
        <w:tblStyle w:val="14"/>
        <w:tblW w:w="4286" w:type="pct"/>
        <w:tblInd w:w="0" w:type="dxa"/>
        <w:tblLayout w:type="autofit"/>
        <w:tblCellMar>
          <w:top w:w="0" w:type="dxa"/>
          <w:left w:w="0" w:type="dxa"/>
          <w:bottom w:w="0" w:type="dxa"/>
          <w:right w:w="0" w:type="dxa"/>
        </w:tblCellMar>
      </w:tblPr>
      <w:tblGrid>
        <w:gridCol w:w="3716"/>
        <w:gridCol w:w="3716"/>
      </w:tblGrid>
      <w:tr w14:paraId="4D72CC52">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17C436D5">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持有期限</w:t>
            </w:r>
          </w:p>
        </w:tc>
        <w:tc>
          <w:tcPr>
            <w:tcW w:w="2500" w:type="pct"/>
            <w:tcBorders>
              <w:top w:val="single" w:color="auto" w:sz="4" w:space="0"/>
              <w:left w:val="single" w:color="auto" w:sz="4" w:space="0"/>
              <w:bottom w:val="single" w:color="auto" w:sz="4" w:space="0"/>
              <w:right w:val="single" w:color="auto" w:sz="4" w:space="0"/>
            </w:tcBorders>
            <w:vAlign w:val="center"/>
          </w:tcPr>
          <w:p w14:paraId="72EA3AFD">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赎回费率</w:t>
            </w:r>
          </w:p>
        </w:tc>
      </w:tr>
      <w:tr w14:paraId="7F5ECE47">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1326E4B5">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7日以内</w:t>
            </w:r>
          </w:p>
        </w:tc>
        <w:tc>
          <w:tcPr>
            <w:tcW w:w="2500" w:type="pct"/>
            <w:tcBorders>
              <w:top w:val="single" w:color="auto" w:sz="4" w:space="0"/>
              <w:left w:val="single" w:color="auto" w:sz="4" w:space="0"/>
              <w:bottom w:val="single" w:color="auto" w:sz="4" w:space="0"/>
              <w:right w:val="single" w:color="auto" w:sz="4" w:space="0"/>
            </w:tcBorders>
            <w:vAlign w:val="center"/>
          </w:tcPr>
          <w:p w14:paraId="3506AE42">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1.5%</w:t>
            </w:r>
          </w:p>
        </w:tc>
      </w:tr>
      <w:tr w14:paraId="74DA3296">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4833A2B1">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7日以上（含）</w:t>
            </w:r>
          </w:p>
        </w:tc>
        <w:tc>
          <w:tcPr>
            <w:tcW w:w="2500" w:type="pct"/>
            <w:tcBorders>
              <w:top w:val="single" w:color="auto" w:sz="4" w:space="0"/>
              <w:left w:val="single" w:color="auto" w:sz="4" w:space="0"/>
              <w:bottom w:val="single" w:color="auto" w:sz="4" w:space="0"/>
              <w:right w:val="single" w:color="auto" w:sz="4" w:space="0"/>
            </w:tcBorders>
            <w:vAlign w:val="center"/>
          </w:tcPr>
          <w:p w14:paraId="6D143595">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0</w:t>
            </w:r>
          </w:p>
        </w:tc>
      </w:tr>
    </w:tbl>
    <w:p w14:paraId="301EB6FA">
      <w:pPr>
        <w:autoSpaceDE w:val="0"/>
        <w:autoSpaceDN w:val="0"/>
        <w:adjustRightInd w:val="0"/>
        <w:snapToGrid w:val="0"/>
        <w:spacing w:line="360" w:lineRule="auto"/>
        <w:ind w:firstLine="480" w:firstLineChars="200"/>
        <w:jc w:val="left"/>
        <w:rPr>
          <w:rFonts w:ascii="宋体" w:hAnsi="宋体" w:cs="Times New Roman"/>
          <w:sz w:val="24"/>
          <w:szCs w:val="22"/>
        </w:rPr>
      </w:pPr>
      <w:r>
        <w:rPr>
          <w:rFonts w:hint="default" w:ascii="宋体" w:hAnsi="宋体" w:cs="Times New Roman"/>
          <w:sz w:val="24"/>
          <w:lang w:val="en-US" w:eastAsia="zh-CN"/>
        </w:rPr>
        <w:t>对机构投资者，</w:t>
      </w:r>
      <w:r>
        <w:rPr>
          <w:rFonts w:hint="default" w:ascii="宋体" w:hAnsi="宋体" w:cs="Times New Roman"/>
          <w:sz w:val="24"/>
        </w:rPr>
        <w:t>本基金C类基金份额的赎回费率如下：</w:t>
      </w:r>
    </w:p>
    <w:tbl>
      <w:tblPr>
        <w:tblStyle w:val="14"/>
        <w:tblW w:w="4290" w:type="pct"/>
        <w:tblInd w:w="0" w:type="dxa"/>
        <w:tblLayout w:type="autofit"/>
        <w:tblCellMar>
          <w:top w:w="0" w:type="dxa"/>
          <w:left w:w="0" w:type="dxa"/>
          <w:bottom w:w="0" w:type="dxa"/>
          <w:right w:w="0" w:type="dxa"/>
        </w:tblCellMar>
      </w:tblPr>
      <w:tblGrid>
        <w:gridCol w:w="3719"/>
        <w:gridCol w:w="3720"/>
      </w:tblGrid>
      <w:tr w14:paraId="414CA955">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5C0AA5E5">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持有期限</w:t>
            </w:r>
          </w:p>
        </w:tc>
        <w:tc>
          <w:tcPr>
            <w:tcW w:w="2500" w:type="pct"/>
            <w:tcBorders>
              <w:top w:val="single" w:color="auto" w:sz="4" w:space="0"/>
              <w:left w:val="single" w:color="auto" w:sz="4" w:space="0"/>
              <w:bottom w:val="single" w:color="auto" w:sz="4" w:space="0"/>
              <w:right w:val="single" w:color="auto" w:sz="4" w:space="0"/>
            </w:tcBorders>
            <w:vAlign w:val="center"/>
          </w:tcPr>
          <w:p w14:paraId="3F4988A3">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赎回费率</w:t>
            </w:r>
          </w:p>
        </w:tc>
      </w:tr>
      <w:tr w14:paraId="08636835">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57A8906D">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7日以内</w:t>
            </w:r>
          </w:p>
        </w:tc>
        <w:tc>
          <w:tcPr>
            <w:tcW w:w="2500" w:type="pct"/>
            <w:tcBorders>
              <w:top w:val="single" w:color="auto" w:sz="4" w:space="0"/>
              <w:left w:val="single" w:color="auto" w:sz="4" w:space="0"/>
              <w:bottom w:val="single" w:color="auto" w:sz="4" w:space="0"/>
              <w:right w:val="single" w:color="auto" w:sz="4" w:space="0"/>
            </w:tcBorders>
            <w:vAlign w:val="center"/>
          </w:tcPr>
          <w:p w14:paraId="035E090B">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rPr>
              <w:t>1.5%</w:t>
            </w:r>
          </w:p>
        </w:tc>
      </w:tr>
      <w:tr w14:paraId="28096DDD">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656ED983">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lang w:val="en-US" w:eastAsia="zh-CN"/>
              </w:rPr>
              <w:t>7日（含）</w:t>
            </w:r>
            <w:r>
              <w:rPr>
                <w:rFonts w:hint="eastAsia"/>
                <w:sz w:val="24"/>
                <w:szCs w:val="24"/>
              </w:rPr>
              <w:t>—</w:t>
            </w:r>
            <w:r>
              <w:rPr>
                <w:rFonts w:hint="eastAsia" w:ascii="Times New Roman" w:hAnsi="Times New Roman"/>
                <w:color w:val="000000"/>
                <w:kern w:val="0"/>
                <w:sz w:val="25"/>
                <w:szCs w:val="24"/>
                <w:lang w:val="en-US" w:eastAsia="zh-CN"/>
              </w:rPr>
              <w:t>30日</w:t>
            </w:r>
          </w:p>
        </w:tc>
        <w:tc>
          <w:tcPr>
            <w:tcW w:w="2500" w:type="pct"/>
            <w:tcBorders>
              <w:top w:val="single" w:color="auto" w:sz="4" w:space="0"/>
              <w:left w:val="single" w:color="auto" w:sz="4" w:space="0"/>
              <w:bottom w:val="single" w:color="auto" w:sz="4" w:space="0"/>
              <w:right w:val="single" w:color="auto" w:sz="4" w:space="0"/>
            </w:tcBorders>
            <w:vAlign w:val="top"/>
          </w:tcPr>
          <w:p w14:paraId="7A90A745">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lang w:val="en-US" w:eastAsia="zh-CN"/>
              </w:rPr>
              <w:t>1.0%</w:t>
            </w:r>
          </w:p>
        </w:tc>
      </w:tr>
      <w:tr w14:paraId="0DFB1F2C">
        <w:tblPrEx>
          <w:tblCellMar>
            <w:top w:w="0" w:type="dxa"/>
            <w:left w:w="0" w:type="dxa"/>
            <w:bottom w:w="0" w:type="dxa"/>
            <w:right w:w="0" w:type="dxa"/>
          </w:tblCellMar>
        </w:tblPrEx>
        <w:trPr>
          <w:cantSplit/>
          <w:trHeight w:val="375" w:hRule="atLeast"/>
        </w:trPr>
        <w:tc>
          <w:tcPr>
            <w:tcW w:w="2500" w:type="pct"/>
            <w:tcBorders>
              <w:top w:val="single" w:color="auto" w:sz="4" w:space="0"/>
              <w:left w:val="single" w:color="auto" w:sz="4" w:space="0"/>
              <w:bottom w:val="single" w:color="auto" w:sz="4" w:space="0"/>
              <w:right w:val="single" w:color="auto" w:sz="4" w:space="0"/>
            </w:tcBorders>
            <w:vAlign w:val="center"/>
          </w:tcPr>
          <w:p w14:paraId="4BC09FC3">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lang w:val="en-US" w:eastAsia="zh-CN"/>
              </w:rPr>
              <w:t>30日以上（含）</w:t>
            </w:r>
          </w:p>
        </w:tc>
        <w:tc>
          <w:tcPr>
            <w:tcW w:w="2500" w:type="pct"/>
            <w:tcBorders>
              <w:top w:val="single" w:color="auto" w:sz="4" w:space="0"/>
              <w:left w:val="single" w:color="auto" w:sz="4" w:space="0"/>
              <w:bottom w:val="single" w:color="auto" w:sz="4" w:space="0"/>
              <w:right w:val="single" w:color="auto" w:sz="4" w:space="0"/>
            </w:tcBorders>
            <w:vAlign w:val="top"/>
          </w:tcPr>
          <w:p w14:paraId="2CFECFF2">
            <w:pPr>
              <w:keepNext w:val="0"/>
              <w:keepLines w:val="0"/>
              <w:widowControl/>
              <w:suppressLineNumbers w:val="0"/>
              <w:snapToGrid w:val="0"/>
              <w:spacing w:before="0" w:beforeAutospacing="0" w:after="0" w:afterAutospacing="0"/>
              <w:ind w:left="0" w:right="0"/>
              <w:jc w:val="center"/>
              <w:rPr>
                <w:rFonts w:hint="eastAsia" w:ascii="Times New Roman" w:hAnsi="Times New Roman"/>
                <w:color w:val="000000"/>
                <w:kern w:val="0"/>
                <w:sz w:val="25"/>
                <w:szCs w:val="24"/>
              </w:rPr>
            </w:pPr>
            <w:r>
              <w:rPr>
                <w:rFonts w:hint="eastAsia" w:ascii="Times New Roman" w:hAnsi="Times New Roman"/>
                <w:color w:val="000000"/>
                <w:kern w:val="0"/>
                <w:sz w:val="25"/>
                <w:szCs w:val="24"/>
                <w:lang w:val="en-US" w:eastAsia="zh-CN"/>
              </w:rPr>
              <w:t>0</w:t>
            </w:r>
          </w:p>
        </w:tc>
      </w:tr>
    </w:tbl>
    <w:p w14:paraId="39FB9C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3、基金管理人可以在履行相关手续后，在基金合同约定的范围内调整申购、赎回费率或调整收费方式，基金管理人应于新的费率或收费方式实施日前依照有关规定在指定媒介上公告。</w:t>
      </w:r>
    </w:p>
    <w:p w14:paraId="6F78BF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基金投资者定期和不定期地开展基金促销活动。在基金促销活动期间，基金管理人按中国证监会要求履行必要手续后，对基金投资者适当调低基金申购费率。</w:t>
      </w:r>
    </w:p>
    <w:p w14:paraId="11FA9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和基金合同规定的范围内，在不提高现有基金份额持有人适用的费率的前提下，可由基金管理人和基金托管人协商，设立新的基金份额级别，增加新的收费方式，报中国证监会备案后修改基金合同并及时公告，但不需召开基金份额持有人大会。</w:t>
      </w:r>
    </w:p>
    <w:p w14:paraId="4B79A24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（九）申购和赎回的数额和价格</w:t>
      </w:r>
    </w:p>
    <w:p w14:paraId="110B3E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14:paraId="307852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（1）申购份额余额的处理方式：申购</w:t>
      </w:r>
      <w:r>
        <w:rPr>
          <w:rFonts w:hint="eastAsia" w:ascii="宋体" w:hAnsi="宋体"/>
          <w:sz w:val="24"/>
        </w:rPr>
        <w:t>A类基金份额或C类基金份额</w:t>
      </w:r>
      <w:r>
        <w:rPr>
          <w:rFonts w:ascii="宋体" w:hAnsi="宋体"/>
          <w:sz w:val="24"/>
        </w:rPr>
        <w:t>的有效份额按实际确认的申购金额在扣除相应的费用后，以当日</w:t>
      </w:r>
      <w:r>
        <w:rPr>
          <w:rFonts w:hint="eastAsia" w:ascii="Times New Roman" w:hAnsi="Times New Roman"/>
          <w:sz w:val="24"/>
        </w:rPr>
        <w:t>该类基金份额的</w:t>
      </w:r>
      <w:r>
        <w:rPr>
          <w:rFonts w:ascii="宋体" w:hAnsi="宋体"/>
          <w:sz w:val="24"/>
        </w:rPr>
        <w:t>基金份额净值为基准计算，场外申购的有效份额按照四舍五入的原则保留到小数点后2位，由此产生的误差计入基金财产。场内申购的有效份额的计算截位保留到整数位，不足1份基金份额对应的申购资金返还至投资者，由此产生的误差计入基金财产。</w:t>
      </w:r>
    </w:p>
    <w:p w14:paraId="0E534E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（2）赎回金额的处理方式：赎回金额为按实际确认的</w:t>
      </w:r>
      <w:r>
        <w:rPr>
          <w:rFonts w:hint="eastAsia" w:ascii="宋体" w:hAnsi="宋体"/>
          <w:sz w:val="24"/>
        </w:rPr>
        <w:t>A类基金份额或C类基金份额</w:t>
      </w:r>
      <w:r>
        <w:rPr>
          <w:rFonts w:hint="eastAsia" w:ascii="宋体" w:hAnsi="宋体"/>
          <w:sz w:val="24"/>
          <w:lang w:val="en-US" w:eastAsia="zh-CN"/>
        </w:rPr>
        <w:t>的</w:t>
      </w:r>
      <w:r>
        <w:rPr>
          <w:rFonts w:ascii="宋体" w:hAnsi="宋体"/>
          <w:sz w:val="24"/>
        </w:rPr>
        <w:t>有效赎回份额乘以当日</w:t>
      </w:r>
      <w:r>
        <w:rPr>
          <w:rFonts w:hint="eastAsia" w:ascii="宋体" w:hAnsi="宋体"/>
          <w:sz w:val="24"/>
        </w:rPr>
        <w:t>该类基金份额的</w:t>
      </w:r>
      <w:r>
        <w:rPr>
          <w:rFonts w:ascii="宋体" w:hAnsi="宋体"/>
          <w:sz w:val="24"/>
        </w:rPr>
        <w:t>基金份额净值并扣除</w:t>
      </w:r>
      <w:r>
        <w:rPr>
          <w:rFonts w:hint="eastAsia" w:ascii="宋体" w:hAnsi="宋体"/>
          <w:sz w:val="24"/>
        </w:rPr>
        <w:t>或加上</w:t>
      </w:r>
      <w:r>
        <w:rPr>
          <w:rFonts w:ascii="宋体" w:hAnsi="宋体"/>
          <w:sz w:val="24"/>
        </w:rPr>
        <w:t>相应的费用</w:t>
      </w:r>
      <w:r>
        <w:rPr>
          <w:rFonts w:hint="eastAsia" w:ascii="宋体" w:hAnsi="宋体"/>
          <w:sz w:val="24"/>
          <w:lang w:eastAsia="zh-CN"/>
        </w:rPr>
        <w:t>（</w:t>
      </w:r>
      <w:r>
        <w:rPr>
          <w:rFonts w:hint="eastAsia" w:ascii="宋体" w:hAnsi="宋体"/>
          <w:sz w:val="24"/>
          <w:lang w:val="en-US" w:eastAsia="zh-CN"/>
        </w:rPr>
        <w:t>如有</w:t>
      </w:r>
      <w:r>
        <w:rPr>
          <w:rFonts w:hint="eastAsia" w:ascii="宋体" w:hAnsi="宋体"/>
          <w:sz w:val="24"/>
          <w:lang w:eastAsia="zh-CN"/>
        </w:rPr>
        <w:t>）</w:t>
      </w:r>
      <w:r>
        <w:rPr>
          <w:rFonts w:ascii="宋体" w:hAnsi="宋体"/>
          <w:sz w:val="24"/>
        </w:rPr>
        <w:t>，赎回金额计算结果按照四舍五入的原则保留到小数点后2位，由此产生的误差计入基金财产。</w:t>
      </w:r>
    </w:p>
    <w:p w14:paraId="7A05B8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14:paraId="79035E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w:t>
      </w:r>
      <w:r>
        <w:rPr>
          <w:rFonts w:hint="eastAsia" w:ascii="宋体" w:hAnsi="宋体"/>
          <w:sz w:val="24"/>
          <w:lang w:val="en-US" w:eastAsia="zh-CN"/>
        </w:rPr>
        <w:t>A类基金份额</w:t>
      </w:r>
      <w:r>
        <w:rPr>
          <w:rFonts w:ascii="宋体" w:hAnsi="宋体"/>
          <w:sz w:val="24"/>
        </w:rPr>
        <w:t>前端收费模式：</w:t>
      </w:r>
    </w:p>
    <w:p w14:paraId="542092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6CF95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62205A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14:paraId="0358C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7B80A1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14:paraId="1ED669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w:t>
      </w:r>
      <w:r>
        <w:rPr>
          <w:rFonts w:hint="eastAsia" w:ascii="宋体" w:hAnsi="宋体"/>
          <w:sz w:val="24"/>
          <w:lang w:val="en-US" w:eastAsia="zh-CN"/>
        </w:rPr>
        <w:t>A类</w:t>
      </w:r>
      <w:r>
        <w:rPr>
          <w:rFonts w:ascii="宋体" w:hAnsi="宋体"/>
          <w:sz w:val="24"/>
        </w:rPr>
        <w:t>基金份额净值</w:t>
      </w:r>
    </w:p>
    <w:p w14:paraId="167C82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场内申购的有效份额保留到整数位，剩余部分对应申购资金返还至投资人。场内申购对应返还申购金额=申购总金额-实际净申购金额-申购费用，其中实际净申购金额=取整数位后确认的申购份额×T日</w:t>
      </w:r>
      <w:r>
        <w:rPr>
          <w:rFonts w:hint="eastAsia" w:ascii="宋体" w:hAnsi="宋体"/>
          <w:sz w:val="24"/>
          <w:lang w:val="en-US" w:eastAsia="zh-CN"/>
        </w:rPr>
        <w:t>A类</w:t>
      </w:r>
      <w:r>
        <w:rPr>
          <w:rFonts w:ascii="宋体" w:hAnsi="宋体"/>
          <w:sz w:val="24"/>
        </w:rPr>
        <w:t>基金份额净值。</w:t>
      </w:r>
    </w:p>
    <w:p w14:paraId="77A75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例一：某投资者投资100,000元申购本基金</w:t>
      </w:r>
      <w:r>
        <w:rPr>
          <w:rFonts w:hint="eastAsia" w:ascii="宋体" w:hAnsi="宋体"/>
          <w:sz w:val="24"/>
          <w:lang w:val="en-US" w:eastAsia="zh-CN"/>
        </w:rPr>
        <w:t>A类基金份额</w:t>
      </w:r>
      <w:r>
        <w:rPr>
          <w:rFonts w:ascii="宋体" w:hAnsi="宋体"/>
          <w:sz w:val="24"/>
        </w:rPr>
        <w:t>，假设申购当日</w:t>
      </w:r>
      <w:r>
        <w:rPr>
          <w:rFonts w:hint="eastAsia" w:ascii="宋体" w:hAnsi="宋体"/>
          <w:sz w:val="24"/>
        </w:rPr>
        <w:t>A类</w:t>
      </w:r>
      <w:r>
        <w:rPr>
          <w:rFonts w:ascii="宋体" w:hAnsi="宋体"/>
          <w:sz w:val="24"/>
        </w:rPr>
        <w:t>基金份额净值为1.0400元，如果其选择前端收费方式，申购费率为0.8%，如果该投资者是场外申购，则其可得到的申购份额为：</w:t>
      </w:r>
    </w:p>
    <w:p w14:paraId="33DD7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7EF56D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14:paraId="7BFE6C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14:paraId="57482B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申购份额=99,206.35/1.0400=95,390.72份</w:t>
      </w:r>
    </w:p>
    <w:p w14:paraId="72228A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如果该投资者是场内申购，申购份额为95,390份，则：</w:t>
      </w:r>
    </w:p>
    <w:p w14:paraId="540C9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实际净申购金额=95,390×1.0400=99,205.60</w:t>
      </w:r>
    </w:p>
    <w:p w14:paraId="5D7DB1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对应返还申购金额=100,000-99,205.60-793.65=0.75元</w:t>
      </w:r>
    </w:p>
    <w:p w14:paraId="06EBB0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w:t>
      </w:r>
      <w:r>
        <w:rPr>
          <w:rFonts w:hint="eastAsia" w:ascii="宋体" w:hAnsi="宋体"/>
          <w:sz w:val="24"/>
          <w:lang w:val="en-US" w:eastAsia="zh-CN"/>
        </w:rPr>
        <w:t>A类基金份额</w:t>
      </w:r>
      <w:r>
        <w:rPr>
          <w:rFonts w:ascii="宋体" w:hAnsi="宋体"/>
          <w:sz w:val="24"/>
        </w:rPr>
        <w:t>前端份额，假设申购当日</w:t>
      </w:r>
      <w:r>
        <w:rPr>
          <w:rFonts w:hint="eastAsia" w:ascii="宋体" w:hAnsi="宋体"/>
          <w:sz w:val="24"/>
        </w:rPr>
        <w:t>A类</w:t>
      </w:r>
      <w:r>
        <w:rPr>
          <w:rFonts w:ascii="宋体" w:hAnsi="宋体"/>
          <w:sz w:val="24"/>
        </w:rPr>
        <w:t>基金份额净值为1.0400元，如是场外申购，则可得到95,390.72份</w:t>
      </w:r>
      <w:r>
        <w:rPr>
          <w:rFonts w:hint="eastAsia" w:ascii="宋体" w:hAnsi="宋体"/>
          <w:sz w:val="24"/>
        </w:rPr>
        <w:t>A类</w:t>
      </w:r>
      <w:r>
        <w:rPr>
          <w:rFonts w:ascii="宋体" w:hAnsi="宋体"/>
          <w:sz w:val="24"/>
        </w:rPr>
        <w:t>基金份额，如是场内申购，则可得95,390份</w:t>
      </w:r>
      <w:r>
        <w:rPr>
          <w:rFonts w:hint="eastAsia" w:ascii="宋体" w:hAnsi="宋体"/>
          <w:sz w:val="24"/>
        </w:rPr>
        <w:t>A类</w:t>
      </w:r>
      <w:r>
        <w:rPr>
          <w:rFonts w:ascii="宋体" w:hAnsi="宋体"/>
          <w:sz w:val="24"/>
        </w:rPr>
        <w:t>基金份额，同时被返还0.75元申购资金。</w:t>
      </w:r>
    </w:p>
    <w:p w14:paraId="5903B4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w:t>
      </w:r>
      <w:r>
        <w:rPr>
          <w:rFonts w:hint="eastAsia" w:ascii="宋体" w:hAnsi="宋体"/>
          <w:sz w:val="24"/>
          <w:lang w:val="en-US" w:eastAsia="zh-CN"/>
        </w:rPr>
        <w:t>A类基金份额</w:t>
      </w:r>
      <w:r>
        <w:rPr>
          <w:rFonts w:ascii="宋体" w:hAnsi="宋体"/>
          <w:sz w:val="24"/>
        </w:rPr>
        <w:t>后端收费模式：</w:t>
      </w:r>
    </w:p>
    <w:p w14:paraId="1CE60E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2C26BD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w:t>
      </w:r>
      <w:r>
        <w:rPr>
          <w:rFonts w:hint="eastAsia" w:ascii="宋体" w:hAnsi="宋体"/>
          <w:sz w:val="24"/>
        </w:rPr>
        <w:t>A类</w:t>
      </w:r>
      <w:r>
        <w:rPr>
          <w:rFonts w:ascii="宋体" w:hAnsi="宋体"/>
          <w:sz w:val="24"/>
        </w:rPr>
        <w:t>基金份额净值</w:t>
      </w:r>
    </w:p>
    <w:p w14:paraId="3803D6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当投资者提出赎回时，后端申购费用的计算方法为：</w:t>
      </w:r>
    </w:p>
    <w:p w14:paraId="7196F1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后端申购费用＝赎回份额×申购日</w:t>
      </w:r>
      <w:r>
        <w:rPr>
          <w:rFonts w:hint="eastAsia" w:ascii="宋体" w:hAnsi="宋体"/>
          <w:sz w:val="24"/>
        </w:rPr>
        <w:t>A类</w:t>
      </w:r>
      <w:r>
        <w:rPr>
          <w:rFonts w:ascii="宋体" w:hAnsi="宋体"/>
          <w:sz w:val="24"/>
        </w:rPr>
        <w:t>基金份额净值×后端申购费率</w:t>
      </w:r>
    </w:p>
    <w:p w14:paraId="5FFD00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例二：某投资者投资100,000元场外申购本基金</w:t>
      </w:r>
      <w:r>
        <w:rPr>
          <w:rFonts w:hint="eastAsia" w:ascii="宋体" w:hAnsi="宋体"/>
          <w:sz w:val="24"/>
          <w:lang w:val="en-US" w:eastAsia="zh-CN"/>
        </w:rPr>
        <w:t>A类基金份额</w:t>
      </w:r>
      <w:r>
        <w:rPr>
          <w:rFonts w:ascii="宋体" w:hAnsi="宋体"/>
          <w:sz w:val="24"/>
        </w:rPr>
        <w:t>，假设申购当日</w:t>
      </w:r>
      <w:r>
        <w:rPr>
          <w:rFonts w:hint="eastAsia" w:ascii="宋体" w:hAnsi="宋体"/>
          <w:sz w:val="24"/>
        </w:rPr>
        <w:t>A类</w:t>
      </w:r>
      <w:r>
        <w:rPr>
          <w:rFonts w:ascii="宋体" w:hAnsi="宋体"/>
          <w:sz w:val="24"/>
        </w:rPr>
        <w:t>基金份额净值为1.0400元，如果其选择后端收费方式，则其可得到的申购份额为：</w:t>
      </w:r>
    </w:p>
    <w:p w14:paraId="418623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14:paraId="76F43913">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即：投资者投资100,000元场外申购本基金</w:t>
      </w:r>
      <w:r>
        <w:rPr>
          <w:rFonts w:hint="eastAsia" w:ascii="宋体" w:hAnsi="宋体"/>
          <w:sz w:val="24"/>
          <w:lang w:val="en-US" w:eastAsia="zh-CN"/>
        </w:rPr>
        <w:t>A类基金份额</w:t>
      </w:r>
      <w:r>
        <w:rPr>
          <w:rFonts w:ascii="宋体" w:hAnsi="宋体"/>
          <w:sz w:val="24"/>
        </w:rPr>
        <w:t>，假设申购当日</w:t>
      </w:r>
      <w:r>
        <w:rPr>
          <w:rFonts w:hint="eastAsia" w:ascii="宋体" w:hAnsi="宋体"/>
          <w:sz w:val="24"/>
          <w:lang w:val="en-US" w:eastAsia="zh-CN"/>
        </w:rPr>
        <w:t>A类</w:t>
      </w:r>
      <w:r>
        <w:rPr>
          <w:rFonts w:ascii="宋体" w:hAnsi="宋体"/>
          <w:sz w:val="24"/>
        </w:rPr>
        <w:t>基金份额净值为1.0400元，则可得到96,153.85份</w:t>
      </w:r>
      <w:r>
        <w:rPr>
          <w:rFonts w:hint="eastAsia" w:ascii="宋体" w:hAnsi="宋体"/>
          <w:sz w:val="24"/>
          <w:lang w:val="en-US" w:eastAsia="zh-CN"/>
        </w:rPr>
        <w:t>A类</w:t>
      </w:r>
      <w:r>
        <w:rPr>
          <w:rFonts w:ascii="宋体" w:hAnsi="宋体"/>
          <w:sz w:val="24"/>
        </w:rPr>
        <w:t>基金份额，但其在赎回时需根据其持有时间按对应的后端申购费率交纳后端申购费用。</w:t>
      </w:r>
    </w:p>
    <w:p w14:paraId="71E66059">
      <w:pPr>
        <w:autoSpaceDE w:val="0"/>
        <w:autoSpaceDN w:val="0"/>
        <w:adjustRightInd w:val="0"/>
        <w:snapToGrid w:val="0"/>
        <w:spacing w:line="360" w:lineRule="auto"/>
        <w:ind w:firstLine="480" w:firstLineChars="200"/>
        <w:jc w:val="left"/>
        <w:rPr>
          <w:rFonts w:hint="eastAsia" w:ascii="宋体" w:hAnsi="宋体" w:eastAsia="宋体"/>
          <w:sz w:val="24"/>
          <w:lang w:eastAsia="zh-CN"/>
        </w:rPr>
      </w:pPr>
      <w:r>
        <w:rPr>
          <w:rFonts w:hint="eastAsia" w:ascii="宋体" w:hAnsi="宋体"/>
          <w:sz w:val="24"/>
        </w:rPr>
        <w:t>（</w:t>
      </w:r>
      <w:r>
        <w:rPr>
          <w:rFonts w:hint="eastAsia" w:ascii="宋体" w:hAnsi="宋体"/>
          <w:sz w:val="24"/>
          <w:lang w:val="en-US" w:eastAsia="zh-CN"/>
        </w:rPr>
        <w:t>3</w:t>
      </w:r>
      <w:r>
        <w:rPr>
          <w:rFonts w:hint="eastAsia" w:ascii="宋体" w:hAnsi="宋体"/>
          <w:sz w:val="24"/>
        </w:rPr>
        <w:t>）C类基金份额的申购</w:t>
      </w:r>
      <w:r>
        <w:rPr>
          <w:rFonts w:hint="eastAsia" w:ascii="宋体" w:hAnsi="宋体"/>
          <w:sz w:val="24"/>
          <w:lang w:eastAsia="zh-CN"/>
        </w:rPr>
        <w:t>：</w:t>
      </w:r>
    </w:p>
    <w:p w14:paraId="6976AA23">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如果投资人选择申购C类基金份额，则申购份额的计算方法如下：</w:t>
      </w:r>
    </w:p>
    <w:p w14:paraId="2E06EA8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申购总金额=申请总金额</w:t>
      </w:r>
    </w:p>
    <w:p w14:paraId="21102412">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申购份额=申购总金额/T日C类基金份额净值</w:t>
      </w:r>
    </w:p>
    <w:p w14:paraId="402BF9D2">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例</w:t>
      </w:r>
      <w:r>
        <w:rPr>
          <w:rFonts w:hint="eastAsia" w:ascii="宋体" w:hAnsi="宋体"/>
          <w:sz w:val="24"/>
          <w:lang w:val="en-US" w:eastAsia="zh-CN"/>
        </w:rPr>
        <w:t>三</w:t>
      </w:r>
      <w:r>
        <w:rPr>
          <w:rFonts w:hint="eastAsia" w:ascii="宋体" w:hAnsi="宋体"/>
          <w:sz w:val="24"/>
        </w:rPr>
        <w:t>：某投资人投资100,000元申购本基金的C类基金份额，假设申购当日C类基金份额净值为1.0400元，则其可得到的申购份额为：</w:t>
      </w:r>
    </w:p>
    <w:p w14:paraId="4E591011">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申购总金额=100,000元</w:t>
      </w:r>
    </w:p>
    <w:p w14:paraId="0B5BFA3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申购份额＝100,000/1.0400＝96,153.85份</w:t>
      </w:r>
    </w:p>
    <w:p w14:paraId="2B80A84F">
      <w:pPr>
        <w:autoSpaceDE w:val="0"/>
        <w:autoSpaceDN w:val="0"/>
        <w:adjustRightInd w:val="0"/>
        <w:snapToGrid w:val="0"/>
        <w:spacing w:line="360" w:lineRule="auto"/>
        <w:ind w:firstLine="480" w:firstLineChars="200"/>
        <w:jc w:val="left"/>
        <w:rPr>
          <w:rFonts w:hint="eastAsia" w:ascii="宋体" w:hAnsi="宋体"/>
          <w:sz w:val="24"/>
          <w:lang w:eastAsia="zh-CN"/>
        </w:rPr>
      </w:pPr>
      <w:r>
        <w:rPr>
          <w:rFonts w:hint="eastAsia" w:ascii="宋体" w:hAnsi="宋体"/>
          <w:sz w:val="24"/>
        </w:rPr>
        <w:t>即：投资人投资100,000元申购本基金的C类基金份额，假设申购当日C类基金份额净值为1.0400元，则其可得到96,153.85份C类基金份额。</w:t>
      </w:r>
    </w:p>
    <w:p w14:paraId="3B7E94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14:paraId="11C5FE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（1）投资者认购及选择前端方式申购的</w:t>
      </w:r>
      <w:r>
        <w:rPr>
          <w:rFonts w:hint="eastAsia" w:ascii="宋体" w:hAnsi="宋体"/>
          <w:sz w:val="24"/>
          <w:lang w:val="en-US" w:eastAsia="zh-CN"/>
        </w:rPr>
        <w:t>A类</w:t>
      </w:r>
      <w:r>
        <w:rPr>
          <w:rFonts w:ascii="宋体" w:hAnsi="宋体"/>
          <w:sz w:val="24"/>
        </w:rPr>
        <w:t>基金份额，其赎回金额的计算方法如下：</w:t>
      </w:r>
    </w:p>
    <w:p w14:paraId="3AFF60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w:t>
      </w:r>
      <w:r>
        <w:rPr>
          <w:rFonts w:hint="eastAsia" w:ascii="宋体" w:hAnsi="宋体"/>
          <w:sz w:val="24"/>
          <w:lang w:val="en-US" w:eastAsia="zh-CN"/>
        </w:rPr>
        <w:t>A类</w:t>
      </w:r>
      <w:r>
        <w:rPr>
          <w:rFonts w:ascii="宋体" w:hAnsi="宋体"/>
          <w:sz w:val="24"/>
        </w:rPr>
        <w:t>基金份额净值×赎回费率</w:t>
      </w:r>
    </w:p>
    <w:p w14:paraId="057322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w:t>
      </w:r>
      <w:r>
        <w:rPr>
          <w:rFonts w:hint="eastAsia" w:ascii="宋体" w:hAnsi="宋体"/>
          <w:sz w:val="24"/>
          <w:lang w:val="en-US" w:eastAsia="zh-CN"/>
        </w:rPr>
        <w:t>A类</w:t>
      </w:r>
      <w:r>
        <w:rPr>
          <w:rFonts w:ascii="宋体" w:hAnsi="宋体"/>
          <w:sz w:val="24"/>
        </w:rPr>
        <w:t>基金份额净值-赎回费用</w:t>
      </w:r>
    </w:p>
    <w:p w14:paraId="311CBD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w:t>
      </w:r>
      <w:r>
        <w:rPr>
          <w:rFonts w:hint="eastAsia" w:ascii="宋体" w:hAnsi="宋体"/>
          <w:sz w:val="24"/>
          <w:lang w:val="en-US" w:eastAsia="zh-CN"/>
        </w:rPr>
        <w:t>四</w:t>
      </w:r>
      <w:r>
        <w:rPr>
          <w:rFonts w:ascii="宋体" w:hAnsi="宋体"/>
          <w:sz w:val="24"/>
        </w:rPr>
        <w:t>：某投资者赎回通过前端申购持有的100,000份</w:t>
      </w:r>
      <w:r>
        <w:rPr>
          <w:rFonts w:hint="eastAsia" w:ascii="宋体" w:hAnsi="宋体"/>
          <w:sz w:val="24"/>
          <w:lang w:val="en-US" w:eastAsia="zh-CN"/>
        </w:rPr>
        <w:t>A类</w:t>
      </w:r>
      <w:r>
        <w:rPr>
          <w:rFonts w:ascii="宋体" w:hAnsi="宋体"/>
          <w:sz w:val="24"/>
        </w:rPr>
        <w:t>基金份额，对应的赎回费率为0.1%，假设赎回当日</w:t>
      </w:r>
      <w:r>
        <w:rPr>
          <w:rFonts w:hint="eastAsia" w:ascii="宋体" w:hAnsi="宋体"/>
          <w:sz w:val="24"/>
          <w:lang w:val="en-US" w:eastAsia="zh-CN"/>
        </w:rPr>
        <w:t>A类</w:t>
      </w:r>
      <w:r>
        <w:rPr>
          <w:rFonts w:ascii="宋体" w:hAnsi="宋体"/>
          <w:sz w:val="24"/>
        </w:rPr>
        <w:t>基金份额净值是1.0160元，则其可得到的赎回金额为：</w:t>
      </w:r>
    </w:p>
    <w:p w14:paraId="00B912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14:paraId="3F8B8F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14:paraId="64605A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即：投资者赎回本基金100,000份</w:t>
      </w:r>
      <w:r>
        <w:rPr>
          <w:rFonts w:hint="eastAsia" w:ascii="宋体" w:hAnsi="宋体"/>
          <w:sz w:val="24"/>
          <w:lang w:val="en-US" w:eastAsia="zh-CN"/>
        </w:rPr>
        <w:t>A类</w:t>
      </w:r>
      <w:r>
        <w:rPr>
          <w:rFonts w:ascii="宋体" w:hAnsi="宋体"/>
          <w:sz w:val="24"/>
        </w:rPr>
        <w:t>基金份额，假设赎回当日</w:t>
      </w:r>
      <w:r>
        <w:rPr>
          <w:rFonts w:hint="eastAsia" w:ascii="宋体" w:hAnsi="宋体"/>
          <w:sz w:val="24"/>
          <w:lang w:val="en-US" w:eastAsia="zh-CN"/>
        </w:rPr>
        <w:t>A类</w:t>
      </w:r>
      <w:r>
        <w:rPr>
          <w:rFonts w:ascii="宋体" w:hAnsi="宋体"/>
          <w:sz w:val="24"/>
        </w:rPr>
        <w:t>基金份额净值是1.0160元，则其可得到的赎回金额为101,498.40元。</w:t>
      </w:r>
    </w:p>
    <w:p w14:paraId="15B272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（2）如果投资者在申购</w:t>
      </w:r>
      <w:r>
        <w:rPr>
          <w:rFonts w:hint="eastAsia" w:ascii="宋体" w:hAnsi="宋体"/>
          <w:sz w:val="24"/>
          <w:lang w:val="en-US" w:eastAsia="zh-CN"/>
        </w:rPr>
        <w:t>A类基金份额</w:t>
      </w:r>
      <w:r>
        <w:rPr>
          <w:rFonts w:ascii="宋体" w:hAnsi="宋体"/>
          <w:sz w:val="24"/>
        </w:rPr>
        <w:t>时选择交纳后端申购费用，则赎回金额的计算方法如下：</w:t>
      </w:r>
    </w:p>
    <w:p w14:paraId="2E9759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w:t>
      </w:r>
      <w:r>
        <w:rPr>
          <w:rFonts w:hint="eastAsia" w:ascii="宋体" w:hAnsi="宋体"/>
          <w:sz w:val="24"/>
          <w:lang w:val="en-US" w:eastAsia="zh-CN"/>
        </w:rPr>
        <w:t>A类</w:t>
      </w:r>
      <w:r>
        <w:rPr>
          <w:rFonts w:ascii="宋体" w:hAnsi="宋体"/>
          <w:sz w:val="24"/>
        </w:rPr>
        <w:t>基金份额净值</w:t>
      </w:r>
    </w:p>
    <w:p w14:paraId="603360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后端申购费用＝赎回份额×申购日</w:t>
      </w:r>
      <w:r>
        <w:rPr>
          <w:rFonts w:hint="eastAsia" w:ascii="宋体" w:hAnsi="宋体"/>
          <w:sz w:val="24"/>
          <w:lang w:val="en-US" w:eastAsia="zh-CN"/>
        </w:rPr>
        <w:t>A类</w:t>
      </w:r>
      <w:r>
        <w:rPr>
          <w:rFonts w:ascii="宋体" w:hAnsi="宋体"/>
          <w:sz w:val="24"/>
        </w:rPr>
        <w:t>基金份额净值×后端申购费率</w:t>
      </w:r>
    </w:p>
    <w:p w14:paraId="378660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14:paraId="0C7CF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赎回金额＝赎回总额－后端申购费用－赎回费用</w:t>
      </w:r>
    </w:p>
    <w:p w14:paraId="1B7E52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w:t>
      </w:r>
      <w:r>
        <w:rPr>
          <w:rFonts w:hint="eastAsia" w:ascii="宋体" w:hAnsi="宋体"/>
          <w:sz w:val="24"/>
          <w:lang w:val="en-US" w:eastAsia="zh-CN"/>
        </w:rPr>
        <w:t>五</w:t>
      </w:r>
      <w:r>
        <w:rPr>
          <w:rFonts w:ascii="宋体" w:hAnsi="宋体"/>
          <w:sz w:val="24"/>
        </w:rPr>
        <w:t>：某投资者赎回通过后端申购持有的100,000份</w:t>
      </w:r>
      <w:r>
        <w:rPr>
          <w:rFonts w:hint="eastAsia" w:ascii="宋体" w:hAnsi="宋体"/>
          <w:sz w:val="24"/>
          <w:lang w:val="en-US" w:eastAsia="zh-CN"/>
        </w:rPr>
        <w:t>A类</w:t>
      </w:r>
      <w:r>
        <w:rPr>
          <w:rFonts w:ascii="宋体" w:hAnsi="宋体"/>
          <w:sz w:val="24"/>
        </w:rPr>
        <w:t>基金份额，对应的后端申购费率是1.0%，赎回费率为0.1%，假设赎回当日</w:t>
      </w:r>
      <w:r>
        <w:rPr>
          <w:rFonts w:hint="eastAsia" w:ascii="宋体" w:hAnsi="宋体"/>
          <w:sz w:val="24"/>
          <w:lang w:val="en-US" w:eastAsia="zh-CN"/>
        </w:rPr>
        <w:t>A类</w:t>
      </w:r>
      <w:r>
        <w:rPr>
          <w:rFonts w:ascii="宋体" w:hAnsi="宋体"/>
          <w:sz w:val="24"/>
        </w:rPr>
        <w:t>基金份额净值是1.0160元，申购时的</w:t>
      </w:r>
      <w:r>
        <w:rPr>
          <w:rFonts w:hint="eastAsia" w:ascii="宋体" w:hAnsi="宋体"/>
          <w:sz w:val="24"/>
          <w:lang w:val="en-US" w:eastAsia="zh-CN"/>
        </w:rPr>
        <w:t>A类</w:t>
      </w:r>
      <w:r>
        <w:rPr>
          <w:rFonts w:ascii="宋体" w:hAnsi="宋体"/>
          <w:sz w:val="24"/>
        </w:rPr>
        <w:t>基金份额净值为1.0100元，则其可得到的赎回金额为：</w:t>
      </w:r>
    </w:p>
    <w:p w14:paraId="416F2F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赎回总额=100,000×1.0160=101,600元</w:t>
      </w:r>
    </w:p>
    <w:p w14:paraId="173A1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后端申购费用=100,000×1.0100×1.0%=1,010.00元</w:t>
      </w:r>
    </w:p>
    <w:p w14:paraId="1D9C4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赎回费用=101,600×0.1%=101.60元</w:t>
      </w:r>
    </w:p>
    <w:p w14:paraId="026862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赎回金额=101,600-1,010.00-101.60=100,488.40元</w:t>
      </w:r>
    </w:p>
    <w:p w14:paraId="7FB481E3">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即：投资者赎回本基金100,000份</w:t>
      </w:r>
      <w:r>
        <w:rPr>
          <w:rFonts w:hint="eastAsia" w:ascii="宋体" w:hAnsi="宋体"/>
          <w:sz w:val="24"/>
          <w:lang w:val="en-US" w:eastAsia="zh-CN"/>
        </w:rPr>
        <w:t>A类</w:t>
      </w:r>
      <w:r>
        <w:rPr>
          <w:rFonts w:ascii="宋体" w:hAnsi="宋体"/>
          <w:sz w:val="24"/>
        </w:rPr>
        <w:t>基金份额，对应的赎回费率为0.1%，假设赎回当日</w:t>
      </w:r>
      <w:r>
        <w:rPr>
          <w:rFonts w:hint="eastAsia" w:ascii="宋体" w:hAnsi="宋体"/>
          <w:sz w:val="24"/>
          <w:lang w:val="en-US" w:eastAsia="zh-CN"/>
        </w:rPr>
        <w:t>A类</w:t>
      </w:r>
      <w:r>
        <w:rPr>
          <w:rFonts w:ascii="宋体" w:hAnsi="宋体"/>
          <w:sz w:val="24"/>
        </w:rPr>
        <w:t>基金份额净值是1.0160元，投资者对应的后端申购费率是1.0%，申购时的</w:t>
      </w:r>
      <w:r>
        <w:rPr>
          <w:rFonts w:hint="eastAsia" w:ascii="宋体" w:hAnsi="宋体"/>
          <w:sz w:val="24"/>
          <w:lang w:val="en-US" w:eastAsia="zh-CN"/>
        </w:rPr>
        <w:t>A类</w:t>
      </w:r>
      <w:r>
        <w:rPr>
          <w:rFonts w:ascii="宋体" w:hAnsi="宋体"/>
          <w:sz w:val="24"/>
        </w:rPr>
        <w:t>基金净值为1.0100元，则其可得到的赎回金额为100,488.40元。</w:t>
      </w:r>
    </w:p>
    <w:p w14:paraId="785D3C47">
      <w:pPr>
        <w:autoSpaceDE w:val="0"/>
        <w:autoSpaceDN w:val="0"/>
        <w:adjustRightInd w:val="0"/>
        <w:snapToGrid w:val="0"/>
        <w:spacing w:line="360" w:lineRule="auto"/>
        <w:ind w:firstLine="480" w:firstLineChars="200"/>
        <w:jc w:val="left"/>
        <w:rPr>
          <w:rFonts w:ascii="宋体" w:hAnsi="宋体" w:cs="Times New Roman"/>
          <w:sz w:val="24"/>
        </w:rPr>
      </w:pPr>
      <w:r>
        <w:rPr>
          <w:rFonts w:hint="eastAsia" w:ascii="宋体" w:hAnsi="宋体" w:cs="Times New Roman"/>
          <w:sz w:val="24"/>
          <w:lang w:eastAsia="zh-CN"/>
        </w:rPr>
        <w:t>（</w:t>
      </w:r>
      <w:r>
        <w:rPr>
          <w:rFonts w:hint="eastAsia" w:ascii="宋体" w:hAnsi="宋体" w:cs="Times New Roman"/>
          <w:sz w:val="24"/>
          <w:lang w:val="en-US" w:eastAsia="zh-CN"/>
        </w:rPr>
        <w:t>3</w:t>
      </w:r>
      <w:r>
        <w:rPr>
          <w:rFonts w:hint="eastAsia" w:ascii="宋体" w:hAnsi="宋体" w:cs="Times New Roman"/>
          <w:sz w:val="24"/>
          <w:lang w:eastAsia="zh-CN"/>
        </w:rPr>
        <w:t>）</w:t>
      </w:r>
      <w:r>
        <w:rPr>
          <w:rFonts w:ascii="宋体" w:hAnsi="宋体" w:cs="Times New Roman"/>
          <w:sz w:val="24"/>
        </w:rPr>
        <w:t>C</w:t>
      </w:r>
      <w:r>
        <w:rPr>
          <w:rFonts w:hint="eastAsia" w:ascii="宋体" w:hAnsi="宋体" w:cs="Times New Roman"/>
          <w:sz w:val="24"/>
        </w:rPr>
        <w:t>类基金份额的赎回</w:t>
      </w:r>
    </w:p>
    <w:p w14:paraId="01408944">
      <w:pPr>
        <w:autoSpaceDE w:val="0"/>
        <w:autoSpaceDN w:val="0"/>
        <w:adjustRightInd w:val="0"/>
        <w:snapToGrid w:val="0"/>
        <w:spacing w:line="360" w:lineRule="auto"/>
        <w:ind w:firstLine="480" w:firstLineChars="200"/>
        <w:jc w:val="left"/>
        <w:rPr>
          <w:rFonts w:ascii="宋体" w:hAnsi="宋体" w:cs="Times New Roman"/>
          <w:sz w:val="24"/>
        </w:rPr>
      </w:pPr>
      <w:r>
        <w:rPr>
          <w:rFonts w:hint="eastAsia" w:ascii="宋体" w:hAnsi="宋体" w:cs="Times New Roman"/>
          <w:sz w:val="24"/>
        </w:rPr>
        <w:t>如果投资者赎回</w:t>
      </w:r>
      <w:r>
        <w:rPr>
          <w:rFonts w:ascii="宋体" w:hAnsi="宋体" w:cs="Times New Roman"/>
          <w:sz w:val="24"/>
        </w:rPr>
        <w:t>C</w:t>
      </w:r>
      <w:r>
        <w:rPr>
          <w:rFonts w:hint="eastAsia" w:ascii="宋体" w:hAnsi="宋体" w:cs="Times New Roman"/>
          <w:sz w:val="24"/>
        </w:rPr>
        <w:t>类基金份额，赎回金额的计算方法如下：</w:t>
      </w:r>
    </w:p>
    <w:p w14:paraId="2DDF63DE">
      <w:pPr>
        <w:autoSpaceDE w:val="0"/>
        <w:autoSpaceDN w:val="0"/>
        <w:adjustRightInd w:val="0"/>
        <w:snapToGrid w:val="0"/>
        <w:spacing w:line="360" w:lineRule="auto"/>
        <w:ind w:firstLine="480" w:firstLineChars="200"/>
        <w:jc w:val="left"/>
        <w:rPr>
          <w:rFonts w:ascii="宋体" w:hAnsi="宋体" w:cs="Times New Roman"/>
          <w:sz w:val="24"/>
        </w:rPr>
      </w:pPr>
      <w:r>
        <w:rPr>
          <w:rFonts w:hint="eastAsia" w:ascii="宋体" w:hAnsi="宋体" w:cs="Times New Roman"/>
          <w:sz w:val="24"/>
        </w:rPr>
        <w:t>赎回费用</w:t>
      </w:r>
      <w:r>
        <w:rPr>
          <w:rFonts w:ascii="宋体" w:hAnsi="宋体" w:cs="Times New Roman"/>
          <w:sz w:val="24"/>
        </w:rPr>
        <w:t>=</w:t>
      </w:r>
      <w:r>
        <w:rPr>
          <w:rFonts w:hint="eastAsia" w:ascii="宋体" w:hAnsi="宋体" w:cs="Times New Roman"/>
          <w:sz w:val="24"/>
        </w:rPr>
        <w:t>赎回份额</w:t>
      </w:r>
      <w:r>
        <w:rPr>
          <w:rFonts w:ascii="宋体" w:hAnsi="宋体" w:cs="Times New Roman"/>
          <w:sz w:val="24"/>
        </w:rPr>
        <w:t>×T</w:t>
      </w:r>
      <w:r>
        <w:rPr>
          <w:rFonts w:hint="eastAsia" w:ascii="宋体" w:hAnsi="宋体" w:cs="Times New Roman"/>
          <w:sz w:val="24"/>
        </w:rPr>
        <w:t>日</w:t>
      </w:r>
      <w:r>
        <w:rPr>
          <w:rFonts w:ascii="宋体" w:hAnsi="宋体" w:cs="Times New Roman"/>
          <w:sz w:val="24"/>
        </w:rPr>
        <w:t>C</w:t>
      </w:r>
      <w:r>
        <w:rPr>
          <w:rFonts w:hint="eastAsia" w:ascii="宋体" w:hAnsi="宋体" w:cs="Times New Roman"/>
          <w:sz w:val="24"/>
        </w:rPr>
        <w:t>类基金份额净值</w:t>
      </w:r>
      <w:r>
        <w:rPr>
          <w:rFonts w:ascii="宋体" w:hAnsi="宋体" w:cs="Times New Roman"/>
          <w:sz w:val="24"/>
        </w:rPr>
        <w:t>×</w:t>
      </w:r>
      <w:r>
        <w:rPr>
          <w:rFonts w:hint="eastAsia" w:ascii="宋体" w:hAnsi="宋体" w:cs="Times New Roman"/>
          <w:sz w:val="24"/>
        </w:rPr>
        <w:t>赎回费率</w:t>
      </w:r>
    </w:p>
    <w:p w14:paraId="3B1A9F34">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赎回金额</w:t>
      </w:r>
      <w:r>
        <w:rPr>
          <w:rFonts w:ascii="宋体" w:hAnsi="宋体" w:cs="Times New Roman"/>
          <w:sz w:val="24"/>
        </w:rPr>
        <w:t>=</w:t>
      </w:r>
      <w:r>
        <w:rPr>
          <w:rFonts w:hint="eastAsia" w:ascii="宋体" w:hAnsi="宋体" w:cs="Times New Roman"/>
          <w:sz w:val="24"/>
        </w:rPr>
        <w:t>赎回份额</w:t>
      </w:r>
      <w:r>
        <w:rPr>
          <w:rFonts w:ascii="宋体" w:hAnsi="宋体" w:cs="Times New Roman"/>
          <w:sz w:val="24"/>
        </w:rPr>
        <w:t>×T</w:t>
      </w:r>
      <w:r>
        <w:rPr>
          <w:rFonts w:hint="eastAsia" w:ascii="宋体" w:hAnsi="宋体" w:cs="Times New Roman"/>
          <w:sz w:val="24"/>
        </w:rPr>
        <w:t>日</w:t>
      </w:r>
      <w:r>
        <w:rPr>
          <w:rFonts w:ascii="宋体" w:hAnsi="宋体" w:cs="Times New Roman"/>
          <w:sz w:val="24"/>
        </w:rPr>
        <w:t>C</w:t>
      </w:r>
      <w:r>
        <w:rPr>
          <w:rFonts w:hint="eastAsia" w:ascii="宋体" w:hAnsi="宋体" w:cs="Times New Roman"/>
          <w:sz w:val="24"/>
        </w:rPr>
        <w:t>类基金份额净值</w:t>
      </w:r>
      <w:r>
        <w:rPr>
          <w:rFonts w:ascii="宋体" w:hAnsi="宋体" w:cs="Times New Roman"/>
          <w:sz w:val="24"/>
        </w:rPr>
        <w:t>-</w:t>
      </w:r>
      <w:r>
        <w:rPr>
          <w:rFonts w:hint="eastAsia" w:ascii="宋体" w:hAnsi="宋体" w:cs="Times New Roman"/>
          <w:sz w:val="24"/>
        </w:rPr>
        <w:t>赎回费用+该笔赎回确认应返还投资者的销售服务费（如有）</w:t>
      </w:r>
    </w:p>
    <w:p w14:paraId="794C17E9">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对于投资者通过直销机构申购的C类基金份额所计提的销售服务费，或者通过其他销售机构申购的C类基金份额持续持有超过一年后所计提的销售服务费，将在投资者赎回相应基金份额时随赎回款一并返还给投资者。</w:t>
      </w:r>
    </w:p>
    <w:p w14:paraId="39C951F4">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例</w:t>
      </w:r>
      <w:r>
        <w:rPr>
          <w:rFonts w:hint="eastAsia" w:ascii="宋体" w:hAnsi="宋体" w:cs="Times New Roman"/>
          <w:sz w:val="24"/>
          <w:lang w:val="en-US" w:eastAsia="zh-CN"/>
        </w:rPr>
        <w:t>六</w:t>
      </w:r>
      <w:r>
        <w:rPr>
          <w:rFonts w:hint="eastAsia" w:ascii="宋体" w:hAnsi="宋体" w:cs="Times New Roman"/>
          <w:sz w:val="24"/>
        </w:rPr>
        <w:t>：某</w:t>
      </w:r>
      <w:r>
        <w:rPr>
          <w:rFonts w:hint="eastAsia" w:ascii="宋体" w:hAnsi="宋体" w:cs="Times New Roman"/>
          <w:sz w:val="24"/>
          <w:lang w:val="en-US" w:eastAsia="zh-CN"/>
        </w:rPr>
        <w:t>个人</w:t>
      </w:r>
      <w:r>
        <w:rPr>
          <w:rFonts w:hint="eastAsia" w:ascii="宋体" w:hAnsi="宋体" w:cs="Times New Roman"/>
          <w:sz w:val="24"/>
        </w:rPr>
        <w:t>投资者赎回持有的1</w:t>
      </w:r>
      <w:r>
        <w:rPr>
          <w:rFonts w:hint="eastAsia" w:ascii="宋体" w:hAnsi="宋体" w:cs="Times New Roman"/>
          <w:sz w:val="24"/>
          <w:lang w:val="en-US" w:eastAsia="zh-CN"/>
        </w:rPr>
        <w:t>0</w:t>
      </w:r>
      <w:r>
        <w:rPr>
          <w:rFonts w:hint="eastAsia" w:ascii="宋体" w:hAnsi="宋体" w:cs="Times New Roman"/>
          <w:sz w:val="24"/>
        </w:rPr>
        <w:t>0,000.00份</w:t>
      </w:r>
      <w:r>
        <w:rPr>
          <w:rFonts w:hint="eastAsia" w:ascii="宋体" w:hAnsi="宋体" w:cs="Times New Roman"/>
          <w:sz w:val="24"/>
          <w:lang w:val="en-US" w:eastAsia="zh-CN"/>
        </w:rPr>
        <w:t>C</w:t>
      </w:r>
      <w:r>
        <w:rPr>
          <w:rFonts w:hint="eastAsia" w:ascii="宋体" w:hAnsi="宋体" w:cs="Times New Roman"/>
          <w:sz w:val="24"/>
        </w:rPr>
        <w:t>类基金份额（通过</w:t>
      </w:r>
      <w:r>
        <w:rPr>
          <w:rFonts w:hint="eastAsia" w:ascii="宋体" w:hAnsi="宋体" w:cs="Times New Roman"/>
          <w:sz w:val="24"/>
          <w:lang w:val="en-US" w:eastAsia="zh-CN"/>
        </w:rPr>
        <w:t>其他销售</w:t>
      </w:r>
      <w:r>
        <w:rPr>
          <w:rFonts w:hint="eastAsia" w:ascii="宋体" w:hAnsi="宋体" w:cs="Times New Roman"/>
          <w:sz w:val="24"/>
        </w:rPr>
        <w:t>机构申购获得），持有期限为</w:t>
      </w:r>
      <w:r>
        <w:rPr>
          <w:rFonts w:hint="eastAsia" w:ascii="宋体" w:hAnsi="宋体" w:cs="Times New Roman"/>
          <w:sz w:val="24"/>
          <w:lang w:val="en-US" w:eastAsia="zh-CN"/>
        </w:rPr>
        <w:t>450</w:t>
      </w:r>
      <w:r>
        <w:rPr>
          <w:rFonts w:hint="eastAsia" w:ascii="宋体" w:hAnsi="宋体" w:cs="Times New Roman"/>
          <w:sz w:val="24"/>
        </w:rPr>
        <w:t>日，对应的赎回费率为0，假设赎回当日</w:t>
      </w:r>
      <w:r>
        <w:rPr>
          <w:rFonts w:hint="eastAsia" w:ascii="宋体" w:hAnsi="宋体" w:cs="Times New Roman"/>
          <w:sz w:val="24"/>
          <w:lang w:val="en-US" w:eastAsia="zh-CN"/>
        </w:rPr>
        <w:t>C</w:t>
      </w:r>
      <w:r>
        <w:rPr>
          <w:rFonts w:hint="eastAsia" w:ascii="宋体" w:hAnsi="宋体" w:cs="Times New Roman"/>
          <w:sz w:val="24"/>
        </w:rPr>
        <w:t>类基金份额净值是1.0160元，且假设该笔赎回确认应返还的销售服务费为</w:t>
      </w:r>
      <w:r>
        <w:rPr>
          <w:rFonts w:hint="eastAsia" w:ascii="宋体" w:hAnsi="宋体" w:cs="Times New Roman"/>
          <w:sz w:val="24"/>
          <w:lang w:val="en-US" w:eastAsia="zh-CN"/>
        </w:rPr>
        <w:t>25</w:t>
      </w:r>
      <w:r>
        <w:rPr>
          <w:rFonts w:hint="eastAsia" w:ascii="宋体" w:hAnsi="宋体" w:cs="Times New Roman"/>
          <w:sz w:val="24"/>
        </w:rPr>
        <w:t>.00元（即通过其他销售机构申购的</w:t>
      </w:r>
      <w:r>
        <w:rPr>
          <w:rFonts w:hint="eastAsia" w:ascii="宋体" w:hAnsi="宋体" w:cs="Times New Roman"/>
          <w:sz w:val="24"/>
          <w:lang w:val="en-US" w:eastAsia="zh-CN"/>
        </w:rPr>
        <w:t>C</w:t>
      </w:r>
      <w:r>
        <w:rPr>
          <w:rFonts w:hint="eastAsia" w:ascii="宋体" w:hAnsi="宋体" w:cs="Times New Roman"/>
          <w:sz w:val="24"/>
        </w:rPr>
        <w:t>类基金份额持续持有超过一年后所计提的销售服务费，在投资者赎回相应基金份额时随赎回款一并返还）则其可得到的赎回金额为：</w:t>
      </w:r>
    </w:p>
    <w:p w14:paraId="7537D512">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赎回费用=1</w:t>
      </w:r>
      <w:r>
        <w:rPr>
          <w:rFonts w:hint="eastAsia" w:ascii="宋体" w:hAnsi="宋体" w:cs="Times New Roman"/>
          <w:sz w:val="24"/>
          <w:lang w:val="en-US" w:eastAsia="zh-CN"/>
        </w:rPr>
        <w:t>0</w:t>
      </w:r>
      <w:r>
        <w:rPr>
          <w:rFonts w:hint="eastAsia" w:ascii="宋体" w:hAnsi="宋体" w:cs="Times New Roman"/>
          <w:sz w:val="24"/>
        </w:rPr>
        <w:t>0,000.00×1.0160×0＝</w:t>
      </w:r>
      <w:r>
        <w:rPr>
          <w:rFonts w:hint="eastAsia" w:ascii="宋体" w:hAnsi="宋体" w:cs="Times New Roman"/>
          <w:sz w:val="24"/>
          <w:lang w:val="en-US" w:eastAsia="zh-CN"/>
        </w:rPr>
        <w:t>0</w:t>
      </w:r>
      <w:r>
        <w:rPr>
          <w:rFonts w:hint="eastAsia" w:ascii="宋体" w:hAnsi="宋体" w:cs="Times New Roman"/>
          <w:sz w:val="24"/>
        </w:rPr>
        <w:t>.0</w:t>
      </w:r>
      <w:r>
        <w:rPr>
          <w:rFonts w:hint="eastAsia" w:ascii="宋体" w:hAnsi="宋体" w:cs="Times New Roman"/>
          <w:sz w:val="24"/>
          <w:lang w:val="en-US" w:eastAsia="zh-CN"/>
        </w:rPr>
        <w:t>0</w:t>
      </w:r>
      <w:r>
        <w:rPr>
          <w:rFonts w:hint="eastAsia" w:ascii="宋体" w:hAnsi="宋体" w:cs="Times New Roman"/>
          <w:sz w:val="24"/>
        </w:rPr>
        <w:t>元</w:t>
      </w:r>
    </w:p>
    <w:p w14:paraId="305B00AE">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赎回金额=1</w:t>
      </w:r>
      <w:r>
        <w:rPr>
          <w:rFonts w:hint="eastAsia" w:ascii="宋体" w:hAnsi="宋体" w:cs="Times New Roman"/>
          <w:sz w:val="24"/>
          <w:lang w:val="en-US" w:eastAsia="zh-CN"/>
        </w:rPr>
        <w:t>0</w:t>
      </w:r>
      <w:r>
        <w:rPr>
          <w:rFonts w:hint="eastAsia" w:ascii="宋体" w:hAnsi="宋体" w:cs="Times New Roman"/>
          <w:sz w:val="24"/>
        </w:rPr>
        <w:t>0,000.00×1.0160-</w:t>
      </w:r>
      <w:r>
        <w:rPr>
          <w:rFonts w:hint="eastAsia" w:ascii="宋体" w:hAnsi="宋体" w:cs="Times New Roman"/>
          <w:sz w:val="24"/>
          <w:lang w:val="en-US" w:eastAsia="zh-CN"/>
        </w:rPr>
        <w:t>0</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w:t>
      </w:r>
      <w:r>
        <w:rPr>
          <w:rFonts w:hint="eastAsia" w:ascii="宋体" w:hAnsi="宋体" w:cs="Times New Roman"/>
          <w:sz w:val="24"/>
          <w:lang w:val="en-US" w:eastAsia="zh-CN"/>
        </w:rPr>
        <w:t>+25.00</w:t>
      </w:r>
      <w:r>
        <w:rPr>
          <w:rFonts w:hint="eastAsia" w:ascii="宋体" w:hAnsi="宋体" w:cs="Times New Roman"/>
          <w:sz w:val="24"/>
        </w:rPr>
        <w:t>＝101,</w:t>
      </w:r>
      <w:r>
        <w:rPr>
          <w:rFonts w:hint="eastAsia" w:ascii="宋体" w:hAnsi="宋体" w:cs="Times New Roman"/>
          <w:sz w:val="24"/>
          <w:lang w:val="en-US" w:eastAsia="zh-CN"/>
        </w:rPr>
        <w:t>625</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0元</w:t>
      </w:r>
    </w:p>
    <w:p w14:paraId="52C88750">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即：该</w:t>
      </w:r>
      <w:r>
        <w:rPr>
          <w:rFonts w:hint="eastAsia" w:ascii="宋体" w:hAnsi="宋体" w:cs="Times New Roman"/>
          <w:sz w:val="24"/>
          <w:lang w:val="en-US" w:eastAsia="zh-CN"/>
        </w:rPr>
        <w:t>个人</w:t>
      </w:r>
      <w:r>
        <w:rPr>
          <w:rFonts w:hint="eastAsia" w:ascii="宋体" w:hAnsi="宋体" w:cs="Times New Roman"/>
          <w:sz w:val="24"/>
        </w:rPr>
        <w:t>投资者赎回本基金1</w:t>
      </w:r>
      <w:r>
        <w:rPr>
          <w:rFonts w:hint="eastAsia" w:ascii="宋体" w:hAnsi="宋体" w:cs="Times New Roman"/>
          <w:sz w:val="24"/>
          <w:lang w:val="en-US" w:eastAsia="zh-CN"/>
        </w:rPr>
        <w:t>0</w:t>
      </w:r>
      <w:r>
        <w:rPr>
          <w:rFonts w:hint="eastAsia" w:ascii="宋体" w:hAnsi="宋体" w:cs="Times New Roman"/>
          <w:sz w:val="24"/>
        </w:rPr>
        <w:t>0,000.00份</w:t>
      </w:r>
      <w:r>
        <w:rPr>
          <w:rFonts w:hint="eastAsia" w:ascii="宋体" w:hAnsi="宋体" w:cs="Times New Roman"/>
          <w:sz w:val="24"/>
          <w:lang w:val="en-US" w:eastAsia="zh-CN"/>
        </w:rPr>
        <w:t>C</w:t>
      </w:r>
      <w:r>
        <w:rPr>
          <w:rFonts w:hint="eastAsia" w:ascii="宋体" w:hAnsi="宋体" w:cs="Times New Roman"/>
          <w:sz w:val="24"/>
        </w:rPr>
        <w:t>类基金份额（通过其他销售机构申购获得），持有期限为</w:t>
      </w:r>
      <w:r>
        <w:rPr>
          <w:rFonts w:hint="eastAsia" w:ascii="宋体" w:hAnsi="宋体" w:cs="Times New Roman"/>
          <w:sz w:val="24"/>
          <w:lang w:val="en-US" w:eastAsia="zh-CN"/>
        </w:rPr>
        <w:t>450</w:t>
      </w:r>
      <w:r>
        <w:rPr>
          <w:rFonts w:hint="eastAsia" w:ascii="宋体" w:hAnsi="宋体" w:cs="Times New Roman"/>
          <w:sz w:val="24"/>
        </w:rPr>
        <w:t>日，对应的赎回费率为0，假设赎回当日</w:t>
      </w:r>
      <w:r>
        <w:rPr>
          <w:rFonts w:hint="eastAsia" w:ascii="宋体" w:hAnsi="宋体" w:cs="Times New Roman"/>
          <w:sz w:val="24"/>
          <w:lang w:val="en-US" w:eastAsia="zh-CN"/>
        </w:rPr>
        <w:t>C</w:t>
      </w:r>
      <w:r>
        <w:rPr>
          <w:rFonts w:hint="eastAsia" w:ascii="宋体" w:hAnsi="宋体" w:cs="Times New Roman"/>
          <w:sz w:val="24"/>
        </w:rPr>
        <w:t>类基金份额净值是1.0160元，</w:t>
      </w:r>
      <w:r>
        <w:rPr>
          <w:rFonts w:hint="eastAsia" w:ascii="宋体" w:hAnsi="宋体" w:cs="Times New Roman"/>
          <w:sz w:val="24"/>
          <w:lang w:val="en-US" w:eastAsia="zh-CN"/>
        </w:rPr>
        <w:t>且假设</w:t>
      </w:r>
      <w:r>
        <w:rPr>
          <w:rFonts w:hint="eastAsia" w:ascii="宋体" w:hAnsi="宋体" w:cs="Times New Roman"/>
          <w:sz w:val="24"/>
        </w:rPr>
        <w:t>该笔赎回确认应返还的销售服务费为</w:t>
      </w:r>
      <w:r>
        <w:rPr>
          <w:rFonts w:hint="eastAsia" w:ascii="宋体" w:hAnsi="宋体" w:cs="Times New Roman"/>
          <w:sz w:val="24"/>
          <w:lang w:val="en-US" w:eastAsia="zh-CN"/>
        </w:rPr>
        <w:t>25</w:t>
      </w:r>
      <w:r>
        <w:rPr>
          <w:rFonts w:hint="eastAsia" w:ascii="宋体" w:hAnsi="宋体" w:cs="Times New Roman"/>
          <w:sz w:val="24"/>
        </w:rPr>
        <w:t>.00元</w:t>
      </w:r>
      <w:r>
        <w:rPr>
          <w:rFonts w:hint="eastAsia" w:ascii="宋体" w:hAnsi="宋体" w:cs="Times New Roman"/>
          <w:sz w:val="24"/>
          <w:lang w:eastAsia="zh-CN"/>
        </w:rPr>
        <w:t>，</w:t>
      </w:r>
      <w:r>
        <w:rPr>
          <w:rFonts w:hint="eastAsia" w:ascii="宋体" w:hAnsi="宋体" w:cs="Times New Roman"/>
          <w:sz w:val="24"/>
        </w:rPr>
        <w:t>则其可得到的赎回金额为101,</w:t>
      </w:r>
      <w:r>
        <w:rPr>
          <w:rFonts w:hint="eastAsia" w:ascii="宋体" w:hAnsi="宋体" w:cs="Times New Roman"/>
          <w:sz w:val="24"/>
          <w:lang w:val="en-US" w:eastAsia="zh-CN"/>
        </w:rPr>
        <w:t>625</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0元。</w:t>
      </w:r>
    </w:p>
    <w:p w14:paraId="1C2FC30B">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例</w:t>
      </w:r>
      <w:r>
        <w:rPr>
          <w:rFonts w:hint="eastAsia" w:ascii="宋体" w:hAnsi="宋体" w:cs="Times New Roman"/>
          <w:sz w:val="24"/>
          <w:lang w:val="en-US" w:eastAsia="zh-CN"/>
        </w:rPr>
        <w:t>七</w:t>
      </w:r>
      <w:r>
        <w:rPr>
          <w:rFonts w:hint="eastAsia" w:ascii="宋体" w:hAnsi="宋体" w:cs="Times New Roman"/>
          <w:sz w:val="24"/>
        </w:rPr>
        <w:t>：某</w:t>
      </w:r>
      <w:r>
        <w:rPr>
          <w:rFonts w:hint="eastAsia" w:ascii="宋体" w:hAnsi="宋体" w:cs="Times New Roman"/>
          <w:sz w:val="24"/>
          <w:lang w:val="en-US" w:eastAsia="zh-CN"/>
        </w:rPr>
        <w:t>机构投资者</w:t>
      </w:r>
      <w:r>
        <w:rPr>
          <w:rFonts w:hint="eastAsia" w:ascii="宋体" w:hAnsi="宋体" w:cs="Times New Roman"/>
          <w:sz w:val="24"/>
        </w:rPr>
        <w:t>赎回持有的1</w:t>
      </w:r>
      <w:r>
        <w:rPr>
          <w:rFonts w:hint="eastAsia" w:ascii="宋体" w:hAnsi="宋体" w:cs="Times New Roman"/>
          <w:sz w:val="24"/>
          <w:lang w:val="en-US" w:eastAsia="zh-CN"/>
        </w:rPr>
        <w:t>0</w:t>
      </w:r>
      <w:r>
        <w:rPr>
          <w:rFonts w:hint="eastAsia" w:ascii="宋体" w:hAnsi="宋体" w:cs="Times New Roman"/>
          <w:sz w:val="24"/>
        </w:rPr>
        <w:t>0,000.00份</w:t>
      </w:r>
      <w:r>
        <w:rPr>
          <w:rFonts w:hint="eastAsia" w:ascii="宋体" w:hAnsi="宋体" w:cs="Times New Roman"/>
          <w:sz w:val="24"/>
          <w:lang w:val="en-US" w:eastAsia="zh-CN"/>
        </w:rPr>
        <w:t>C</w:t>
      </w:r>
      <w:r>
        <w:rPr>
          <w:rFonts w:hint="eastAsia" w:ascii="宋体" w:hAnsi="宋体" w:cs="Times New Roman"/>
          <w:sz w:val="24"/>
        </w:rPr>
        <w:t>类基金份额（通过直销机构申购获得），持有期限为</w:t>
      </w:r>
      <w:r>
        <w:rPr>
          <w:rFonts w:hint="eastAsia" w:ascii="宋体" w:hAnsi="宋体" w:cs="Times New Roman"/>
          <w:sz w:val="24"/>
          <w:lang w:val="en-US" w:eastAsia="zh-CN"/>
        </w:rPr>
        <w:t>9</w:t>
      </w:r>
      <w:r>
        <w:rPr>
          <w:rFonts w:hint="eastAsia" w:ascii="宋体" w:hAnsi="宋体" w:cs="Times New Roman"/>
          <w:sz w:val="24"/>
        </w:rPr>
        <w:t>0日，对应的赎回费率为0，假设赎回当日</w:t>
      </w:r>
      <w:r>
        <w:rPr>
          <w:rFonts w:hint="eastAsia" w:ascii="宋体" w:hAnsi="宋体" w:cs="Times New Roman"/>
          <w:sz w:val="24"/>
          <w:lang w:val="en-US" w:eastAsia="zh-CN"/>
        </w:rPr>
        <w:t>C</w:t>
      </w:r>
      <w:r>
        <w:rPr>
          <w:rFonts w:hint="eastAsia" w:ascii="宋体" w:hAnsi="宋体" w:cs="Times New Roman"/>
          <w:sz w:val="24"/>
        </w:rPr>
        <w:t>类基金份额净值是1.0160元，且假设该笔赎回确认应返还的销售服务费为</w:t>
      </w:r>
      <w:r>
        <w:rPr>
          <w:rFonts w:hint="eastAsia" w:ascii="宋体" w:hAnsi="宋体" w:cs="Times New Roman"/>
          <w:sz w:val="24"/>
          <w:lang w:val="en-US" w:eastAsia="zh-CN"/>
        </w:rPr>
        <w:t>25</w:t>
      </w:r>
      <w:r>
        <w:rPr>
          <w:rFonts w:hint="eastAsia" w:ascii="宋体" w:hAnsi="宋体" w:cs="Times New Roman"/>
          <w:sz w:val="24"/>
        </w:rPr>
        <w:t>.00元（即通过直销机构申购的C类基金份额所计提的销售服务费，在投资者赎回相应基金份额时随赎回款一并返还）则其可得到的赎回金额为：</w:t>
      </w:r>
    </w:p>
    <w:p w14:paraId="6F161D84">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赎回费用=1</w:t>
      </w:r>
      <w:r>
        <w:rPr>
          <w:rFonts w:hint="eastAsia" w:ascii="宋体" w:hAnsi="宋体" w:cs="Times New Roman"/>
          <w:sz w:val="24"/>
          <w:lang w:val="en-US" w:eastAsia="zh-CN"/>
        </w:rPr>
        <w:t>0</w:t>
      </w:r>
      <w:r>
        <w:rPr>
          <w:rFonts w:hint="eastAsia" w:ascii="宋体" w:hAnsi="宋体" w:cs="Times New Roman"/>
          <w:sz w:val="24"/>
        </w:rPr>
        <w:t>0,000.00×1.0160×</w:t>
      </w:r>
      <w:r>
        <w:rPr>
          <w:rFonts w:hint="eastAsia" w:ascii="宋体" w:hAnsi="宋体" w:cs="Times New Roman"/>
          <w:sz w:val="24"/>
          <w:lang w:val="en-US" w:eastAsia="zh-CN"/>
        </w:rPr>
        <w:t>0</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w:t>
      </w:r>
      <w:r>
        <w:rPr>
          <w:rFonts w:hint="eastAsia" w:ascii="宋体" w:hAnsi="宋体" w:cs="Times New Roman"/>
          <w:sz w:val="24"/>
          <w:lang w:val="en-US" w:eastAsia="zh-CN"/>
        </w:rPr>
        <w:t>0</w:t>
      </w:r>
      <w:r>
        <w:rPr>
          <w:rFonts w:hint="eastAsia" w:ascii="宋体" w:hAnsi="宋体" w:cs="Times New Roman"/>
          <w:sz w:val="24"/>
        </w:rPr>
        <w:t>元</w:t>
      </w:r>
    </w:p>
    <w:p w14:paraId="34D117E6">
      <w:pPr>
        <w:autoSpaceDE w:val="0"/>
        <w:autoSpaceDN w:val="0"/>
        <w:adjustRightInd w:val="0"/>
        <w:snapToGrid w:val="0"/>
        <w:spacing w:line="360" w:lineRule="auto"/>
        <w:ind w:firstLine="480" w:firstLineChars="200"/>
        <w:jc w:val="left"/>
        <w:rPr>
          <w:rFonts w:hint="eastAsia" w:ascii="宋体" w:hAnsi="宋体" w:cs="Times New Roman"/>
          <w:sz w:val="24"/>
        </w:rPr>
      </w:pPr>
      <w:r>
        <w:rPr>
          <w:rFonts w:hint="eastAsia" w:ascii="宋体" w:hAnsi="宋体" w:cs="Times New Roman"/>
          <w:sz w:val="24"/>
        </w:rPr>
        <w:t>赎回金额=1</w:t>
      </w:r>
      <w:r>
        <w:rPr>
          <w:rFonts w:hint="eastAsia" w:ascii="宋体" w:hAnsi="宋体" w:cs="Times New Roman"/>
          <w:sz w:val="24"/>
          <w:lang w:val="en-US" w:eastAsia="zh-CN"/>
        </w:rPr>
        <w:t>0</w:t>
      </w:r>
      <w:r>
        <w:rPr>
          <w:rFonts w:hint="eastAsia" w:ascii="宋体" w:hAnsi="宋体" w:cs="Times New Roman"/>
          <w:sz w:val="24"/>
        </w:rPr>
        <w:t>0,000.00×1.0160-</w:t>
      </w:r>
      <w:r>
        <w:rPr>
          <w:rFonts w:hint="eastAsia" w:ascii="宋体" w:hAnsi="宋体" w:cs="Times New Roman"/>
          <w:sz w:val="24"/>
          <w:lang w:val="en-US" w:eastAsia="zh-CN"/>
        </w:rPr>
        <w:t>0</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w:t>
      </w:r>
      <w:r>
        <w:rPr>
          <w:rFonts w:hint="eastAsia" w:ascii="宋体" w:hAnsi="宋体" w:cs="Times New Roman"/>
          <w:sz w:val="24"/>
          <w:lang w:val="en-US" w:eastAsia="zh-CN"/>
        </w:rPr>
        <w:t>+25.00</w:t>
      </w:r>
      <w:r>
        <w:rPr>
          <w:rFonts w:hint="eastAsia" w:ascii="宋体" w:hAnsi="宋体" w:cs="Times New Roman"/>
          <w:sz w:val="24"/>
        </w:rPr>
        <w:t>＝101,</w:t>
      </w:r>
      <w:r>
        <w:rPr>
          <w:rFonts w:hint="eastAsia" w:ascii="宋体" w:hAnsi="宋体" w:cs="Times New Roman"/>
          <w:sz w:val="24"/>
          <w:lang w:val="en-US" w:eastAsia="zh-CN"/>
        </w:rPr>
        <w:t>625</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0元</w:t>
      </w:r>
    </w:p>
    <w:p w14:paraId="6A8B3694">
      <w:pPr>
        <w:autoSpaceDE w:val="0"/>
        <w:autoSpaceDN w:val="0"/>
        <w:adjustRightInd w:val="0"/>
        <w:snapToGrid w:val="0"/>
        <w:spacing w:line="360" w:lineRule="auto"/>
        <w:ind w:firstLine="480" w:firstLineChars="200"/>
        <w:jc w:val="left"/>
        <w:rPr>
          <w:rFonts w:ascii="宋体" w:hAnsi="宋体" w:cs="Times New Roman"/>
          <w:sz w:val="24"/>
        </w:rPr>
      </w:pPr>
      <w:r>
        <w:rPr>
          <w:rFonts w:hint="eastAsia" w:ascii="宋体" w:hAnsi="宋体" w:cs="Times New Roman"/>
          <w:sz w:val="24"/>
        </w:rPr>
        <w:t>即：该</w:t>
      </w:r>
      <w:r>
        <w:rPr>
          <w:rFonts w:hint="eastAsia" w:ascii="宋体" w:hAnsi="宋体" w:cs="Times New Roman"/>
          <w:sz w:val="24"/>
          <w:lang w:val="en-US" w:eastAsia="zh-CN"/>
        </w:rPr>
        <w:t>机构投资者</w:t>
      </w:r>
      <w:r>
        <w:rPr>
          <w:rFonts w:hint="eastAsia" w:ascii="宋体" w:hAnsi="宋体" w:cs="Times New Roman"/>
          <w:sz w:val="24"/>
        </w:rPr>
        <w:t>赎回本基金1</w:t>
      </w:r>
      <w:r>
        <w:rPr>
          <w:rFonts w:hint="eastAsia" w:ascii="宋体" w:hAnsi="宋体" w:cs="Times New Roman"/>
          <w:sz w:val="24"/>
          <w:lang w:val="en-US" w:eastAsia="zh-CN"/>
        </w:rPr>
        <w:t>0</w:t>
      </w:r>
      <w:r>
        <w:rPr>
          <w:rFonts w:hint="eastAsia" w:ascii="宋体" w:hAnsi="宋体" w:cs="Times New Roman"/>
          <w:sz w:val="24"/>
        </w:rPr>
        <w:t>0,000.00份</w:t>
      </w:r>
      <w:r>
        <w:rPr>
          <w:rFonts w:hint="eastAsia" w:ascii="宋体" w:hAnsi="宋体" w:cs="Times New Roman"/>
          <w:sz w:val="24"/>
          <w:lang w:val="en-US" w:eastAsia="zh-CN"/>
        </w:rPr>
        <w:t>C</w:t>
      </w:r>
      <w:r>
        <w:rPr>
          <w:rFonts w:hint="eastAsia" w:ascii="宋体" w:hAnsi="宋体" w:cs="Times New Roman"/>
          <w:sz w:val="24"/>
        </w:rPr>
        <w:t>类基金份额（通过直销机构申购获得），持有期限为</w:t>
      </w:r>
      <w:r>
        <w:rPr>
          <w:rFonts w:hint="eastAsia" w:ascii="宋体" w:hAnsi="宋体" w:cs="Times New Roman"/>
          <w:sz w:val="24"/>
          <w:lang w:val="en-US" w:eastAsia="zh-CN"/>
        </w:rPr>
        <w:t>9</w:t>
      </w:r>
      <w:r>
        <w:rPr>
          <w:rFonts w:hint="eastAsia" w:ascii="宋体" w:hAnsi="宋体" w:cs="Times New Roman"/>
          <w:sz w:val="24"/>
        </w:rPr>
        <w:t>0日，对应的赎回费率为0，假设赎回当日</w:t>
      </w:r>
      <w:r>
        <w:rPr>
          <w:rFonts w:hint="eastAsia" w:ascii="宋体" w:hAnsi="宋体" w:cs="Times New Roman"/>
          <w:sz w:val="24"/>
          <w:lang w:val="en-US" w:eastAsia="zh-CN"/>
        </w:rPr>
        <w:t>C</w:t>
      </w:r>
      <w:r>
        <w:rPr>
          <w:rFonts w:hint="eastAsia" w:ascii="宋体" w:hAnsi="宋体" w:cs="Times New Roman"/>
          <w:sz w:val="24"/>
        </w:rPr>
        <w:t>类基金份额净值是1.0160元，</w:t>
      </w:r>
      <w:r>
        <w:rPr>
          <w:rFonts w:hint="eastAsia" w:ascii="宋体" w:hAnsi="宋体" w:cs="Times New Roman"/>
          <w:sz w:val="24"/>
          <w:lang w:val="en-US" w:eastAsia="zh-CN"/>
        </w:rPr>
        <w:t>且假设</w:t>
      </w:r>
      <w:r>
        <w:rPr>
          <w:rFonts w:hint="eastAsia" w:ascii="宋体" w:hAnsi="宋体" w:cs="Times New Roman"/>
          <w:sz w:val="24"/>
        </w:rPr>
        <w:t>该笔赎回确认应返还的销售服务费为</w:t>
      </w:r>
      <w:r>
        <w:rPr>
          <w:rFonts w:hint="eastAsia" w:ascii="宋体" w:hAnsi="宋体" w:cs="Times New Roman"/>
          <w:sz w:val="24"/>
          <w:lang w:val="en-US" w:eastAsia="zh-CN"/>
        </w:rPr>
        <w:t>25</w:t>
      </w:r>
      <w:r>
        <w:rPr>
          <w:rFonts w:hint="eastAsia" w:ascii="宋体" w:hAnsi="宋体" w:cs="Times New Roman"/>
          <w:sz w:val="24"/>
        </w:rPr>
        <w:t>.00元</w:t>
      </w:r>
      <w:r>
        <w:rPr>
          <w:rFonts w:hint="eastAsia" w:ascii="宋体" w:hAnsi="宋体" w:cs="Times New Roman"/>
          <w:sz w:val="24"/>
          <w:lang w:eastAsia="zh-CN"/>
        </w:rPr>
        <w:t>，</w:t>
      </w:r>
      <w:r>
        <w:rPr>
          <w:rFonts w:hint="eastAsia" w:ascii="宋体" w:hAnsi="宋体" w:cs="Times New Roman"/>
          <w:sz w:val="24"/>
        </w:rPr>
        <w:t>则其可得到的赎回金额为101,</w:t>
      </w:r>
      <w:r>
        <w:rPr>
          <w:rFonts w:hint="eastAsia" w:ascii="宋体" w:hAnsi="宋体" w:cs="Times New Roman"/>
          <w:sz w:val="24"/>
          <w:lang w:val="en-US" w:eastAsia="zh-CN"/>
        </w:rPr>
        <w:t>625</w:t>
      </w:r>
      <w:r>
        <w:rPr>
          <w:rFonts w:hint="eastAsia" w:ascii="宋体" w:hAnsi="宋体" w:cs="Times New Roman"/>
          <w:sz w:val="24"/>
        </w:rPr>
        <w:t>.</w:t>
      </w:r>
      <w:r>
        <w:rPr>
          <w:rFonts w:hint="eastAsia" w:ascii="宋体" w:hAnsi="宋体" w:cs="Times New Roman"/>
          <w:sz w:val="24"/>
          <w:lang w:val="en-US" w:eastAsia="zh-CN"/>
        </w:rPr>
        <w:t>0</w:t>
      </w:r>
      <w:r>
        <w:rPr>
          <w:rFonts w:hint="eastAsia" w:ascii="宋体" w:hAnsi="宋体" w:cs="Times New Roman"/>
          <w:sz w:val="24"/>
        </w:rPr>
        <w:t>0元。</w:t>
      </w:r>
    </w:p>
    <w:p w14:paraId="65A473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14:paraId="66156CFF">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A类</w:t>
      </w:r>
      <w:r>
        <w:rPr>
          <w:rFonts w:ascii="宋体" w:hAnsi="宋体"/>
          <w:sz w:val="24"/>
        </w:rPr>
        <w:t>基金份额净值＝</w:t>
      </w:r>
      <w:r>
        <w:rPr>
          <w:rFonts w:hint="eastAsia" w:ascii="宋体" w:hAnsi="宋体"/>
          <w:sz w:val="24"/>
        </w:rPr>
        <w:t>A类基金份额的</w:t>
      </w:r>
      <w:r>
        <w:rPr>
          <w:rFonts w:ascii="宋体" w:hAnsi="宋体"/>
          <w:sz w:val="24"/>
        </w:rPr>
        <w:t>基金资产净值总额/发行在外的</w:t>
      </w:r>
      <w:r>
        <w:rPr>
          <w:rFonts w:hint="eastAsia" w:ascii="宋体" w:hAnsi="宋体"/>
          <w:sz w:val="24"/>
        </w:rPr>
        <w:t>A类</w:t>
      </w:r>
      <w:r>
        <w:rPr>
          <w:rFonts w:ascii="宋体" w:hAnsi="宋体"/>
          <w:sz w:val="24"/>
        </w:rPr>
        <w:t>基金份额总数</w:t>
      </w:r>
    </w:p>
    <w:p w14:paraId="77490B48">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C类基金份额净值＝C类基金份额的基金资产净值总额/发行在外的C类基金份额总数</w:t>
      </w:r>
    </w:p>
    <w:p w14:paraId="3DA748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14:paraId="2899964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（十）拒绝或暂停申购的情形及处理方式</w:t>
      </w:r>
    </w:p>
    <w:p w14:paraId="74397B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发生下列情况时，基金管理人可拒绝或暂停接受基金投资者的申购申请：</w:t>
      </w:r>
    </w:p>
    <w:p w14:paraId="0C1B40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078F41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2、证券交易所交易时间临时停市，导致基金管理人无法计算当日基金资产净值；</w:t>
      </w:r>
    </w:p>
    <w:p w14:paraId="5DAEF5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3、发生基金合同规定的暂停基金资产估值情况；</w:t>
      </w:r>
    </w:p>
    <w:p w14:paraId="6045F5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4、基金管理人、基金托管人、基金销售机构、深圳证券交易所或注册登记机构的技术保障等异常情况导致基金销售系统或基金注册登记系统或基金会计系统无法正常运行；</w:t>
      </w:r>
    </w:p>
    <w:p w14:paraId="124680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5、基金资产规模过大，使基金管理人无法找到合适的投资品种，或基金管理人认为会损害已有基金份额持有人利益的其他情形；</w:t>
      </w:r>
    </w:p>
    <w:p w14:paraId="6884D6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6、基金管理人认为会有损于现有基金份额持有人利益的某笔申购；</w:t>
      </w:r>
    </w:p>
    <w:p w14:paraId="29FA26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66CB1F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14:paraId="050BE5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9、法律法规规定或中国证监会认定的其他情形。</w:t>
      </w:r>
    </w:p>
    <w:p w14:paraId="6ABEE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除第6、8项以外的暂停申购的情形时，基金管理人应当根据有关规定在指定媒介上刊登暂停申购公告。如果基金投资者的申购申请被拒绝，被拒绝的申购款项将退还给投资者。在暂停申购的情况消除时，基金管理人应及时恢复申购业务的办理。</w:t>
      </w:r>
    </w:p>
    <w:p w14:paraId="30C0D0D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（十一）暂停赎回或者延缓支付赎回款项的情形及处理方式</w:t>
      </w:r>
    </w:p>
    <w:p w14:paraId="2130B4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发生下列情形时，基金管理人可暂停接受基金投资者的赎回申请或延缓支付赎回款项：</w:t>
      </w:r>
    </w:p>
    <w:p w14:paraId="74E125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14:paraId="677EFB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2、证券交易所交易时间临时停市，导致基金管理人无法计算当日基金资产净值；</w:t>
      </w:r>
    </w:p>
    <w:p w14:paraId="637D7C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3、连续两个或两个以上开放日发生巨额赎回，导致本基金的现金支付出现困难；</w:t>
      </w:r>
    </w:p>
    <w:p w14:paraId="016DFF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14:paraId="37D1E8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5、发生基金合同规定的暂停基金资产估值情况；</w:t>
      </w:r>
    </w:p>
    <w:p w14:paraId="586A2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6、基金管理人、基金托管人、基金销售机构、深圳证券交易所或注册登记机构的技术保障等异常情况导致基金销售系统或基金注册登记系统或基金会计系统无法正常运行；</w:t>
      </w:r>
    </w:p>
    <w:p w14:paraId="4F5C19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7、法律法规规定或中国证监会认定的其他情形。</w:t>
      </w:r>
    </w:p>
    <w:p w14:paraId="4C34B3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时，基金管理人应在当日向中国证监会报告，已接受的赎回申请，基金管理人应按时足额支付；如暂时不能足额支付，可支付部分按单个账户申请量占申请总量的比例分配给赎回申请人，未支付部分可延期支付，并以后续开放日的基金份额净值为依据计算赎回金额，若出现上述第3项所述情形，按基金合同的相关条款处理。投资者在申请赎回时可事先选择将当日可能未获受理部分予以撤销。暂停赎回或延缓支付款项的场内处理，按照深圳证券交易所及中国证券登记结算有限责任公司的有关规定办理。</w:t>
      </w:r>
    </w:p>
    <w:p w14:paraId="0DCC08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在暂停赎回的情况消除时，基金管理人应及时恢复赎回业务的办理并公告。</w:t>
      </w:r>
    </w:p>
    <w:p w14:paraId="06BCB66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（十二）巨额赎回的情形及处理方式</w:t>
      </w:r>
    </w:p>
    <w:p w14:paraId="49708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0B208A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14:paraId="6D2429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4BF9C9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（1）巨额赎回的场外处理方式</w:t>
      </w:r>
    </w:p>
    <w:p w14:paraId="6BDCA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当基金出现巨额赎回时，基金管理人可以根据基金当时的资产组合状况决定全额赎回或部分顺延赎回。</w:t>
      </w:r>
    </w:p>
    <w:p w14:paraId="3CE609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①全额赎回：当基金管理人认为有能力支付基金投资者的赎回申请时，按正常赎回程序执行。</w:t>
      </w:r>
    </w:p>
    <w:p w14:paraId="47D80D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部分顺延赎回：当基金管理人认为支付基金投资者的赎回申请有困难或认为支付投资者的赎回申请而进行的财产变现可能会对基金资产净值造成较大波动时，基金管理人在当日接受赎回比例不低于前一工作日基金总份额的10%的前提下，对其余赎回申请延期办理。对于当日的赎回申请，应当按基金份额持有人提交的每笔赎回申请量占赎回申请总量的比例，确定该笔赎回申请当日部分确认的赎回份额；基金投资者未能赎回部分，投资者在提交场外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w:t>
      </w:r>
      <w:r>
        <w:rPr>
          <w:rFonts w:hint="eastAsia" w:ascii="宋体" w:hAnsi="宋体"/>
          <w:sz w:val="24"/>
          <w:szCs w:val="21"/>
          <w:lang w:val="en-US" w:eastAsia="zh-CN"/>
        </w:rPr>
        <w:t>该类</w:t>
      </w:r>
      <w:r>
        <w:rPr>
          <w:rFonts w:ascii="宋体" w:hAnsi="宋体"/>
          <w:sz w:val="24"/>
        </w:rPr>
        <w:t>基金份额净值为基础计算赎回金额，并以此类推，直到全部赎回为止。如基金投资者在提交赎回申请时未作明确选择，投资者未能赎回部分作自动延期赎回处理。</w:t>
      </w:r>
    </w:p>
    <w:p w14:paraId="73C3AC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①全额赎回”或“②部分顺延赎回”的约定方式与其他基金份额持有人的赎回申请一并办理。但是，如基金份额持有人在当日选择取消赎回，则其当日未获受理的部分赎回申请将被撤销。</w:t>
      </w:r>
    </w:p>
    <w:p w14:paraId="4C650E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（2）巨额赎回的场内处理方式</w:t>
      </w:r>
    </w:p>
    <w:p w14:paraId="5520AE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巨额赎回业务的场内处理，按照深圳证券交易所及中国证券登记结算有限责任公司的有关规定办理。</w:t>
      </w:r>
    </w:p>
    <w:p w14:paraId="391AE6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14:paraId="5BFB86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当发生巨额赎回并顺延赎回时，基金管理人应当通过邮寄、传真、刊登公告或者通知代销机构代为告知等方式在3个交易日内通知基金份额持有人，说明有关处理方法，并在2日内在指定媒介上刊登公告。</w:t>
      </w:r>
    </w:p>
    <w:p w14:paraId="778017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连续2日以上(含本数)发生巨额赎回，如基金管理人认为有必要，可暂停接受基金的赎回申请；已经接受的赎回申请可以延缓支付赎回款项，但不得超过20个工作日，并应当在指定媒介上进行公告。</w:t>
      </w:r>
    </w:p>
    <w:p w14:paraId="02B9682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（十三）暂停申购或赎回的公告和重新开放申购或赎回的公告</w:t>
      </w:r>
    </w:p>
    <w:p w14:paraId="38C71C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14:paraId="0B837C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2、如发生暂停的时间为1日，基金管理人应于重新开放日依照有关规定在指定媒介上刊登基金重新开放申购或赎回的公告，并公布最近1个工作日</w:t>
      </w:r>
      <w:r>
        <w:rPr>
          <w:rFonts w:hint="eastAsia" w:ascii="宋体" w:hAnsi="宋体"/>
          <w:sz w:val="24"/>
          <w:szCs w:val="21"/>
        </w:rPr>
        <w:t>各类基金份额</w:t>
      </w:r>
      <w:r>
        <w:rPr>
          <w:rFonts w:ascii="宋体" w:hAnsi="宋体"/>
          <w:sz w:val="24"/>
        </w:rPr>
        <w:t>的基金份额净值。</w:t>
      </w:r>
    </w:p>
    <w:p w14:paraId="0C88C5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3、如发生暂停的时间超过1日，暂停结束，基金重新开放申购或赎回时，基金管理人应依照《信息披露管理办法》的有关规定，在指定媒介上刊登基金重新开放申购或赎回公告，并公告最近1个工作日</w:t>
      </w:r>
      <w:r>
        <w:rPr>
          <w:rFonts w:hint="eastAsia" w:ascii="宋体" w:hAnsi="宋体"/>
          <w:sz w:val="24"/>
          <w:szCs w:val="21"/>
        </w:rPr>
        <w:t>各类基金份额</w:t>
      </w:r>
      <w:r>
        <w:rPr>
          <w:rFonts w:ascii="宋体" w:hAnsi="宋体"/>
          <w:sz w:val="24"/>
        </w:rPr>
        <w:t>的基金份额净值。</w:t>
      </w:r>
    </w:p>
    <w:p w14:paraId="1DE2A1D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（十四）转托管</w:t>
      </w:r>
    </w:p>
    <w:p w14:paraId="0DDDE7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份额采用分系统登记的原则。场内认（申）购或上市交易买入的基金份额登记在证券登记系统基金份额持有人深圳证券账户下；场外认（申）购的基金份额登记在基金登记系统基金份额持有人开放式基金账户下。登记在证券登记系统中的基金份额可直接在深圳证券交易所上市交易；登记在基金登记系统中的基金份额通过办理跨系统转托管业务将基金份额转至证券登记系统后，方可上市交易（本基金后端基金份额未开通上市交易业务以及场内申购赎回业务，跨系统转托管业务仅适用于前端基金份额，投资人就持有的后端基金份额不能跨系统转托管到场内）。</w:t>
      </w:r>
    </w:p>
    <w:p w14:paraId="21135A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本基金的转托管包括系统内转托管和跨系统转托管。</w:t>
      </w:r>
    </w:p>
    <w:p w14:paraId="57597E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系统内转托管是指基金份额持有人将其持有的基金份额在基金登记系统内不同销售机构（网点）之间或证券登记系统内不同会员单位（席位或交易单元）之间进行转托管的行为。基金份额登记在基金登记系统的基金份额持有人在变更办理基金赎回业务的销售机构（网点）时，可办理已持有基金份额的系统内转托管。基金份额登记在证券登记系统的基金份额持有人在变更办理上市交易或场内赎回的会员单位（席位或交易单元）时，可办理已持有基金份额的系统内转托管。本基金系统内转托管的具体业务按照中国证券登记结算有限责任公司和深圳证券交易所的相关规定以及基金销售机构的业务规则办理。</w:t>
      </w:r>
    </w:p>
    <w:p w14:paraId="62E0A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跨系统转托管是指基金份额持有人将其持有的</w:t>
      </w:r>
      <w:r>
        <w:rPr>
          <w:rFonts w:hint="eastAsia" w:ascii="宋体" w:hAnsi="宋体"/>
          <w:sz w:val="24"/>
          <w:lang w:val="en-US" w:eastAsia="zh-CN"/>
        </w:rPr>
        <w:t>A类</w:t>
      </w:r>
      <w:r>
        <w:rPr>
          <w:rFonts w:ascii="宋体" w:hAnsi="宋体"/>
          <w:sz w:val="24"/>
        </w:rPr>
        <w:t>基金份额在基金登记系统和证券登记系统间进行转托管的行为，本基金后端基金份额未开通上市交易业务以及场内申购赎回业务，跨系统转托管业务仅适用于前端基金份额，投资人就持有的后端基金份额不能跨系统转托管到场内。</w:t>
      </w:r>
      <w:r>
        <w:rPr>
          <w:rFonts w:hint="eastAsia"/>
          <w:bCs/>
          <w:sz w:val="24"/>
        </w:rPr>
        <w:t>除经基金管理人另行公告，C类基金份额不能进行跨系统转托管。</w:t>
      </w:r>
      <w:r>
        <w:rPr>
          <w:rFonts w:ascii="宋体" w:hAnsi="宋体"/>
          <w:sz w:val="24"/>
        </w:rPr>
        <w:t>本基金跨系统转托管的具体业务按照中国证券登记结算有限责任公司和深圳证券交易所的相关规定办理。</w:t>
      </w:r>
    </w:p>
    <w:p w14:paraId="02CB0A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保证基金份额持有人的利益，根据基金基金合同的约定，经本基金管理人向深圳证券交易所申请，已开通本基金的跨系统转托管业务，投资者可以通过认购本基金的代销机构或基金管理人的直销中心办理本基金跨系统转托管业务。封闭期结束，本基金转为上市开放式基金(LOF)并开放申购业务后，跨系统转托管业务将自动适用于在场内、场外申购的前端基金份额。场外认购的投资者欲办理跨系统转托管业务，须按照相关规定开立深圳证券交易所人民币普通股票账户或证券投资基金账户和办理其他相关手续，具体请咨询相关业务办理机构。</w:t>
      </w:r>
    </w:p>
    <w:p w14:paraId="4C8D905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（十五）定期定额投资计划</w:t>
      </w:r>
    </w:p>
    <w:p w14:paraId="79C7F7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1月22日刊登公告自2014年1月28日起开通</w:t>
      </w:r>
      <w:r>
        <w:rPr>
          <w:rFonts w:hint="eastAsia" w:ascii="宋体" w:hAnsi="宋体"/>
          <w:sz w:val="24"/>
        </w:rPr>
        <w:t>A类基金份额的</w:t>
      </w:r>
      <w:r>
        <w:rPr>
          <w:rFonts w:ascii="宋体" w:hAnsi="宋体"/>
          <w:sz w:val="24"/>
        </w:rPr>
        <w:t>定期定额投资计划业务，</w:t>
      </w:r>
      <w:r>
        <w:rPr>
          <w:rFonts w:hint="eastAsia" w:ascii="宋体" w:hAnsi="宋体"/>
          <w:sz w:val="24"/>
        </w:rPr>
        <w:t>本基金202</w:t>
      </w:r>
      <w:r>
        <w:rPr>
          <w:rFonts w:ascii="宋体" w:hAnsi="宋体"/>
          <w:sz w:val="24"/>
        </w:rPr>
        <w:t>6</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r>
        <w:rPr>
          <w:rFonts w:hint="eastAsia" w:ascii="宋体" w:hAnsi="宋体"/>
          <w:sz w:val="24"/>
          <w:lang w:val="en-US" w:eastAsia="zh-CN"/>
        </w:rPr>
        <w:t>21</w:t>
      </w:r>
      <w:r>
        <w:rPr>
          <w:rFonts w:hint="eastAsia" w:ascii="宋体" w:hAnsi="宋体"/>
          <w:sz w:val="24"/>
        </w:rPr>
        <w:t>日刊登公告自202</w:t>
      </w:r>
      <w:r>
        <w:rPr>
          <w:rFonts w:ascii="宋体" w:hAnsi="宋体"/>
          <w:sz w:val="24"/>
        </w:rPr>
        <w:t>6</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r>
        <w:rPr>
          <w:rFonts w:hint="eastAsia" w:ascii="宋体" w:hAnsi="宋体"/>
          <w:sz w:val="24"/>
          <w:lang w:val="en-US" w:eastAsia="zh-CN"/>
        </w:rPr>
        <w:t>22</w:t>
      </w:r>
      <w:r>
        <w:rPr>
          <w:rFonts w:hint="eastAsia" w:ascii="宋体" w:hAnsi="宋体"/>
          <w:sz w:val="24"/>
        </w:rPr>
        <w:t>日起增设C类基金份额并开通C类基金份额的定期定额投资计划业务</w:t>
      </w:r>
      <w:r>
        <w:rPr>
          <w:rFonts w:ascii="宋体" w:hAnsi="宋体"/>
          <w:sz w:val="24"/>
        </w:rPr>
        <w:t>，具体开通销售机构名单和业务规则参见相关公告。</w:t>
      </w:r>
    </w:p>
    <w:p w14:paraId="6D1093A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（十六）基金的非交易过户</w:t>
      </w:r>
    </w:p>
    <w:p w14:paraId="08214B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14:paraId="159ED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注册登记机构要求提供的相关资料，对于符合条件的非交易过户申请按注册登记机构的有关规定办理，并按注册登记机构规定的标准收费。</w:t>
      </w:r>
    </w:p>
    <w:p w14:paraId="5CADC57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w:t>
      </w:r>
      <w:r>
        <w:rPr>
          <w:rFonts w:hint="eastAsia" w:ascii="宋体" w:hAnsi="宋体"/>
          <w:b/>
          <w:kern w:val="0"/>
          <w:sz w:val="24"/>
          <w:lang w:val="en-US" w:eastAsia="zh-CN"/>
        </w:rPr>
        <w:t>七</w:t>
      </w:r>
      <w:r>
        <w:rPr>
          <w:rFonts w:hint="eastAsia" w:ascii="宋体" w:hAnsi="宋体"/>
          <w:b/>
          <w:kern w:val="0"/>
          <w:sz w:val="24"/>
        </w:rPr>
        <w:t>）基金份额的冻结和解冻</w:t>
      </w:r>
    </w:p>
    <w:p w14:paraId="5153DD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基金份额的冻结和解冻业务，由注册登记机构办理。</w:t>
      </w:r>
    </w:p>
    <w:p w14:paraId="01E23F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只受理国家有关机关依法要求的基金份额的冻结与解冻以及注册登记机构认可的其他情况的基金份额的冻结与解冻。基金份额被冻结的，被冻结部分产生的权益按照法律法规、监管规章以及国家有权机关的要求来决定是否冻结。当基金份额处于冻结状态时，注册登记机构或其他相关机构有权拒绝该部分基金份额的赎回、转出、非交易过户以及基金的转托管申请。</w:t>
      </w:r>
    </w:p>
    <w:p w14:paraId="0E37A9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在相关法律法规或监管机构允许的范围内，基金管理人还可办理除上述业务以外的其他交易业务。</w:t>
      </w:r>
    </w:p>
    <w:p w14:paraId="5FBA46E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w:t>
      </w:r>
      <w:r>
        <w:rPr>
          <w:rFonts w:hint="eastAsia" w:ascii="宋体" w:hAnsi="宋体"/>
          <w:b/>
          <w:kern w:val="0"/>
          <w:sz w:val="24"/>
          <w:lang w:val="en-US" w:eastAsia="zh-CN"/>
        </w:rPr>
        <w:t>八</w:t>
      </w:r>
      <w:r>
        <w:rPr>
          <w:rFonts w:hint="eastAsia" w:ascii="宋体" w:hAnsi="宋体"/>
          <w:b/>
          <w:kern w:val="0"/>
          <w:sz w:val="24"/>
        </w:rPr>
        <w:t>）实施侧袋机制期间本基金的申购与赎回</w:t>
      </w:r>
    </w:p>
    <w:p w14:paraId="0794910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本基金实施侧袋机制的，本基金的申购和赎回安排详见本招募说明书“侧袋机制”部分的规定或相关公告。</w:t>
      </w:r>
    </w:p>
    <w:p w14:paraId="3683C62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A525556">
      <w:pPr>
        <w:pStyle w:val="2"/>
        <w:snapToGrid w:val="0"/>
        <w:spacing w:before="240" w:beforeLines="0" w:after="240"/>
        <w:rPr>
          <w:rFonts w:ascii="宋体" w:hAnsi="宋体"/>
          <w:szCs w:val="30"/>
        </w:rPr>
      </w:pPr>
      <w:bookmarkStart w:id="12" w:name="_Toc202960200"/>
      <w:r>
        <w:rPr>
          <w:rFonts w:ascii="Times New Roman" w:hAnsi="Times New Roman"/>
          <w:sz w:val="30"/>
        </w:rPr>
        <w:t>十、基金运作方式的变更、转换运作方式的条件及相关事项</w:t>
      </w:r>
      <w:bookmarkEnd w:id="12"/>
    </w:p>
    <w:p w14:paraId="7866BA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(一)基金运作方式的变更</w:t>
      </w:r>
    </w:p>
    <w:p w14:paraId="79A3B5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基金合同生效之日起三年（含三年）的期间内，采取封闭式运作，封闭期结束后将转为上市开放式基金(LOF)。本基金基金合同满三年直接转为上市开放式基金(LOF)的不需要召开基金份额持有人大会。</w:t>
      </w:r>
    </w:p>
    <w:p w14:paraId="491C14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封闭期内，本基金在符合基金合同约定条件的前提下，可以提前转换运作方式成为上市开放式基金(LOF)。</w:t>
      </w:r>
    </w:p>
    <w:p w14:paraId="7FB61B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本基金封闭期于2014年1月27日结束，自2014年1月28日起，本基金的运作方式转为上市开放式基金（LOF）。</w:t>
      </w:r>
    </w:p>
    <w:p w14:paraId="6AE1B1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(二)转换基金运作方式后基金份额的上市交易</w:t>
      </w:r>
    </w:p>
    <w:p w14:paraId="4182DF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转换基金运作方式后，本基金将以上市开放式基金(LOF)的方式运作。本基金在深圳证券交易所上市交易的相关事宜并不因转换基金运作方式而发生调整。</w:t>
      </w:r>
    </w:p>
    <w:p w14:paraId="707758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为上市开放式基金(LOF)后，登记在证券登记系统中的基金份额仍在深圳证券交易所上市交易；登记在基金登记系统中的基金份额可通过跨系统转托管转入证券登记系统后进行上市交易（本基金后端基金份额未开通上市交易业务以及场内申购赎回业务，跨系统转托管业务仅适用于前端基金份额，投资人就持有的后端基金份额不能跨系统转托管到场内）。</w:t>
      </w:r>
      <w:r>
        <w:rPr>
          <w:rFonts w:hint="eastAsia"/>
          <w:bCs/>
          <w:sz w:val="24"/>
        </w:rPr>
        <w:t>如无特别说明，</w:t>
      </w:r>
      <w:r>
        <w:rPr>
          <w:rFonts w:hint="eastAsia"/>
          <w:bCs/>
          <w:sz w:val="24"/>
          <w:lang w:val="en-US" w:eastAsia="zh-CN"/>
        </w:rPr>
        <w:t>前述</w:t>
      </w:r>
      <w:r>
        <w:rPr>
          <w:rFonts w:hint="eastAsia"/>
          <w:bCs/>
          <w:sz w:val="24"/>
        </w:rPr>
        <w:t>约定仅适用于本基金</w:t>
      </w:r>
      <w:r>
        <w:rPr>
          <w:rFonts w:hint="eastAsia" w:ascii="Times New Roman" w:hAnsi="Times New Roman"/>
          <w:kern w:val="0"/>
          <w:sz w:val="24"/>
          <w:lang w:val="en-US" w:eastAsia="zh-CN"/>
        </w:rPr>
        <w:t>A类</w:t>
      </w:r>
      <w:r>
        <w:rPr>
          <w:rFonts w:hint="eastAsia"/>
          <w:bCs/>
          <w:sz w:val="24"/>
        </w:rPr>
        <w:t>基金份额。</w:t>
      </w:r>
    </w:p>
    <w:p w14:paraId="34317F2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A68BF45">
      <w:pPr>
        <w:pStyle w:val="2"/>
        <w:snapToGrid w:val="0"/>
        <w:spacing w:before="240" w:beforeLines="0" w:after="240"/>
        <w:rPr>
          <w:rFonts w:ascii="宋体" w:hAnsi="宋体"/>
          <w:szCs w:val="30"/>
        </w:rPr>
      </w:pPr>
      <w:bookmarkStart w:id="13" w:name="_Toc202960201"/>
      <w:r>
        <w:rPr>
          <w:rFonts w:ascii="Times New Roman" w:hAnsi="Times New Roman"/>
          <w:sz w:val="30"/>
        </w:rPr>
        <w:t>十一、基金的转换</w:t>
      </w:r>
      <w:bookmarkEnd w:id="13"/>
    </w:p>
    <w:p w14:paraId="4E3DF1EC">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（一）基金转换</w:t>
      </w:r>
    </w:p>
    <w:p w14:paraId="5AC9C9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w:t>
      </w:r>
      <w:r>
        <w:rPr>
          <w:rFonts w:hint="eastAsia"/>
          <w:bCs/>
          <w:sz w:val="24"/>
        </w:rPr>
        <w:t>该基金其他份额（如有）或</w:t>
      </w:r>
      <w:r>
        <w:rPr>
          <w:bCs/>
          <w:sz w:val="24"/>
        </w:rPr>
        <w:t>基金管理人管理的其他基金基金份额</w:t>
      </w:r>
      <w:r>
        <w:rPr>
          <w:rFonts w:ascii="宋体" w:hAnsi="宋体"/>
          <w:sz w:val="24"/>
        </w:rPr>
        <w:t>。基金转换只能在同一销售机构进行。</w:t>
      </w:r>
    </w:p>
    <w:p w14:paraId="5A753FA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（二）转换业务办理时间</w:t>
      </w:r>
    </w:p>
    <w:p w14:paraId="1B96A6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本基金2024年1月23日刊登公告自2024年1月25日起开放场外</w:t>
      </w:r>
      <w:r>
        <w:rPr>
          <w:rFonts w:hint="eastAsia" w:ascii="宋体" w:hAnsi="宋体"/>
          <w:sz w:val="24"/>
          <w:lang w:val="en-US" w:eastAsia="zh-CN"/>
        </w:rPr>
        <w:t>A类基金</w:t>
      </w:r>
      <w:r>
        <w:rPr>
          <w:rFonts w:ascii="宋体" w:hAnsi="宋体"/>
          <w:sz w:val="24"/>
        </w:rPr>
        <w:t>份额的日常转换业务。</w:t>
      </w:r>
    </w:p>
    <w:p w14:paraId="04FBFB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14:paraId="1E76DD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14:paraId="70BFC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14:paraId="7DBCA44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（三）基金转换的程序</w:t>
      </w:r>
    </w:p>
    <w:p w14:paraId="116475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14:paraId="3E3AE4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14:paraId="344CA1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14:paraId="79413C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14:paraId="2B6C8E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14:paraId="75FBAA7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（四）基金转换的数额限制</w:t>
      </w:r>
    </w:p>
    <w:p w14:paraId="447BF1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14:paraId="4873BD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14:paraId="392A11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14:paraId="627197C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（五）基金转换费用</w:t>
      </w:r>
    </w:p>
    <w:p w14:paraId="53EEDE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1、本基金仅办理场外份额的转换业务。每笔基金转换视为一笔赎回和一笔申购，基金转换费用相应由转出基金的赎回费用及转出、转入基金的申购补差费用构成。</w:t>
      </w:r>
    </w:p>
    <w:p w14:paraId="213864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14:paraId="792624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14:paraId="593924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14:paraId="29451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14:paraId="75ADED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14:paraId="6E4629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14:paraId="650587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14:paraId="2843B3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14:paraId="5FA53F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14:paraId="674C2E3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（六）基金转换份额的计算公式</w:t>
      </w:r>
    </w:p>
    <w:p w14:paraId="3148BA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14:paraId="32073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729E3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12A376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1D06EC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14:paraId="2C7A6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14:paraId="1FDF79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14:paraId="1355A0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67AE4B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132ADF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337B1E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2E9F46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14:paraId="4CA516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14:paraId="171479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14:paraId="4E5B42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14:paraId="24DAEF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14:paraId="0FD583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14:paraId="5D5657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14:paraId="34882A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14:paraId="467E25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14:paraId="340D97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14:paraId="34FF2A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14:paraId="4B1E8C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14:paraId="26516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14:paraId="576535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55ACD1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3EC6E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14:paraId="3DF828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14:paraId="7A416E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14:paraId="5D3B71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14:paraId="090371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60CAE9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53F8A9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4021EE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14:paraId="36957E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14:paraId="2D6800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14:paraId="6DFFBD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3D908C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76E898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5A67FC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14:paraId="220F87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45B13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06C5BB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0B39A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6B8032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14:paraId="1F9FB4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4ABB10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0E3560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00CBDE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14:paraId="1FEFD0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14:paraId="5E20F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14:paraId="65D87B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720257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0B43C4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1E4D8E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14:paraId="302E4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14:paraId="5EAD8A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14:paraId="321AFA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14:paraId="626190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14:paraId="223C08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14:paraId="4C75AA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14:paraId="3203F0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14:paraId="2A148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14:paraId="7EAA8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120967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1A2547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6647D6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14:paraId="013758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14:paraId="03906D3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（七）业务规则</w:t>
      </w:r>
    </w:p>
    <w:p w14:paraId="79BBB8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14:paraId="13D9FA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14:paraId="3D79E7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14:paraId="73F2FD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14:paraId="58257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14:paraId="71C0D56B">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（八）暂停基金转换</w:t>
      </w:r>
    </w:p>
    <w:p w14:paraId="39FF2C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14:paraId="21DF62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14:paraId="7119164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8F7F53B">
      <w:pPr>
        <w:pStyle w:val="2"/>
        <w:snapToGrid w:val="0"/>
        <w:spacing w:before="240" w:beforeLines="0" w:after="240"/>
        <w:rPr>
          <w:rFonts w:ascii="宋体" w:hAnsi="宋体"/>
          <w:szCs w:val="30"/>
        </w:rPr>
      </w:pPr>
      <w:bookmarkStart w:id="14" w:name="_Toc202960202"/>
      <w:r>
        <w:rPr>
          <w:rFonts w:ascii="Times New Roman" w:hAnsi="Times New Roman"/>
          <w:sz w:val="30"/>
        </w:rPr>
        <w:t>十二、基金的投资</w:t>
      </w:r>
      <w:bookmarkEnd w:id="14"/>
    </w:p>
    <w:p w14:paraId="45F126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（一）投资理念</w:t>
      </w:r>
    </w:p>
    <w:p w14:paraId="1317A8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本基金的投资理念是：研究创造价值。该理念根植于市场的弱有效性，至少包含以下三层含义：</w:t>
      </w:r>
    </w:p>
    <w:p w14:paraId="64B9F3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1、目前中国的债券市场是弱有效的；</w:t>
      </w:r>
    </w:p>
    <w:p w14:paraId="59328E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2、即使在一个有效的市场中，也存在阶段性的效率缺失；</w:t>
      </w:r>
    </w:p>
    <w:p w14:paraId="1DC3D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3、专业化的研究分析，可以挖掘弱有效市场中的投资机会。</w:t>
      </w:r>
    </w:p>
    <w:p w14:paraId="1432F1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（二）投资目标</w:t>
      </w:r>
    </w:p>
    <w:p w14:paraId="061254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p w14:paraId="55D9A3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（三）投资范围</w:t>
      </w:r>
    </w:p>
    <w:p w14:paraId="76B942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14:paraId="39C0E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如法律法规或中国证监会以后允许基金投资其他品种，基金管理人在履行适当程序后，可以将其纳入投资范围。</w:t>
      </w:r>
    </w:p>
    <w:p w14:paraId="5F10D6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（四）投资对象</w:t>
      </w:r>
    </w:p>
    <w:p w14:paraId="6EE14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本基金的投资组合比例如下：</w:t>
      </w:r>
    </w:p>
    <w:p w14:paraId="116126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本基金在封闭期内，对债券等固定收益类资产的投资比例不低于基金资产的80%，其中对信用债券的投资比例不低于固定收益类资产的80%；对股票、权证等非固定收益类资产的投资比例不高于基金资产的20%。</w:t>
      </w:r>
    </w:p>
    <w:p w14:paraId="76AB37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14:paraId="390567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本基金所指信用债券指金融债（不含政策性金融债）、地方政府债、企业债、公司债、短期融资券、可转换债券及可分离转债、资产支持证券等除国债和中央银行票据之外的、非国家信用的固定收益类金融工具。</w:t>
      </w:r>
    </w:p>
    <w:p w14:paraId="414CB6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14:paraId="46E489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本基金的整体业绩比较基准为：中债企业债总全价指数收益率×80%+中债国债总全价指数收益率×20%</w:t>
      </w:r>
    </w:p>
    <w:p w14:paraId="05ADB5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本基金选择上述业绩比较基准的理由如下：</w:t>
      </w:r>
    </w:p>
    <w:p w14:paraId="71BC2A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1、公允性</w:t>
      </w:r>
    </w:p>
    <w:p w14:paraId="32907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业绩比较基准为复合型基准，选取了中债企业债总全价指数和中债国债总全价指数。上述两个指数分别反映我国企业债市场和国债市场整体投资收益情况，指数样本与本基金的投资标的具有较高一致性。本基金的业绩比较基准对上述两个指数分别赋予了80%和20%的权重，与本基金对信用债券投资进行重点配置的情况相匹配。</w:t>
      </w:r>
    </w:p>
    <w:p w14:paraId="0FDF37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2、易于观测性</w:t>
      </w:r>
    </w:p>
    <w:p w14:paraId="5BA5B0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中债企业债总全价指数和中债国债总全价指数的情况在中国债券信息网（www.chinabond.com.cn）上公开发布，易于观察，便于基金投资者获取。</w:t>
      </w:r>
    </w:p>
    <w:p w14:paraId="1DB724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3、高知名度</w:t>
      </w:r>
    </w:p>
    <w:p w14:paraId="665672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中债企业债总全价指数和中债国债总全价指数在市场上具有较高的知名度，由中央国债登记结算有限责任公司编制并发布，被广泛使用。</w:t>
      </w:r>
    </w:p>
    <w:p w14:paraId="750702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14:paraId="7D4830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（六）投资策略</w:t>
      </w:r>
    </w:p>
    <w:p w14:paraId="57C532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14:paraId="412CF1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同时，本基金也会关注股票一级市场、权证一级市场等其它相关市场存在的投资机会，力争实现基金总体风险收益特征保持不变前提下的基金资产增值最大化。</w:t>
      </w:r>
    </w:p>
    <w:p w14:paraId="0878C8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14:paraId="4BC257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债券类资产、权益类资产和现金的配置比例，并随着各类证券风险收益特征的相对变化，动态调整大类资产的投资比例，以规避或控制市场风险，提高基金收益率。</w:t>
      </w:r>
    </w:p>
    <w:p w14:paraId="20580C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14:paraId="2ED275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14:paraId="5E9A61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作为债券基金最基本的投资策略，久期管理策略在本质上是一种自上而下的，通过合理的久期控制实现对利率风险有效管理的策略。</w:t>
      </w:r>
    </w:p>
    <w:p w14:paraId="398B4E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具体而言，当预期市场利率下降时，本基金将拉长所持有债券组合的久期，以获得市场利率实际下降时债券价格上涨的收益；反之，当预期市场利率上升时，则缩短组合久期，以规避债券价格下降带来的资本损失。</w:t>
      </w:r>
    </w:p>
    <w:p w14:paraId="6D705F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w:t>
      </w:r>
    </w:p>
    <w:p w14:paraId="2C25B2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14:paraId="6AC345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本基金是在控制信用风险和流动性风险为主的基金总体风险水平的前提下，通过灵活运用类属配置策略合理优化配置基金资产，通过对信用风险和流动性风险的有效管理，谋求更高的经风险调整后的稳定收益。</w:t>
      </w:r>
    </w:p>
    <w:p w14:paraId="2FF27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（3）收益率曲线配置策略</w:t>
      </w:r>
    </w:p>
    <w:p w14:paraId="39989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本基金将通过预期收益率曲线形态变化来调整投资组合的头寸。</w:t>
      </w:r>
    </w:p>
    <w:p w14:paraId="02977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14:paraId="29ACBA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14:paraId="0D3B3F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14:paraId="4C0B02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14:paraId="0F4FA6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信用债券投资策略是本基金最重要的投资策略。信用债券同时承载了利率风险与信用风险，而信用风险对信用债券表现的影响胜于利率风险。</w:t>
      </w:r>
    </w:p>
    <w:p w14:paraId="4D4461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具体而言，本基金信用债券的投资遵循以下流程：</w:t>
      </w:r>
    </w:p>
    <w:p w14:paraId="68347E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14:paraId="786C80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14:paraId="35E299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②信用债券投资</w:t>
      </w:r>
    </w:p>
    <w:p w14:paraId="380997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基金经理从信用债券池中精选债券构建信用债券投资组合。本基金构建和管理信用债券投资组合时主要考虑以下因素：</w:t>
      </w:r>
    </w:p>
    <w:p w14:paraId="21FD56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14:paraId="5916C1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w:t>
      </w:r>
    </w:p>
    <w:p w14:paraId="7DFAAA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14:paraId="716881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14:paraId="46D348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（7）可转换债券投资策略</w:t>
      </w:r>
    </w:p>
    <w:p w14:paraId="5E36C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介于股票和债券之间的投资品种，兼具股性和债性的双重特征。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w:t>
      </w:r>
    </w:p>
    <w:p w14:paraId="0F83F4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对于本基金可转换债券债性的研究，将引进公司信用债券信用评级指标体系，对可转换债券的发行主体及标的债券进行信用评级，并在信用评级的基础上对其进行合理定价。</w:t>
      </w:r>
    </w:p>
    <w:p w14:paraId="2A0136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通过对标的转债股性与债性的合理定价，力求寻找出被市场低估的品种，构建本基金可转换债券的投资组合。</w:t>
      </w:r>
    </w:p>
    <w:p w14:paraId="1B05C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3、新股投资策略</w:t>
      </w:r>
    </w:p>
    <w:p w14:paraId="13F30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新股中签率和新股的收益率变动趋势；同时，借助公司投资平台行业研究员的研究建议，预测拟申购新股的中签率和收益率，确定合理规模的资金后精选个股进行申购，并于其可上市交易或流通受限解除后，在控制组合波动性风险的前提下根据对市场和个股的判断选择合适的时机出售，以期提升基金的收益水平。</w:t>
      </w:r>
    </w:p>
    <w:p w14:paraId="7187F3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4、权证投资策略</w:t>
      </w:r>
    </w:p>
    <w:p w14:paraId="147AF8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以选择权证的卖出时机，追求稳定的当期收益。</w:t>
      </w:r>
    </w:p>
    <w:p w14:paraId="032A10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（七）投资决策依据和投资流程</w:t>
      </w:r>
    </w:p>
    <w:p w14:paraId="542DB7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为了保证整个投资组合计划的顺利贯彻与实施，本基金遵循以下投资决策依据以及具体的投资流程：</w:t>
      </w:r>
    </w:p>
    <w:p w14:paraId="56E2D1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1、投资决策依据</w:t>
      </w:r>
    </w:p>
    <w:p w14:paraId="3DB5A5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（1）国家有关法律法规和基金合同的有关规定；</w:t>
      </w:r>
    </w:p>
    <w:p w14:paraId="6379D1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（2）宏观经济发展态势、证券市场运行环境和走势；</w:t>
      </w:r>
    </w:p>
    <w:p w14:paraId="4D78AD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14:paraId="66DA50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2、决策和交易机制</w:t>
      </w:r>
    </w:p>
    <w:p w14:paraId="4AC2FF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本基金实行投资决策委员会领导下的基金经理负责制，投资总监、固定收益部总经理是投资决策委员会的执行代表。</w:t>
      </w:r>
    </w:p>
    <w:p w14:paraId="062838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14:paraId="4F18CA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14:paraId="5E52C9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14:paraId="79B02A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3、投资流程</w:t>
      </w:r>
    </w:p>
    <w:p w14:paraId="3EDA1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投资决策委员会是本基金的最高决策机构，投资决策委员会定期就投资管理业务的重大问题进行讨论。</w:t>
      </w:r>
    </w:p>
    <w:p w14:paraId="6B7908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14:paraId="5DABDE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具体的投资管理流程如下：</w:t>
      </w:r>
    </w:p>
    <w:p w14:paraId="36C8E2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（1）投资决策委员会每月召开投资决策会议，决定基金的资产配置比例和股票、债券的投资重点等；</w:t>
      </w:r>
    </w:p>
    <w:p w14:paraId="1E067A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14:paraId="119EED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14:paraId="0F7977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和股票分析师的行业分析和个股研究，结合本基金产品定位及风险控制的要求，在权限范围内制定具体的投资组合方案；</w:t>
      </w:r>
    </w:p>
    <w:p w14:paraId="3B727D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（5）基金经理根据基金投资组合方案，向中央交易室下达交易指令；</w:t>
      </w:r>
    </w:p>
    <w:p w14:paraId="2E0DC6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（6）中央交易室执行基金经理的交易指令，对交易情况及时反馈；</w:t>
      </w:r>
    </w:p>
    <w:p w14:paraId="531F46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（7）定量分析师负责完成有关投资风险监控报告及内部基金业绩评估报告。</w:t>
      </w:r>
    </w:p>
    <w:p w14:paraId="759D06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投资决策委员会有权根据市场变化和实际情况的需要，对上述投资管理程序做出调整。</w:t>
      </w:r>
    </w:p>
    <w:p w14:paraId="67007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（八）投资限制</w:t>
      </w:r>
    </w:p>
    <w:p w14:paraId="5AE541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在投资策略上</w:t>
      </w:r>
      <w:r>
        <w:rPr>
          <w:rFonts w:hint="eastAsia" w:ascii="宋体" w:hAnsi="宋体"/>
          <w:sz w:val="24"/>
          <w:lang w:eastAsia="zh-CN"/>
        </w:rPr>
        <w:t>，</w:t>
      </w:r>
      <w:r>
        <w:rPr>
          <w:rFonts w:ascii="宋体" w:hAnsi="宋体"/>
          <w:sz w:val="24"/>
        </w:rPr>
        <w:t>本基金将兼顾上述投资原则，以及本基金基金合同生效后进入封闭期，采用封闭式运作、封闭期结束后开放的固有特点，通过分散投资降低基金资产的非系统性风险，保持基金组合良好的流动性。本基金的投资组合将遵循以下限制：</w:t>
      </w:r>
    </w:p>
    <w:p w14:paraId="72D000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14:paraId="23D90F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(2)本基金与由本基金管理人管理的其他基金持有一家公司发行的证券，不超过该证券的10%；</w:t>
      </w:r>
    </w:p>
    <w:p w14:paraId="6276E6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(3)进入全国银行间同业市场进行债券回购的资金余额不得超过基金资产净值的40%。进入全国银行间同业市场进行债券回购的最长期限为1年，债券回购到期后不得展期；</w:t>
      </w:r>
    </w:p>
    <w:p w14:paraId="3A83EE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14:paraId="328B5F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(5)本基金在封闭期间，对债券等固定收益类资产的投资比例不低于基金资产的80%，其中对信用债券的投资比例不低于固定收益类资产的80%；对股票、权证等非固定收益类资产的投资比例不高于基金资产的20%。</w:t>
      </w:r>
    </w:p>
    <w:p w14:paraId="159259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w:t>
      </w:r>
    </w:p>
    <w:p w14:paraId="7EAF7E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同时本基金在开放期间保持不低于基金资产净值5%的现金或者到期日在一年以内的政府债券，其中现金不包括结算备付金、存出保证金和应收申购款等；</w:t>
      </w:r>
    </w:p>
    <w:p w14:paraId="4B4076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权证，在任何交易日买入的总金额，不超过上一交易日基金资产净值的0.5%，基金持有的全部权证的市值不超过基金资产净值的3%，本基金管理人管理的全部基金持有同一权证的比例不超过该权证的10%。法律法规或监管部门另有规定的，遵从其规定。</w:t>
      </w:r>
    </w:p>
    <w:p w14:paraId="6B5888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中国证监会规定的特殊品种除外。</w:t>
      </w:r>
    </w:p>
    <w:p w14:paraId="2C17CB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(8)本基金应投资于信用级别评级为BBB以上（含BBB）的资产支持证券。在持有资产支持证券期间，如遇其信用等级下降，不再符合投资标准，应在评级报告发布之日起3个月内予以全部卖出；</w:t>
      </w:r>
    </w:p>
    <w:p w14:paraId="2AC95A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开放期间，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50C27B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在开放期间，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5E526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(11)本基金与私募类证券资管产品及中国证监会认定的其他主体为交易对手开展逆回购交易的，可接受质押品的资质要求应当与本基金合同约定的投资范围保持一致；</w:t>
      </w:r>
    </w:p>
    <w:p w14:paraId="072D46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(12)本基金不得违反基金合同中有关投资范围、投资策略、投资比例的规定；</w:t>
      </w:r>
    </w:p>
    <w:p w14:paraId="769C58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(13)法律法规或监管部门对上述比例限制另有规定的，从其规定。</w:t>
      </w:r>
    </w:p>
    <w:p w14:paraId="621149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六个月内使基金的投资组合比例符合基金合同的约定。在符合相关法律法规规定的前提下，除上述第（5）项第三款、（8）、（10）、（11）项外，因证券市场波动、上市公司合并、基金规模变动等非本基金管理人的因素致使基金的投资组合不符合上述规定的投资比例的，基金管理人应当在10个交易日内进行调整。法律法规或监管部门另有规定的，从其规定。</w:t>
      </w:r>
    </w:p>
    <w:p w14:paraId="64C38C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若法律法规或监管部门对上述约定的投资组合比例限制规定进行变更的，以变更后的规定为准。若法律法规或监管部门取消上述限制，履行适当程序后，本基金投资可不受上述规定限制。</w:t>
      </w:r>
    </w:p>
    <w:p w14:paraId="4F548D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（九）禁止行为</w:t>
      </w:r>
    </w:p>
    <w:p w14:paraId="432836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为维护基金份额持有人的合法权益，本基金禁止从事下列行为：</w:t>
      </w:r>
    </w:p>
    <w:p w14:paraId="5001DB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13B76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2、向他人贷款或者提供担保；</w:t>
      </w:r>
    </w:p>
    <w:p w14:paraId="23E171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30F21D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4、买卖其他基金份额，但是国务院另有规定的除外；</w:t>
      </w:r>
    </w:p>
    <w:p w14:paraId="27C59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5、向基金管理人、基金托管人出资或者买卖基金管理人、基金托管人发行的股票或者债券；</w:t>
      </w:r>
    </w:p>
    <w:p w14:paraId="29734C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14:paraId="102549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7、从事内幕交易、操纵证券交易价格及其他不正当的证券交易活动；</w:t>
      </w:r>
    </w:p>
    <w:p w14:paraId="37A71A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8、依照法律法规有关规定，由中国证监会规定禁止的其他活动。</w:t>
      </w:r>
    </w:p>
    <w:p w14:paraId="1F999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若法律法规或监管部门取消上述禁止性规定，履行适当程序后，本基金投资可不受上述规定限制。</w:t>
      </w:r>
    </w:p>
    <w:p w14:paraId="6DD487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（十）风险收益特征</w:t>
      </w:r>
    </w:p>
    <w:p w14:paraId="3E4DD3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14:paraId="349B7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（十一）基金管理人代表基金行使股东及债权人权利的处理原则及方法</w:t>
      </w:r>
    </w:p>
    <w:p w14:paraId="0FD945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1、基金管理人按照国家有关规定代表基金独立行使股东和债权人权利，保护基金份额持有人的利益；</w:t>
      </w:r>
    </w:p>
    <w:p w14:paraId="0D3042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14:paraId="19F933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14:paraId="6DE50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14:paraId="15B8D5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（十二）基金的融资、融券</w:t>
      </w:r>
    </w:p>
    <w:p w14:paraId="7B072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本基金可以根据有关法律法规和政策的规定进行融资、融券。</w:t>
      </w:r>
    </w:p>
    <w:p w14:paraId="49917B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（十三）侧袋机制的实施和投资运作安排</w:t>
      </w:r>
    </w:p>
    <w:p w14:paraId="3F2232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075EE0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64E23A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4E51F1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（十四）基金投资组合报告</w:t>
      </w:r>
    </w:p>
    <w:p w14:paraId="25B881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w:t>
      </w:r>
      <w:r>
        <w:rPr>
          <w:rFonts w:hint="eastAsia" w:ascii="宋体" w:hAnsi="宋体"/>
          <w:sz w:val="24"/>
          <w:lang w:eastAsia="zh-CN"/>
        </w:rPr>
        <w:t>，</w:t>
      </w:r>
      <w:r>
        <w:rPr>
          <w:rFonts w:ascii="宋体" w:hAnsi="宋体"/>
          <w:sz w:val="24"/>
        </w:rPr>
        <w:t>并对其内容的真实性、准确性和完整性承担个别及连带责任。</w:t>
      </w:r>
    </w:p>
    <w:p w14:paraId="72B6A9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本基金托管人中国农业银行根据本基金合同规定，于2025年04月18日复核了本报告中的财务指标、净值表现和投资组合报告等内容</w:t>
      </w:r>
      <w:r>
        <w:rPr>
          <w:rFonts w:hint="eastAsia" w:ascii="宋体" w:hAnsi="宋体"/>
          <w:sz w:val="24"/>
          <w:lang w:eastAsia="zh-CN"/>
        </w:rPr>
        <w:t>，</w:t>
      </w:r>
      <w:r>
        <w:rPr>
          <w:rFonts w:ascii="宋体" w:hAnsi="宋体"/>
          <w:sz w:val="24"/>
        </w:rPr>
        <w:t>保证复核内容不存在虚假记载、误导性陈述或者重大遗漏。</w:t>
      </w:r>
    </w:p>
    <w:p w14:paraId="3FD209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本报告期为2025年01月01日起至03月31日。本报告财务资料未经审计师审计。</w:t>
      </w:r>
    </w:p>
    <w:p w14:paraId="695593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34F4C0F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544780E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B7446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9B98B2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42B0AA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7D23692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ED49E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C6A055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14:paraId="3525C8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27EBE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A970E4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7DF8E7">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48EAF91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14:paraId="04039A2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DCFD3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A92A56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AD4CE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2F3B5798">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14:paraId="08829F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0E9737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286EE5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B459F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733035E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493E028F">
            <w:pPr>
              <w:widowControl/>
              <w:snapToGrid w:val="0"/>
              <w:jc w:val="right"/>
              <w:rPr>
                <w:rFonts w:ascii="宋体" w:hAnsi="宋体"/>
                <w:color w:val="000000"/>
                <w:kern w:val="0"/>
                <w:sz w:val="25"/>
                <w:szCs w:val="24"/>
              </w:rPr>
            </w:pPr>
            <w:r>
              <w:rPr>
                <w:rFonts w:ascii="Times New Roman" w:hAnsi="Times New Roman"/>
                <w:color w:val="000000"/>
                <w:kern w:val="0"/>
                <w:sz w:val="25"/>
                <w:szCs w:val="24"/>
              </w:rPr>
              <w:t>961,894,960.88</w:t>
            </w:r>
          </w:p>
        </w:tc>
        <w:tc>
          <w:tcPr>
            <w:tcW w:w="400" w:type="pct"/>
            <w:tcBorders>
              <w:top w:val="single" w:color="auto" w:sz="4" w:space="0"/>
              <w:left w:val="single" w:color="auto" w:sz="4" w:space="0"/>
              <w:bottom w:val="single" w:color="auto" w:sz="4" w:space="0"/>
              <w:right w:val="single" w:color="auto" w:sz="4" w:space="0"/>
            </w:tcBorders>
            <w:vAlign w:val="center"/>
          </w:tcPr>
          <w:p w14:paraId="3813BD00">
            <w:pPr>
              <w:widowControl/>
              <w:snapToGrid w:val="0"/>
              <w:jc w:val="right"/>
              <w:rPr>
                <w:rFonts w:ascii="宋体" w:hAnsi="宋体"/>
                <w:color w:val="000000"/>
                <w:kern w:val="0"/>
                <w:sz w:val="25"/>
                <w:szCs w:val="24"/>
              </w:rPr>
            </w:pPr>
            <w:r>
              <w:rPr>
                <w:rFonts w:ascii="Times New Roman" w:hAnsi="Times New Roman"/>
                <w:color w:val="000000"/>
                <w:kern w:val="0"/>
                <w:sz w:val="25"/>
                <w:szCs w:val="24"/>
              </w:rPr>
              <w:t>96.53</w:t>
            </w:r>
          </w:p>
        </w:tc>
      </w:tr>
      <w:tr w14:paraId="078B869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CF14A2">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AC14BF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3CCFF89C">
            <w:pPr>
              <w:widowControl/>
              <w:snapToGrid w:val="0"/>
              <w:jc w:val="right"/>
              <w:rPr>
                <w:rFonts w:ascii="宋体" w:hAnsi="宋体"/>
                <w:color w:val="000000"/>
                <w:kern w:val="0"/>
                <w:sz w:val="25"/>
                <w:szCs w:val="24"/>
              </w:rPr>
            </w:pPr>
            <w:r>
              <w:rPr>
                <w:rFonts w:ascii="Times New Roman" w:hAnsi="Times New Roman"/>
                <w:color w:val="000000"/>
                <w:kern w:val="0"/>
                <w:sz w:val="25"/>
                <w:szCs w:val="24"/>
              </w:rPr>
              <w:t>961,894,960.88</w:t>
            </w:r>
          </w:p>
        </w:tc>
        <w:tc>
          <w:tcPr>
            <w:tcW w:w="400" w:type="pct"/>
            <w:tcBorders>
              <w:top w:val="single" w:color="auto" w:sz="4" w:space="0"/>
              <w:left w:val="single" w:color="auto" w:sz="4" w:space="0"/>
              <w:bottom w:val="single" w:color="auto" w:sz="4" w:space="0"/>
              <w:right w:val="single" w:color="auto" w:sz="4" w:space="0"/>
            </w:tcBorders>
            <w:vAlign w:val="center"/>
          </w:tcPr>
          <w:p w14:paraId="057DECC2">
            <w:pPr>
              <w:widowControl/>
              <w:snapToGrid w:val="0"/>
              <w:jc w:val="right"/>
              <w:rPr>
                <w:rFonts w:ascii="宋体" w:hAnsi="宋体"/>
                <w:color w:val="000000"/>
                <w:kern w:val="0"/>
                <w:sz w:val="25"/>
                <w:szCs w:val="24"/>
              </w:rPr>
            </w:pPr>
            <w:r>
              <w:rPr>
                <w:rFonts w:ascii="Times New Roman" w:hAnsi="Times New Roman"/>
                <w:color w:val="000000"/>
                <w:kern w:val="0"/>
                <w:sz w:val="25"/>
                <w:szCs w:val="24"/>
              </w:rPr>
              <w:t>96.53</w:t>
            </w:r>
          </w:p>
        </w:tc>
      </w:tr>
      <w:tr w14:paraId="13E5879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42C1AD5">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6BC5FA4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10654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A2F256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867FC2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37D95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557935C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14:paraId="48B9DF0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ED882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264805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2943A5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5A29CE0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14:paraId="1A46FDC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83229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D33036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51053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620AB43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7913E9A7">
            <w:pPr>
              <w:widowControl/>
              <w:snapToGrid w:val="0"/>
              <w:jc w:val="right"/>
              <w:rPr>
                <w:rFonts w:ascii="宋体" w:hAnsi="宋体"/>
                <w:color w:val="000000"/>
                <w:kern w:val="0"/>
                <w:sz w:val="25"/>
                <w:szCs w:val="24"/>
              </w:rPr>
            </w:pPr>
            <w:r>
              <w:rPr>
                <w:rFonts w:ascii="Times New Roman" w:hAnsi="Times New Roman"/>
                <w:color w:val="000000"/>
                <w:kern w:val="0"/>
                <w:sz w:val="25"/>
                <w:szCs w:val="24"/>
              </w:rPr>
              <w:t>31,105,112.33</w:t>
            </w:r>
          </w:p>
        </w:tc>
        <w:tc>
          <w:tcPr>
            <w:tcW w:w="400" w:type="pct"/>
            <w:tcBorders>
              <w:top w:val="single" w:color="auto" w:sz="4" w:space="0"/>
              <w:left w:val="single" w:color="auto" w:sz="4" w:space="0"/>
              <w:bottom w:val="single" w:color="auto" w:sz="4" w:space="0"/>
              <w:right w:val="single" w:color="auto" w:sz="4" w:space="0"/>
            </w:tcBorders>
            <w:vAlign w:val="center"/>
          </w:tcPr>
          <w:p w14:paraId="78BCD2AC">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14:paraId="0BCA546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5A7A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3DD5E7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3B732DA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3E115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CB00EB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17EE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63738928">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60845295">
            <w:pPr>
              <w:widowControl/>
              <w:snapToGrid w:val="0"/>
              <w:jc w:val="right"/>
              <w:rPr>
                <w:rFonts w:ascii="宋体" w:hAnsi="宋体"/>
                <w:color w:val="000000"/>
                <w:kern w:val="0"/>
                <w:sz w:val="25"/>
                <w:szCs w:val="24"/>
              </w:rPr>
            </w:pPr>
            <w:r>
              <w:rPr>
                <w:rFonts w:ascii="Times New Roman" w:hAnsi="Times New Roman"/>
                <w:color w:val="000000"/>
                <w:kern w:val="0"/>
                <w:sz w:val="25"/>
                <w:szCs w:val="24"/>
              </w:rPr>
              <w:t>3,394,507.04</w:t>
            </w:r>
          </w:p>
        </w:tc>
        <w:tc>
          <w:tcPr>
            <w:tcW w:w="400" w:type="pct"/>
            <w:tcBorders>
              <w:top w:val="single" w:color="auto" w:sz="4" w:space="0"/>
              <w:left w:val="single" w:color="auto" w:sz="4" w:space="0"/>
              <w:bottom w:val="single" w:color="auto" w:sz="4" w:space="0"/>
              <w:right w:val="single" w:color="auto" w:sz="4" w:space="0"/>
            </w:tcBorders>
            <w:vAlign w:val="center"/>
          </w:tcPr>
          <w:p w14:paraId="2E0AE6B7">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14:paraId="2FB8E30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530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0BCED2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70078559">
            <w:pPr>
              <w:widowControl/>
              <w:snapToGrid w:val="0"/>
              <w:jc w:val="right"/>
              <w:rPr>
                <w:rFonts w:ascii="宋体" w:hAnsi="宋体"/>
                <w:color w:val="000000"/>
                <w:kern w:val="0"/>
                <w:sz w:val="25"/>
                <w:szCs w:val="24"/>
              </w:rPr>
            </w:pPr>
            <w:r>
              <w:rPr>
                <w:rFonts w:ascii="Times New Roman" w:hAnsi="Times New Roman"/>
                <w:color w:val="000000"/>
                <w:kern w:val="0"/>
                <w:sz w:val="25"/>
                <w:szCs w:val="24"/>
              </w:rPr>
              <w:t>37,308.50</w:t>
            </w:r>
          </w:p>
        </w:tc>
        <w:tc>
          <w:tcPr>
            <w:tcW w:w="400" w:type="pct"/>
            <w:tcBorders>
              <w:top w:val="single" w:color="auto" w:sz="4" w:space="0"/>
              <w:left w:val="single" w:color="auto" w:sz="4" w:space="0"/>
              <w:bottom w:val="single" w:color="auto" w:sz="4" w:space="0"/>
              <w:right w:val="single" w:color="auto" w:sz="4" w:space="0"/>
            </w:tcBorders>
            <w:vAlign w:val="center"/>
          </w:tcPr>
          <w:p w14:paraId="0A959407">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14:paraId="3900EDD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8AF06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527ACA0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7ADCC102">
            <w:pPr>
              <w:widowControl/>
              <w:snapToGrid w:val="0"/>
              <w:jc w:val="right"/>
              <w:rPr>
                <w:rFonts w:ascii="宋体" w:hAnsi="宋体"/>
                <w:color w:val="000000"/>
                <w:kern w:val="0"/>
                <w:sz w:val="25"/>
                <w:szCs w:val="24"/>
              </w:rPr>
            </w:pPr>
            <w:r>
              <w:rPr>
                <w:rFonts w:ascii="Times New Roman" w:hAnsi="Times New Roman"/>
                <w:color w:val="000000"/>
                <w:kern w:val="0"/>
                <w:sz w:val="25"/>
                <w:szCs w:val="24"/>
              </w:rPr>
              <w:t>996,431,888.75</w:t>
            </w:r>
          </w:p>
        </w:tc>
        <w:tc>
          <w:tcPr>
            <w:tcW w:w="400" w:type="pct"/>
            <w:tcBorders>
              <w:top w:val="single" w:color="auto" w:sz="4" w:space="0"/>
              <w:left w:val="single" w:color="auto" w:sz="4" w:space="0"/>
              <w:bottom w:val="single" w:color="auto" w:sz="4" w:space="0"/>
              <w:right w:val="single" w:color="auto" w:sz="4" w:space="0"/>
            </w:tcBorders>
            <w:vAlign w:val="center"/>
          </w:tcPr>
          <w:p w14:paraId="115CF7E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5E6590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14:paraId="4821C8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14:paraId="38A2D1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73E1A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14:paraId="299A0A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35225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14:paraId="2F8812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14:paraId="32DEBB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7DC82D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101C73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725A54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F6380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35AC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7D6909C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00AD52A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ABF45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C607AF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64AE82FC">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10,470,638.12</w:t>
            </w:r>
          </w:p>
        </w:tc>
        <w:tc>
          <w:tcPr>
            <w:tcW w:w="400" w:type="pct"/>
            <w:tcBorders>
              <w:top w:val="single" w:color="auto" w:sz="4" w:space="0"/>
              <w:left w:val="single" w:color="auto" w:sz="4" w:space="0"/>
              <w:bottom w:val="single" w:color="auto" w:sz="4" w:space="0"/>
              <w:right w:val="single" w:color="auto" w:sz="4" w:space="0"/>
            </w:tcBorders>
            <w:vAlign w:val="center"/>
          </w:tcPr>
          <w:p w14:paraId="7E5B59E1">
            <w:pPr>
              <w:widowControl/>
              <w:snapToGrid w:val="0"/>
              <w:jc w:val="right"/>
              <w:rPr>
                <w:rFonts w:ascii="宋体" w:hAnsi="宋体"/>
                <w:color w:val="000000"/>
                <w:kern w:val="0"/>
                <w:sz w:val="25"/>
                <w:szCs w:val="24"/>
              </w:rPr>
            </w:pPr>
            <w:r>
              <w:rPr>
                <w:rFonts w:ascii="Times New Roman" w:hAnsi="Times New Roman"/>
                <w:color w:val="000000"/>
                <w:kern w:val="0"/>
                <w:sz w:val="25"/>
                <w:szCs w:val="24"/>
              </w:rPr>
              <w:t>1.26</w:t>
            </w:r>
          </w:p>
        </w:tc>
      </w:tr>
      <w:tr w14:paraId="0B682B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134DE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419D9F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17E647E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784C73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FA6C0B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8814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06765A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286832A0">
            <w:pPr>
              <w:widowControl/>
              <w:snapToGrid w:val="0"/>
              <w:jc w:val="right"/>
              <w:rPr>
                <w:rFonts w:ascii="宋体" w:hAnsi="宋体"/>
                <w:color w:val="000000"/>
                <w:kern w:val="0"/>
                <w:sz w:val="25"/>
                <w:szCs w:val="24"/>
              </w:rPr>
            </w:pPr>
            <w:r>
              <w:rPr>
                <w:rFonts w:ascii="Times New Roman" w:hAnsi="Times New Roman"/>
                <w:color w:val="000000"/>
                <w:kern w:val="0"/>
                <w:sz w:val="25"/>
                <w:szCs w:val="24"/>
              </w:rPr>
              <w:t>255,746,530.40</w:t>
            </w:r>
          </w:p>
        </w:tc>
        <w:tc>
          <w:tcPr>
            <w:tcW w:w="400" w:type="pct"/>
            <w:tcBorders>
              <w:top w:val="single" w:color="auto" w:sz="4" w:space="0"/>
              <w:left w:val="single" w:color="auto" w:sz="4" w:space="0"/>
              <w:bottom w:val="single" w:color="auto" w:sz="4" w:space="0"/>
              <w:right w:val="single" w:color="auto" w:sz="4" w:space="0"/>
            </w:tcBorders>
            <w:vAlign w:val="center"/>
          </w:tcPr>
          <w:p w14:paraId="36E48D52">
            <w:pPr>
              <w:widowControl/>
              <w:snapToGrid w:val="0"/>
              <w:jc w:val="right"/>
              <w:rPr>
                <w:rFonts w:ascii="宋体" w:hAnsi="宋体"/>
                <w:color w:val="000000"/>
                <w:kern w:val="0"/>
                <w:sz w:val="25"/>
                <w:szCs w:val="24"/>
              </w:rPr>
            </w:pPr>
            <w:r>
              <w:rPr>
                <w:rFonts w:ascii="Times New Roman" w:hAnsi="Times New Roman"/>
                <w:color w:val="000000"/>
                <w:kern w:val="0"/>
                <w:sz w:val="25"/>
                <w:szCs w:val="24"/>
              </w:rPr>
              <w:t>30.68</w:t>
            </w:r>
          </w:p>
        </w:tc>
      </w:tr>
      <w:tr w14:paraId="7B2FFBB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48A0AC">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7CCA8F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70233EE4">
            <w:pPr>
              <w:widowControl/>
              <w:snapToGrid w:val="0"/>
              <w:jc w:val="right"/>
              <w:rPr>
                <w:rFonts w:ascii="宋体" w:hAnsi="宋体"/>
                <w:color w:val="000000"/>
                <w:kern w:val="0"/>
                <w:sz w:val="25"/>
                <w:szCs w:val="24"/>
              </w:rPr>
            </w:pPr>
            <w:r>
              <w:rPr>
                <w:rFonts w:ascii="Times New Roman" w:hAnsi="Times New Roman"/>
                <w:color w:val="000000"/>
                <w:kern w:val="0"/>
                <w:sz w:val="25"/>
                <w:szCs w:val="24"/>
              </w:rPr>
              <w:t>50,534,460.27</w:t>
            </w:r>
          </w:p>
        </w:tc>
        <w:tc>
          <w:tcPr>
            <w:tcW w:w="400" w:type="pct"/>
            <w:tcBorders>
              <w:top w:val="single" w:color="auto" w:sz="4" w:space="0"/>
              <w:left w:val="single" w:color="auto" w:sz="4" w:space="0"/>
              <w:bottom w:val="single" w:color="auto" w:sz="4" w:space="0"/>
              <w:right w:val="single" w:color="auto" w:sz="4" w:space="0"/>
            </w:tcBorders>
            <w:vAlign w:val="center"/>
          </w:tcPr>
          <w:p w14:paraId="54C5964A">
            <w:pPr>
              <w:widowControl/>
              <w:snapToGrid w:val="0"/>
              <w:jc w:val="right"/>
              <w:rPr>
                <w:rFonts w:ascii="宋体" w:hAnsi="宋体"/>
                <w:color w:val="000000"/>
                <w:kern w:val="0"/>
                <w:sz w:val="25"/>
                <w:szCs w:val="24"/>
              </w:rPr>
            </w:pPr>
            <w:r>
              <w:rPr>
                <w:rFonts w:ascii="Times New Roman" w:hAnsi="Times New Roman"/>
                <w:color w:val="000000"/>
                <w:kern w:val="0"/>
                <w:sz w:val="25"/>
                <w:szCs w:val="24"/>
              </w:rPr>
              <w:t>6.06</w:t>
            </w:r>
          </w:p>
        </w:tc>
      </w:tr>
      <w:tr w14:paraId="33A7295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B7EF0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5EFF141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11B904EA">
            <w:pPr>
              <w:widowControl/>
              <w:snapToGrid w:val="0"/>
              <w:jc w:val="right"/>
              <w:rPr>
                <w:rFonts w:ascii="宋体" w:hAnsi="宋体"/>
                <w:color w:val="000000"/>
                <w:kern w:val="0"/>
                <w:sz w:val="25"/>
                <w:szCs w:val="24"/>
              </w:rPr>
            </w:pPr>
            <w:r>
              <w:rPr>
                <w:rFonts w:ascii="Times New Roman" w:hAnsi="Times New Roman"/>
                <w:color w:val="000000"/>
                <w:kern w:val="0"/>
                <w:sz w:val="25"/>
                <w:szCs w:val="24"/>
              </w:rPr>
              <w:t>40,597,899.18</w:t>
            </w:r>
          </w:p>
        </w:tc>
        <w:tc>
          <w:tcPr>
            <w:tcW w:w="400" w:type="pct"/>
            <w:tcBorders>
              <w:top w:val="single" w:color="auto" w:sz="4" w:space="0"/>
              <w:left w:val="single" w:color="auto" w:sz="4" w:space="0"/>
              <w:bottom w:val="single" w:color="auto" w:sz="4" w:space="0"/>
              <w:right w:val="single" w:color="auto" w:sz="4" w:space="0"/>
            </w:tcBorders>
            <w:vAlign w:val="center"/>
          </w:tcPr>
          <w:p w14:paraId="7942B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4.87</w:t>
            </w:r>
          </w:p>
        </w:tc>
      </w:tr>
      <w:tr w14:paraId="1C5988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8594F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13E9327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376A470E">
            <w:pPr>
              <w:widowControl/>
              <w:snapToGrid w:val="0"/>
              <w:jc w:val="right"/>
              <w:rPr>
                <w:rFonts w:ascii="宋体" w:hAnsi="宋体"/>
                <w:color w:val="000000"/>
                <w:kern w:val="0"/>
                <w:sz w:val="25"/>
                <w:szCs w:val="24"/>
              </w:rPr>
            </w:pPr>
            <w:r>
              <w:rPr>
                <w:rFonts w:ascii="Times New Roman" w:hAnsi="Times New Roman"/>
                <w:color w:val="000000"/>
                <w:kern w:val="0"/>
                <w:sz w:val="25"/>
                <w:szCs w:val="24"/>
              </w:rPr>
              <w:t>50,684,738.63</w:t>
            </w:r>
          </w:p>
        </w:tc>
        <w:tc>
          <w:tcPr>
            <w:tcW w:w="400" w:type="pct"/>
            <w:tcBorders>
              <w:top w:val="single" w:color="auto" w:sz="4" w:space="0"/>
              <w:left w:val="single" w:color="auto" w:sz="4" w:space="0"/>
              <w:bottom w:val="single" w:color="auto" w:sz="4" w:space="0"/>
              <w:right w:val="single" w:color="auto" w:sz="4" w:space="0"/>
            </w:tcBorders>
            <w:vAlign w:val="center"/>
          </w:tcPr>
          <w:p w14:paraId="63262B6D">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14:paraId="58B0202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E1CD8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5C1979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29CD0F54">
            <w:pPr>
              <w:widowControl/>
              <w:snapToGrid w:val="0"/>
              <w:jc w:val="right"/>
              <w:rPr>
                <w:rFonts w:ascii="宋体" w:hAnsi="宋体"/>
                <w:color w:val="000000"/>
                <w:kern w:val="0"/>
                <w:sz w:val="25"/>
                <w:szCs w:val="24"/>
              </w:rPr>
            </w:pPr>
            <w:r>
              <w:rPr>
                <w:rFonts w:ascii="Times New Roman" w:hAnsi="Times New Roman"/>
                <w:color w:val="000000"/>
                <w:kern w:val="0"/>
                <w:sz w:val="25"/>
                <w:szCs w:val="24"/>
              </w:rPr>
              <w:t>604,395,154.55</w:t>
            </w:r>
          </w:p>
        </w:tc>
        <w:tc>
          <w:tcPr>
            <w:tcW w:w="400" w:type="pct"/>
            <w:tcBorders>
              <w:top w:val="single" w:color="auto" w:sz="4" w:space="0"/>
              <w:left w:val="single" w:color="auto" w:sz="4" w:space="0"/>
              <w:bottom w:val="single" w:color="auto" w:sz="4" w:space="0"/>
              <w:right w:val="single" w:color="auto" w:sz="4" w:space="0"/>
            </w:tcBorders>
            <w:vAlign w:val="center"/>
          </w:tcPr>
          <w:p w14:paraId="2D6030C5">
            <w:pPr>
              <w:widowControl/>
              <w:snapToGrid w:val="0"/>
              <w:jc w:val="right"/>
              <w:rPr>
                <w:rFonts w:ascii="宋体" w:hAnsi="宋体"/>
                <w:color w:val="000000"/>
                <w:kern w:val="0"/>
                <w:sz w:val="25"/>
                <w:szCs w:val="24"/>
              </w:rPr>
            </w:pPr>
            <w:r>
              <w:rPr>
                <w:rFonts w:ascii="Times New Roman" w:hAnsi="Times New Roman"/>
                <w:color w:val="000000"/>
                <w:kern w:val="0"/>
                <w:sz w:val="25"/>
                <w:szCs w:val="24"/>
              </w:rPr>
              <w:t>72.50</w:t>
            </w:r>
          </w:p>
        </w:tc>
      </w:tr>
      <w:tr w14:paraId="5CC1B79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06536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2731C03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14:paraId="7CAAD44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F2B87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75F7B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30A9E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212C48D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6DE3C83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3C0791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F3F37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6EC4B1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1FB84E3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0223D6D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D5CD8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AB5224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6F8C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0E008A8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6DFEB49C">
            <w:pPr>
              <w:widowControl/>
              <w:snapToGrid w:val="0"/>
              <w:jc w:val="right"/>
              <w:rPr>
                <w:rFonts w:ascii="宋体" w:hAnsi="宋体"/>
                <w:color w:val="000000"/>
                <w:kern w:val="0"/>
                <w:sz w:val="25"/>
                <w:szCs w:val="24"/>
              </w:rPr>
            </w:pPr>
            <w:r>
              <w:rPr>
                <w:rFonts w:ascii="Times New Roman" w:hAnsi="Times New Roman"/>
                <w:color w:val="000000"/>
                <w:kern w:val="0"/>
                <w:sz w:val="25"/>
                <w:szCs w:val="24"/>
              </w:rPr>
              <w:t>961,894,960.88</w:t>
            </w:r>
          </w:p>
        </w:tc>
        <w:tc>
          <w:tcPr>
            <w:tcW w:w="400" w:type="pct"/>
            <w:tcBorders>
              <w:top w:val="single" w:color="auto" w:sz="4" w:space="0"/>
              <w:left w:val="single" w:color="auto" w:sz="4" w:space="0"/>
              <w:bottom w:val="single" w:color="auto" w:sz="4" w:space="0"/>
              <w:right w:val="single" w:color="auto" w:sz="4" w:space="0"/>
            </w:tcBorders>
            <w:vAlign w:val="center"/>
          </w:tcPr>
          <w:p w14:paraId="3BD08B8D">
            <w:pPr>
              <w:widowControl/>
              <w:snapToGrid w:val="0"/>
              <w:jc w:val="right"/>
              <w:rPr>
                <w:rFonts w:ascii="宋体" w:hAnsi="宋体"/>
                <w:color w:val="000000"/>
                <w:kern w:val="0"/>
                <w:sz w:val="25"/>
                <w:szCs w:val="24"/>
              </w:rPr>
            </w:pPr>
            <w:r>
              <w:rPr>
                <w:rFonts w:ascii="Times New Roman" w:hAnsi="Times New Roman"/>
                <w:color w:val="000000"/>
                <w:kern w:val="0"/>
                <w:sz w:val="25"/>
                <w:szCs w:val="24"/>
              </w:rPr>
              <w:t>115.39</w:t>
            </w:r>
          </w:p>
        </w:tc>
      </w:tr>
    </w:tbl>
    <w:p w14:paraId="68851D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6A0DC9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8545A5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A464A0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2FC5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372A61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7EA61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E9714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2772225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8542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4F69BF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092280014</w:t>
            </w:r>
          </w:p>
        </w:tc>
        <w:tc>
          <w:tcPr>
            <w:tcW w:w="750" w:type="pct"/>
            <w:tcBorders>
              <w:top w:val="single" w:color="auto" w:sz="4" w:space="0"/>
              <w:left w:val="single" w:color="auto" w:sz="4" w:space="0"/>
              <w:bottom w:val="single" w:color="auto" w:sz="4" w:space="0"/>
              <w:right w:val="single" w:color="auto" w:sz="4" w:space="0"/>
            </w:tcBorders>
            <w:vAlign w:val="center"/>
          </w:tcPr>
          <w:p w14:paraId="576F9DB7">
            <w:pPr>
              <w:widowControl/>
              <w:snapToGrid w:val="0"/>
              <w:jc w:val="center"/>
              <w:rPr>
                <w:rFonts w:ascii="宋体" w:hAnsi="宋体"/>
                <w:color w:val="000000"/>
                <w:kern w:val="0"/>
                <w:sz w:val="25"/>
                <w:szCs w:val="24"/>
              </w:rPr>
            </w:pPr>
            <w:r>
              <w:rPr>
                <w:rFonts w:ascii="Times New Roman" w:hAnsi="Times New Roman"/>
                <w:color w:val="000000"/>
                <w:kern w:val="0"/>
                <w:sz w:val="25"/>
                <w:szCs w:val="24"/>
              </w:rPr>
              <w:t>22上海银行二级资本债01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14:paraId="0C2C3CA5">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14:paraId="046EF8E4">
            <w:pPr>
              <w:widowControl/>
              <w:snapToGrid w:val="0"/>
              <w:jc w:val="right"/>
              <w:rPr>
                <w:rFonts w:ascii="宋体" w:hAnsi="宋体"/>
                <w:color w:val="000000"/>
                <w:kern w:val="0"/>
                <w:sz w:val="25"/>
                <w:szCs w:val="24"/>
              </w:rPr>
            </w:pPr>
            <w:r>
              <w:rPr>
                <w:rFonts w:ascii="Times New Roman" w:hAnsi="Times New Roman"/>
                <w:color w:val="000000"/>
                <w:kern w:val="0"/>
                <w:sz w:val="25"/>
                <w:szCs w:val="24"/>
              </w:rPr>
              <w:t>42,349,332.60</w:t>
            </w:r>
          </w:p>
        </w:tc>
        <w:tc>
          <w:tcPr>
            <w:tcW w:w="750" w:type="pct"/>
            <w:tcBorders>
              <w:top w:val="single" w:color="auto" w:sz="4" w:space="0"/>
              <w:left w:val="single" w:color="auto" w:sz="4" w:space="0"/>
              <w:bottom w:val="single" w:color="auto" w:sz="4" w:space="0"/>
              <w:right w:val="single" w:color="auto" w:sz="4" w:space="0"/>
            </w:tcBorders>
            <w:vAlign w:val="center"/>
          </w:tcPr>
          <w:p w14:paraId="6CB82989">
            <w:pPr>
              <w:widowControl/>
              <w:snapToGrid w:val="0"/>
              <w:jc w:val="right"/>
              <w:rPr>
                <w:rFonts w:ascii="宋体" w:hAnsi="宋体"/>
                <w:color w:val="000000"/>
                <w:kern w:val="0"/>
                <w:sz w:val="25"/>
                <w:szCs w:val="24"/>
              </w:rPr>
            </w:pPr>
            <w:r>
              <w:rPr>
                <w:rFonts w:ascii="Times New Roman" w:hAnsi="Times New Roman"/>
                <w:color w:val="000000"/>
                <w:kern w:val="0"/>
                <w:sz w:val="25"/>
                <w:szCs w:val="24"/>
              </w:rPr>
              <w:t>5.08</w:t>
            </w:r>
          </w:p>
        </w:tc>
      </w:tr>
      <w:tr w14:paraId="758343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FBA4B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945454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240421</w:t>
            </w:r>
          </w:p>
        </w:tc>
        <w:tc>
          <w:tcPr>
            <w:tcW w:w="750" w:type="pct"/>
            <w:tcBorders>
              <w:top w:val="single" w:color="auto" w:sz="4" w:space="0"/>
              <w:left w:val="single" w:color="auto" w:sz="4" w:space="0"/>
              <w:bottom w:val="single" w:color="auto" w:sz="4" w:space="0"/>
              <w:right w:val="single" w:color="auto" w:sz="4" w:space="0"/>
            </w:tcBorders>
            <w:vAlign w:val="center"/>
          </w:tcPr>
          <w:p w14:paraId="0023F29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24农发21</w:t>
            </w:r>
          </w:p>
        </w:tc>
        <w:tc>
          <w:tcPr>
            <w:tcW w:w="750" w:type="pct"/>
            <w:tcBorders>
              <w:top w:val="single" w:color="auto" w:sz="4" w:space="0"/>
              <w:left w:val="single" w:color="auto" w:sz="4" w:space="0"/>
              <w:bottom w:val="single" w:color="auto" w:sz="4" w:space="0"/>
              <w:right w:val="single" w:color="auto" w:sz="4" w:space="0"/>
            </w:tcBorders>
            <w:vAlign w:val="center"/>
          </w:tcPr>
          <w:p w14:paraId="6A449F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14:paraId="0EA88681">
            <w:pPr>
              <w:widowControl/>
              <w:snapToGrid w:val="0"/>
              <w:jc w:val="right"/>
              <w:rPr>
                <w:rFonts w:ascii="宋体" w:hAnsi="宋体"/>
                <w:color w:val="000000"/>
                <w:kern w:val="0"/>
                <w:sz w:val="25"/>
                <w:szCs w:val="24"/>
              </w:rPr>
            </w:pPr>
            <w:r>
              <w:rPr>
                <w:rFonts w:ascii="Times New Roman" w:hAnsi="Times New Roman"/>
                <w:color w:val="000000"/>
                <w:kern w:val="0"/>
                <w:sz w:val="25"/>
                <w:szCs w:val="24"/>
              </w:rPr>
              <w:t>40,377,260.27</w:t>
            </w:r>
          </w:p>
        </w:tc>
        <w:tc>
          <w:tcPr>
            <w:tcW w:w="750" w:type="pct"/>
            <w:tcBorders>
              <w:top w:val="single" w:color="auto" w:sz="4" w:space="0"/>
              <w:left w:val="single" w:color="auto" w:sz="4" w:space="0"/>
              <w:bottom w:val="single" w:color="auto" w:sz="4" w:space="0"/>
              <w:right w:val="single" w:color="auto" w:sz="4" w:space="0"/>
            </w:tcBorders>
            <w:vAlign w:val="center"/>
          </w:tcPr>
          <w:p w14:paraId="0F138D90">
            <w:pPr>
              <w:widowControl/>
              <w:snapToGrid w:val="0"/>
              <w:jc w:val="right"/>
              <w:rPr>
                <w:rFonts w:ascii="宋体" w:hAnsi="宋体"/>
                <w:color w:val="000000"/>
                <w:kern w:val="0"/>
                <w:sz w:val="25"/>
                <w:szCs w:val="24"/>
              </w:rPr>
            </w:pPr>
            <w:r>
              <w:rPr>
                <w:rFonts w:ascii="Times New Roman" w:hAnsi="Times New Roman"/>
                <w:color w:val="000000"/>
                <w:kern w:val="0"/>
                <w:sz w:val="25"/>
                <w:szCs w:val="24"/>
              </w:rPr>
              <w:t>4.84</w:t>
            </w:r>
          </w:p>
        </w:tc>
      </w:tr>
      <w:tr w14:paraId="7387698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7FFC2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48C777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232480098</w:t>
            </w:r>
          </w:p>
        </w:tc>
        <w:tc>
          <w:tcPr>
            <w:tcW w:w="750" w:type="pct"/>
            <w:tcBorders>
              <w:top w:val="single" w:color="auto" w:sz="4" w:space="0"/>
              <w:left w:val="single" w:color="auto" w:sz="4" w:space="0"/>
              <w:bottom w:val="single" w:color="auto" w:sz="4" w:space="0"/>
              <w:right w:val="single" w:color="auto" w:sz="4" w:space="0"/>
            </w:tcBorders>
            <w:vAlign w:val="center"/>
          </w:tcPr>
          <w:p w14:paraId="4301FD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24浦发银行二级资本债02A</w:t>
            </w:r>
          </w:p>
        </w:tc>
        <w:tc>
          <w:tcPr>
            <w:tcW w:w="750" w:type="pct"/>
            <w:tcBorders>
              <w:top w:val="single" w:color="auto" w:sz="4" w:space="0"/>
              <w:left w:val="single" w:color="auto" w:sz="4" w:space="0"/>
              <w:bottom w:val="single" w:color="auto" w:sz="4" w:space="0"/>
              <w:right w:val="single" w:color="auto" w:sz="4" w:space="0"/>
            </w:tcBorders>
            <w:vAlign w:val="center"/>
          </w:tcPr>
          <w:p w14:paraId="31E13D0E">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14:paraId="2FFE18D4">
            <w:pPr>
              <w:widowControl/>
              <w:snapToGrid w:val="0"/>
              <w:jc w:val="right"/>
              <w:rPr>
                <w:rFonts w:ascii="宋体" w:hAnsi="宋体"/>
                <w:color w:val="000000"/>
                <w:kern w:val="0"/>
                <w:sz w:val="25"/>
                <w:szCs w:val="24"/>
              </w:rPr>
            </w:pPr>
            <w:r>
              <w:rPr>
                <w:rFonts w:ascii="Times New Roman" w:hAnsi="Times New Roman"/>
                <w:color w:val="000000"/>
                <w:kern w:val="0"/>
                <w:sz w:val="25"/>
                <w:szCs w:val="24"/>
              </w:rPr>
              <w:t>40,231,112.33</w:t>
            </w:r>
          </w:p>
        </w:tc>
        <w:tc>
          <w:tcPr>
            <w:tcW w:w="750" w:type="pct"/>
            <w:tcBorders>
              <w:top w:val="single" w:color="auto" w:sz="4" w:space="0"/>
              <w:left w:val="single" w:color="auto" w:sz="4" w:space="0"/>
              <w:bottom w:val="single" w:color="auto" w:sz="4" w:space="0"/>
              <w:right w:val="single" w:color="auto" w:sz="4" w:space="0"/>
            </w:tcBorders>
            <w:vAlign w:val="center"/>
          </w:tcPr>
          <w:p w14:paraId="0E596997">
            <w:pPr>
              <w:widowControl/>
              <w:snapToGrid w:val="0"/>
              <w:jc w:val="right"/>
              <w:rPr>
                <w:rFonts w:ascii="宋体" w:hAnsi="宋体"/>
                <w:color w:val="000000"/>
                <w:kern w:val="0"/>
                <w:sz w:val="25"/>
                <w:szCs w:val="24"/>
              </w:rPr>
            </w:pPr>
            <w:r>
              <w:rPr>
                <w:rFonts w:ascii="Times New Roman" w:hAnsi="Times New Roman"/>
                <w:color w:val="000000"/>
                <w:kern w:val="0"/>
                <w:sz w:val="25"/>
                <w:szCs w:val="24"/>
              </w:rPr>
              <w:t>4.83</w:t>
            </w:r>
          </w:p>
        </w:tc>
      </w:tr>
      <w:tr w14:paraId="7EF82B4B">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F0B7C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AFB6E6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102400841</w:t>
            </w:r>
          </w:p>
        </w:tc>
        <w:tc>
          <w:tcPr>
            <w:tcW w:w="750" w:type="pct"/>
            <w:tcBorders>
              <w:top w:val="single" w:color="auto" w:sz="4" w:space="0"/>
              <w:left w:val="single" w:color="auto" w:sz="4" w:space="0"/>
              <w:bottom w:val="single" w:color="auto" w:sz="4" w:space="0"/>
              <w:right w:val="single" w:color="auto" w:sz="4" w:space="0"/>
            </w:tcBorders>
            <w:vAlign w:val="center"/>
          </w:tcPr>
          <w:p w14:paraId="36BAC1C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24永川高新MTN002</w:t>
            </w:r>
          </w:p>
        </w:tc>
        <w:tc>
          <w:tcPr>
            <w:tcW w:w="750" w:type="pct"/>
            <w:tcBorders>
              <w:top w:val="single" w:color="auto" w:sz="4" w:space="0"/>
              <w:left w:val="single" w:color="auto" w:sz="4" w:space="0"/>
              <w:bottom w:val="single" w:color="auto" w:sz="4" w:space="0"/>
              <w:right w:val="single" w:color="auto" w:sz="4" w:space="0"/>
            </w:tcBorders>
            <w:vAlign w:val="center"/>
          </w:tcPr>
          <w:p w14:paraId="4E37E9F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color="auto" w:sz="4" w:space="0"/>
              <w:left w:val="single" w:color="auto" w:sz="4" w:space="0"/>
              <w:bottom w:val="single" w:color="auto" w:sz="4" w:space="0"/>
              <w:right w:val="single" w:color="auto" w:sz="4" w:space="0"/>
            </w:tcBorders>
            <w:vAlign w:val="center"/>
          </w:tcPr>
          <w:p w14:paraId="7140308D">
            <w:pPr>
              <w:widowControl/>
              <w:snapToGrid w:val="0"/>
              <w:jc w:val="right"/>
              <w:rPr>
                <w:rFonts w:ascii="宋体" w:hAnsi="宋体"/>
                <w:color w:val="000000"/>
                <w:kern w:val="0"/>
                <w:sz w:val="25"/>
                <w:szCs w:val="24"/>
              </w:rPr>
            </w:pPr>
            <w:r>
              <w:rPr>
                <w:rFonts w:ascii="Times New Roman" w:hAnsi="Times New Roman"/>
                <w:color w:val="000000"/>
                <w:kern w:val="0"/>
                <w:sz w:val="25"/>
                <w:szCs w:val="24"/>
              </w:rPr>
              <w:t>30,640,660.27</w:t>
            </w:r>
          </w:p>
        </w:tc>
        <w:tc>
          <w:tcPr>
            <w:tcW w:w="750" w:type="pct"/>
            <w:tcBorders>
              <w:top w:val="single" w:color="auto" w:sz="4" w:space="0"/>
              <w:left w:val="single" w:color="auto" w:sz="4" w:space="0"/>
              <w:bottom w:val="single" w:color="auto" w:sz="4" w:space="0"/>
              <w:right w:val="single" w:color="auto" w:sz="4" w:space="0"/>
            </w:tcBorders>
            <w:vAlign w:val="center"/>
          </w:tcPr>
          <w:p w14:paraId="623FD086">
            <w:pPr>
              <w:widowControl/>
              <w:snapToGrid w:val="0"/>
              <w:jc w:val="right"/>
              <w:rPr>
                <w:rFonts w:ascii="宋体" w:hAnsi="宋体"/>
                <w:color w:val="000000"/>
                <w:kern w:val="0"/>
                <w:sz w:val="25"/>
                <w:szCs w:val="24"/>
              </w:rPr>
            </w:pPr>
            <w:r>
              <w:rPr>
                <w:rFonts w:ascii="Times New Roman" w:hAnsi="Times New Roman"/>
                <w:color w:val="000000"/>
                <w:kern w:val="0"/>
                <w:sz w:val="25"/>
                <w:szCs w:val="24"/>
              </w:rPr>
              <w:t>3.68</w:t>
            </w:r>
          </w:p>
        </w:tc>
      </w:tr>
      <w:tr w14:paraId="2AD25A9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C7509A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5BDDF426">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232480061</w:t>
            </w:r>
          </w:p>
        </w:tc>
        <w:tc>
          <w:tcPr>
            <w:tcW w:w="750" w:type="pct"/>
            <w:tcBorders>
              <w:top w:val="single" w:color="auto" w:sz="4" w:space="0"/>
              <w:left w:val="single" w:color="auto" w:sz="4" w:space="0"/>
              <w:bottom w:val="single" w:color="auto" w:sz="4" w:space="0"/>
              <w:right w:val="single" w:color="auto" w:sz="4" w:space="0"/>
            </w:tcBorders>
            <w:vAlign w:val="center"/>
          </w:tcPr>
          <w:p w14:paraId="53EAE0C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24工行二级资本债01A(BC)</w:t>
            </w:r>
          </w:p>
        </w:tc>
        <w:tc>
          <w:tcPr>
            <w:tcW w:w="750" w:type="pct"/>
            <w:tcBorders>
              <w:top w:val="single" w:color="auto" w:sz="4" w:space="0"/>
              <w:left w:val="single" w:color="auto" w:sz="4" w:space="0"/>
              <w:bottom w:val="single" w:color="auto" w:sz="4" w:space="0"/>
              <w:right w:val="single" w:color="auto" w:sz="4" w:space="0"/>
            </w:tcBorders>
            <w:vAlign w:val="center"/>
          </w:tcPr>
          <w:p w14:paraId="53FD0F79">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color="auto" w:sz="4" w:space="0"/>
              <w:left w:val="single" w:color="auto" w:sz="4" w:space="0"/>
              <w:bottom w:val="single" w:color="auto" w:sz="4" w:space="0"/>
              <w:right w:val="single" w:color="auto" w:sz="4" w:space="0"/>
            </w:tcBorders>
            <w:vAlign w:val="center"/>
          </w:tcPr>
          <w:p w14:paraId="796782C2">
            <w:pPr>
              <w:widowControl/>
              <w:snapToGrid w:val="0"/>
              <w:jc w:val="right"/>
              <w:rPr>
                <w:rFonts w:ascii="宋体" w:hAnsi="宋体"/>
                <w:color w:val="000000"/>
                <w:kern w:val="0"/>
                <w:sz w:val="25"/>
                <w:szCs w:val="24"/>
              </w:rPr>
            </w:pPr>
            <w:r>
              <w:rPr>
                <w:rFonts w:ascii="Times New Roman" w:hAnsi="Times New Roman"/>
                <w:color w:val="000000"/>
                <w:kern w:val="0"/>
                <w:sz w:val="25"/>
                <w:szCs w:val="24"/>
              </w:rPr>
              <w:t>30,594,082.19</w:t>
            </w:r>
          </w:p>
        </w:tc>
        <w:tc>
          <w:tcPr>
            <w:tcW w:w="750" w:type="pct"/>
            <w:tcBorders>
              <w:top w:val="single" w:color="auto" w:sz="4" w:space="0"/>
              <w:left w:val="single" w:color="auto" w:sz="4" w:space="0"/>
              <w:bottom w:val="single" w:color="auto" w:sz="4" w:space="0"/>
              <w:right w:val="single" w:color="auto" w:sz="4" w:space="0"/>
            </w:tcBorders>
            <w:vAlign w:val="center"/>
          </w:tcPr>
          <w:p w14:paraId="3638A31E">
            <w:pPr>
              <w:widowControl/>
              <w:snapToGrid w:val="0"/>
              <w:jc w:val="right"/>
              <w:rPr>
                <w:rFonts w:ascii="宋体" w:hAnsi="宋体"/>
                <w:color w:val="000000"/>
                <w:kern w:val="0"/>
                <w:sz w:val="25"/>
                <w:szCs w:val="24"/>
              </w:rPr>
            </w:pPr>
            <w:r>
              <w:rPr>
                <w:rFonts w:ascii="Times New Roman" w:hAnsi="Times New Roman"/>
                <w:color w:val="000000"/>
                <w:kern w:val="0"/>
                <w:sz w:val="25"/>
                <w:szCs w:val="24"/>
              </w:rPr>
              <w:t>3.67</w:t>
            </w:r>
          </w:p>
        </w:tc>
      </w:tr>
    </w:tbl>
    <w:p w14:paraId="3C4F3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14:paraId="065973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49D4C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14:paraId="0DC8B6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2ECDE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14:paraId="612A5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190B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14:paraId="6BE2BE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14:paraId="043C50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51546D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14:paraId="1C49E9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40DB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14:paraId="7AE5DB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733CA0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14:paraId="695F61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14:paraId="693C60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14:paraId="2A75E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2025年01月27日</w:t>
      </w:r>
      <w:r>
        <w:rPr>
          <w:rFonts w:hint="eastAsia" w:ascii="宋体" w:hAnsi="宋体"/>
          <w:sz w:val="24"/>
          <w:lang w:eastAsia="zh-CN"/>
        </w:rPr>
        <w:t>，</w:t>
      </w:r>
      <w:r>
        <w:rPr>
          <w:rFonts w:ascii="宋体" w:hAnsi="宋体"/>
          <w:sz w:val="24"/>
        </w:rPr>
        <w:t>江苏证监局给予江苏银行股份有限公司责令改正的行政监管措施。　</w:t>
      </w:r>
    </w:p>
    <w:p w14:paraId="71D67E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2024年06月07日</w:t>
      </w:r>
      <w:r>
        <w:rPr>
          <w:rFonts w:hint="eastAsia" w:ascii="宋体" w:hAnsi="宋体"/>
          <w:sz w:val="24"/>
          <w:lang w:eastAsia="zh-CN"/>
        </w:rPr>
        <w:t>，</w:t>
      </w:r>
      <w:r>
        <w:rPr>
          <w:rFonts w:ascii="宋体" w:hAnsi="宋体"/>
          <w:sz w:val="24"/>
        </w:rPr>
        <w:t>国家金融监督管理总局上海监管局公示沪金罚决字[2024]43号行政处罚决定书</w:t>
      </w:r>
      <w:r>
        <w:rPr>
          <w:rFonts w:hint="eastAsia" w:ascii="宋体" w:hAnsi="宋体"/>
          <w:sz w:val="24"/>
          <w:lang w:eastAsia="zh-CN"/>
        </w:rPr>
        <w:t>，</w:t>
      </w:r>
      <w:r>
        <w:rPr>
          <w:rFonts w:ascii="宋体" w:hAnsi="宋体"/>
          <w:sz w:val="24"/>
        </w:rPr>
        <w:t>给予上海银行股份有限公司80万元人民币的行政处罚。</w:t>
      </w:r>
    </w:p>
    <w:p w14:paraId="252977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2025年01月02日</w:t>
      </w:r>
      <w:r>
        <w:rPr>
          <w:rFonts w:hint="eastAsia" w:ascii="宋体" w:hAnsi="宋体"/>
          <w:sz w:val="24"/>
          <w:lang w:eastAsia="zh-CN"/>
        </w:rPr>
        <w:t>，</w:t>
      </w:r>
      <w:r>
        <w:rPr>
          <w:rFonts w:ascii="宋体" w:hAnsi="宋体"/>
          <w:sz w:val="24"/>
        </w:rPr>
        <w:t>国家金融监督管理总局上海监管局公示沪金罚决字[2024]236号行政处罚决定书</w:t>
      </w:r>
      <w:r>
        <w:rPr>
          <w:rFonts w:hint="eastAsia" w:ascii="宋体" w:hAnsi="宋体"/>
          <w:sz w:val="24"/>
          <w:lang w:eastAsia="zh-CN"/>
        </w:rPr>
        <w:t>，</w:t>
      </w:r>
      <w:r>
        <w:rPr>
          <w:rFonts w:ascii="宋体" w:hAnsi="宋体"/>
          <w:sz w:val="24"/>
        </w:rPr>
        <w:t>给予上海银行股份有限公司200万元人民币的行政处罚。</w:t>
      </w:r>
    </w:p>
    <w:p w14:paraId="4E041C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2025年03月28日</w:t>
      </w:r>
      <w:r>
        <w:rPr>
          <w:rFonts w:hint="eastAsia" w:ascii="宋体" w:hAnsi="宋体"/>
          <w:sz w:val="24"/>
          <w:lang w:eastAsia="zh-CN"/>
        </w:rPr>
        <w:t>，</w:t>
      </w:r>
      <w:r>
        <w:rPr>
          <w:rFonts w:ascii="宋体" w:hAnsi="宋体"/>
          <w:sz w:val="24"/>
        </w:rPr>
        <w:t>央行公示银罚决字[2025]2号行政处罚决定书</w:t>
      </w:r>
      <w:r>
        <w:rPr>
          <w:rFonts w:hint="eastAsia" w:ascii="宋体" w:hAnsi="宋体"/>
          <w:sz w:val="24"/>
          <w:lang w:eastAsia="zh-CN"/>
        </w:rPr>
        <w:t>，</w:t>
      </w:r>
      <w:r>
        <w:rPr>
          <w:rFonts w:ascii="宋体" w:hAnsi="宋体"/>
          <w:sz w:val="24"/>
        </w:rPr>
        <w:t>给予上海银行股份有限公司110万元人民币的行政处罚。</w:t>
      </w:r>
    </w:p>
    <w:p w14:paraId="05EBE5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14:paraId="338FD6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14:paraId="31F8ED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14:paraId="597673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14:paraId="468B8E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245A57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12AF72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3BA3E6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3A00E77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50BAB06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2D213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0EC89E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6FEF497F">
            <w:pPr>
              <w:widowControl/>
              <w:snapToGrid w:val="0"/>
              <w:jc w:val="right"/>
              <w:rPr>
                <w:rFonts w:ascii="宋体" w:hAnsi="宋体"/>
                <w:color w:val="000000"/>
                <w:kern w:val="0"/>
                <w:sz w:val="25"/>
                <w:szCs w:val="24"/>
              </w:rPr>
            </w:pPr>
            <w:r>
              <w:rPr>
                <w:rFonts w:ascii="Times New Roman" w:hAnsi="Times New Roman"/>
                <w:color w:val="000000"/>
                <w:kern w:val="0"/>
                <w:sz w:val="25"/>
                <w:szCs w:val="24"/>
              </w:rPr>
              <w:t>21,084.63</w:t>
            </w:r>
          </w:p>
        </w:tc>
      </w:tr>
      <w:tr w14:paraId="6576BDE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41A87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A8ED70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6A9C5F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F97512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A6977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74AB5A6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14:paraId="6B0BDA8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5BF4A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2CC72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9BFB78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18D38FE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886111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9E53C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5002819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15845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16,223.87</w:t>
            </w:r>
          </w:p>
        </w:tc>
      </w:tr>
      <w:tr w14:paraId="24DC7C3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3B431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0D6AF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37CF22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99A94C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60502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7D362E7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503A11A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5D1DAE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E1439E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06C0D03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38781904">
            <w:pPr>
              <w:widowControl/>
              <w:snapToGrid w:val="0"/>
              <w:jc w:val="right"/>
              <w:rPr>
                <w:rFonts w:ascii="宋体" w:hAnsi="宋体"/>
                <w:color w:val="000000"/>
                <w:kern w:val="0"/>
                <w:sz w:val="25"/>
                <w:szCs w:val="24"/>
              </w:rPr>
            </w:pPr>
            <w:r>
              <w:rPr>
                <w:rFonts w:ascii="Times New Roman" w:hAnsi="Times New Roman"/>
                <w:color w:val="000000"/>
                <w:kern w:val="0"/>
                <w:sz w:val="25"/>
                <w:szCs w:val="24"/>
              </w:rPr>
              <w:t>37,308.50</w:t>
            </w:r>
          </w:p>
        </w:tc>
      </w:tr>
    </w:tbl>
    <w:p w14:paraId="65B90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14:paraId="669556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8630D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14:paraId="3C6AF3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355C2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14:paraId="6F6851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5F1C762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D01F98D">
      <w:pPr>
        <w:pStyle w:val="2"/>
        <w:snapToGrid w:val="0"/>
        <w:spacing w:before="240" w:beforeLines="0" w:after="240"/>
        <w:rPr>
          <w:rFonts w:ascii="宋体" w:hAnsi="宋体"/>
          <w:szCs w:val="30"/>
        </w:rPr>
      </w:pPr>
      <w:bookmarkStart w:id="15" w:name="_Toc202960203"/>
      <w:r>
        <w:rPr>
          <w:rFonts w:ascii="Times New Roman" w:hAnsi="Times New Roman"/>
          <w:sz w:val="30"/>
        </w:rPr>
        <w:t>十三、基金的业绩</w:t>
      </w:r>
      <w:bookmarkEnd w:id="15"/>
    </w:p>
    <w:p w14:paraId="488F7C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基金业绩截止日为2025年03月31日，所载财务数据未经审计师审计。</w:t>
      </w:r>
    </w:p>
    <w:p w14:paraId="6975D6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14:paraId="7EC6C1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1F468B8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F21E59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1DAF681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1F856D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2FEFDE8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71FE4CB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176693F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588B82E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5CB82668">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223DA1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005E30F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14:paraId="03868357">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041CB368">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14:paraId="0CB6DB0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7F3C9989">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14:paraId="66C68A48">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14:paraId="59F9643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A106E2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19133210">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color="auto" w:sz="4" w:space="0"/>
              <w:left w:val="single" w:color="auto" w:sz="4" w:space="0"/>
              <w:bottom w:val="single" w:color="auto" w:sz="4" w:space="0"/>
              <w:right w:val="single" w:color="auto" w:sz="4" w:space="0"/>
            </w:tcBorders>
            <w:vAlign w:val="center"/>
          </w:tcPr>
          <w:p w14:paraId="4BF54797">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49E31EA0">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color="auto" w:sz="4" w:space="0"/>
              <w:left w:val="single" w:color="auto" w:sz="4" w:space="0"/>
              <w:bottom w:val="single" w:color="auto" w:sz="4" w:space="0"/>
              <w:right w:val="single" w:color="auto" w:sz="4" w:space="0"/>
            </w:tcBorders>
            <w:vAlign w:val="center"/>
          </w:tcPr>
          <w:p w14:paraId="0689AD7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6D00A59E">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color="auto" w:sz="4" w:space="0"/>
              <w:left w:val="single" w:color="auto" w:sz="4" w:space="0"/>
              <w:bottom w:val="single" w:color="auto" w:sz="4" w:space="0"/>
              <w:right w:val="single" w:color="auto" w:sz="4" w:space="0"/>
            </w:tcBorders>
            <w:vAlign w:val="center"/>
          </w:tcPr>
          <w:p w14:paraId="4B37537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359AF7EB">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60767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6E7E294E">
            <w:pPr>
              <w:widowControl/>
              <w:snapToGrid w:val="0"/>
              <w:jc w:val="left"/>
              <w:rPr>
                <w:rFonts w:ascii="宋体" w:hAnsi="宋体"/>
                <w:color w:val="000000"/>
                <w:kern w:val="0"/>
                <w:sz w:val="25"/>
                <w:szCs w:val="24"/>
              </w:rPr>
            </w:pPr>
            <w:r>
              <w:rPr>
                <w:rFonts w:ascii="Times New Roman" w:hAnsi="Times New Roman"/>
                <w:color w:val="000000"/>
                <w:kern w:val="0"/>
                <w:sz w:val="25"/>
                <w:szCs w:val="24"/>
              </w:rPr>
              <w:t>5.03%</w:t>
            </w:r>
          </w:p>
        </w:tc>
        <w:tc>
          <w:tcPr>
            <w:tcW w:w="750" w:type="pct"/>
            <w:tcBorders>
              <w:top w:val="single" w:color="auto" w:sz="4" w:space="0"/>
              <w:left w:val="single" w:color="auto" w:sz="4" w:space="0"/>
              <w:bottom w:val="single" w:color="auto" w:sz="4" w:space="0"/>
              <w:right w:val="single" w:color="auto" w:sz="4" w:space="0"/>
            </w:tcBorders>
            <w:vAlign w:val="center"/>
          </w:tcPr>
          <w:p w14:paraId="072B10F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0D559240">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color="auto" w:sz="4" w:space="0"/>
              <w:left w:val="single" w:color="auto" w:sz="4" w:space="0"/>
              <w:bottom w:val="single" w:color="auto" w:sz="4" w:space="0"/>
              <w:right w:val="single" w:color="auto" w:sz="4" w:space="0"/>
            </w:tcBorders>
            <w:vAlign w:val="center"/>
          </w:tcPr>
          <w:p w14:paraId="06301814">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002DEB7D">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color="auto" w:sz="4" w:space="0"/>
              <w:left w:val="single" w:color="auto" w:sz="4" w:space="0"/>
              <w:bottom w:val="single" w:color="auto" w:sz="4" w:space="0"/>
              <w:right w:val="single" w:color="auto" w:sz="4" w:space="0"/>
            </w:tcBorders>
            <w:vAlign w:val="center"/>
          </w:tcPr>
          <w:p w14:paraId="6C3F4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14:paraId="2827E3B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C0FBE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7B5E1B71">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color="auto" w:sz="4" w:space="0"/>
              <w:left w:val="single" w:color="auto" w:sz="4" w:space="0"/>
              <w:bottom w:val="single" w:color="auto" w:sz="4" w:space="0"/>
              <w:right w:val="single" w:color="auto" w:sz="4" w:space="0"/>
            </w:tcBorders>
            <w:vAlign w:val="center"/>
          </w:tcPr>
          <w:p w14:paraId="5EB9659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75914728">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color="auto" w:sz="4" w:space="0"/>
              <w:left w:val="single" w:color="auto" w:sz="4" w:space="0"/>
              <w:bottom w:val="single" w:color="auto" w:sz="4" w:space="0"/>
              <w:right w:val="single" w:color="auto" w:sz="4" w:space="0"/>
            </w:tcBorders>
            <w:vAlign w:val="center"/>
          </w:tcPr>
          <w:p w14:paraId="7D54952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0CAECF00">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color="auto" w:sz="4" w:space="0"/>
              <w:left w:val="single" w:color="auto" w:sz="4" w:space="0"/>
              <w:bottom w:val="single" w:color="auto" w:sz="4" w:space="0"/>
              <w:right w:val="single" w:color="auto" w:sz="4" w:space="0"/>
            </w:tcBorders>
            <w:vAlign w:val="center"/>
          </w:tcPr>
          <w:p w14:paraId="306E5F5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249E84F2">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435FE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12850C1A">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color="auto" w:sz="4" w:space="0"/>
              <w:left w:val="single" w:color="auto" w:sz="4" w:space="0"/>
              <w:bottom w:val="single" w:color="auto" w:sz="4" w:space="0"/>
              <w:right w:val="single" w:color="auto" w:sz="4" w:space="0"/>
            </w:tcBorders>
            <w:vAlign w:val="center"/>
          </w:tcPr>
          <w:p w14:paraId="0CC1D46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632BCE1F">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14:paraId="6D83418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5A60C36C">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color="auto" w:sz="4" w:space="0"/>
              <w:left w:val="single" w:color="auto" w:sz="4" w:space="0"/>
              <w:bottom w:val="single" w:color="auto" w:sz="4" w:space="0"/>
              <w:right w:val="single" w:color="auto" w:sz="4" w:space="0"/>
            </w:tcBorders>
            <w:vAlign w:val="center"/>
          </w:tcPr>
          <w:p w14:paraId="76624E0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24EDCFD1">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AE4D0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0A7C7588">
            <w:pPr>
              <w:widowControl/>
              <w:snapToGrid w:val="0"/>
              <w:jc w:val="left"/>
              <w:rPr>
                <w:rFonts w:ascii="宋体" w:hAnsi="宋体"/>
                <w:color w:val="000000"/>
                <w:kern w:val="0"/>
                <w:sz w:val="25"/>
                <w:szCs w:val="24"/>
              </w:rPr>
            </w:pPr>
            <w:r>
              <w:rPr>
                <w:rFonts w:ascii="Times New Roman" w:hAnsi="Times New Roman"/>
                <w:color w:val="000000"/>
                <w:kern w:val="0"/>
                <w:sz w:val="25"/>
                <w:szCs w:val="24"/>
              </w:rPr>
              <w:t>2.03%</w:t>
            </w:r>
          </w:p>
        </w:tc>
        <w:tc>
          <w:tcPr>
            <w:tcW w:w="750" w:type="pct"/>
            <w:tcBorders>
              <w:top w:val="single" w:color="auto" w:sz="4" w:space="0"/>
              <w:left w:val="single" w:color="auto" w:sz="4" w:space="0"/>
              <w:bottom w:val="single" w:color="auto" w:sz="4" w:space="0"/>
              <w:right w:val="single" w:color="auto" w:sz="4" w:space="0"/>
            </w:tcBorders>
            <w:vAlign w:val="center"/>
          </w:tcPr>
          <w:p w14:paraId="3A7C6E8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57317AA0">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color="auto" w:sz="4" w:space="0"/>
              <w:left w:val="single" w:color="auto" w:sz="4" w:space="0"/>
              <w:bottom w:val="single" w:color="auto" w:sz="4" w:space="0"/>
              <w:right w:val="single" w:color="auto" w:sz="4" w:space="0"/>
            </w:tcBorders>
            <w:vAlign w:val="center"/>
          </w:tcPr>
          <w:p w14:paraId="6D04CC3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12CF4B16">
            <w:pPr>
              <w:widowControl/>
              <w:snapToGrid w:val="0"/>
              <w:jc w:val="left"/>
              <w:rPr>
                <w:rFonts w:ascii="宋体" w:hAnsi="宋体"/>
                <w:color w:val="000000"/>
                <w:kern w:val="0"/>
                <w:sz w:val="25"/>
                <w:szCs w:val="24"/>
              </w:rPr>
            </w:pPr>
            <w:r>
              <w:rPr>
                <w:rFonts w:ascii="Times New Roman" w:hAnsi="Times New Roman"/>
                <w:color w:val="000000"/>
                <w:kern w:val="0"/>
                <w:sz w:val="25"/>
                <w:szCs w:val="24"/>
              </w:rPr>
              <w:t>3.06%</w:t>
            </w:r>
          </w:p>
        </w:tc>
        <w:tc>
          <w:tcPr>
            <w:tcW w:w="750" w:type="pct"/>
            <w:tcBorders>
              <w:top w:val="single" w:color="auto" w:sz="4" w:space="0"/>
              <w:left w:val="single" w:color="auto" w:sz="4" w:space="0"/>
              <w:bottom w:val="single" w:color="auto" w:sz="4" w:space="0"/>
              <w:right w:val="single" w:color="auto" w:sz="4" w:space="0"/>
            </w:tcBorders>
            <w:vAlign w:val="center"/>
          </w:tcPr>
          <w:p w14:paraId="7B281A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14:paraId="7E3D45F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B02F196">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323F9BB9">
            <w:pPr>
              <w:widowControl/>
              <w:snapToGrid w:val="0"/>
              <w:jc w:val="left"/>
              <w:rPr>
                <w:rFonts w:ascii="宋体" w:hAnsi="宋体"/>
                <w:color w:val="000000"/>
                <w:kern w:val="0"/>
                <w:sz w:val="25"/>
                <w:szCs w:val="24"/>
              </w:rPr>
            </w:pPr>
            <w:r>
              <w:rPr>
                <w:rFonts w:ascii="Times New Roman" w:hAnsi="Times New Roman"/>
                <w:color w:val="000000"/>
                <w:kern w:val="0"/>
                <w:sz w:val="25"/>
                <w:szCs w:val="24"/>
              </w:rPr>
              <w:t>4.15%</w:t>
            </w:r>
          </w:p>
        </w:tc>
        <w:tc>
          <w:tcPr>
            <w:tcW w:w="750" w:type="pct"/>
            <w:tcBorders>
              <w:top w:val="single" w:color="auto" w:sz="4" w:space="0"/>
              <w:left w:val="single" w:color="auto" w:sz="4" w:space="0"/>
              <w:bottom w:val="single" w:color="auto" w:sz="4" w:space="0"/>
              <w:right w:val="single" w:color="auto" w:sz="4" w:space="0"/>
            </w:tcBorders>
            <w:vAlign w:val="center"/>
          </w:tcPr>
          <w:p w14:paraId="765175E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7F45CD4D">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color="auto" w:sz="4" w:space="0"/>
              <w:left w:val="single" w:color="auto" w:sz="4" w:space="0"/>
              <w:bottom w:val="single" w:color="auto" w:sz="4" w:space="0"/>
              <w:right w:val="single" w:color="auto" w:sz="4" w:space="0"/>
            </w:tcBorders>
            <w:vAlign w:val="center"/>
          </w:tcPr>
          <w:p w14:paraId="15D2A5C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06911DBC">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color="auto" w:sz="4" w:space="0"/>
              <w:left w:val="single" w:color="auto" w:sz="4" w:space="0"/>
              <w:bottom w:val="single" w:color="auto" w:sz="4" w:space="0"/>
              <w:right w:val="single" w:color="auto" w:sz="4" w:space="0"/>
            </w:tcBorders>
            <w:vAlign w:val="center"/>
          </w:tcPr>
          <w:p w14:paraId="3B0C640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14:paraId="57A6056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F23A04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52DDD5AE">
            <w:pPr>
              <w:widowControl/>
              <w:snapToGrid w:val="0"/>
              <w:jc w:val="left"/>
              <w:rPr>
                <w:rFonts w:ascii="宋体" w:hAnsi="宋体"/>
                <w:color w:val="000000"/>
                <w:kern w:val="0"/>
                <w:sz w:val="25"/>
                <w:szCs w:val="24"/>
              </w:rPr>
            </w:pPr>
            <w:r>
              <w:rPr>
                <w:rFonts w:ascii="Times New Roman" w:hAnsi="Times New Roman"/>
                <w:color w:val="000000"/>
                <w:kern w:val="0"/>
                <w:sz w:val="25"/>
                <w:szCs w:val="24"/>
              </w:rPr>
              <w:t>6.43%</w:t>
            </w:r>
          </w:p>
        </w:tc>
        <w:tc>
          <w:tcPr>
            <w:tcW w:w="750" w:type="pct"/>
            <w:tcBorders>
              <w:top w:val="single" w:color="auto" w:sz="4" w:space="0"/>
              <w:left w:val="single" w:color="auto" w:sz="4" w:space="0"/>
              <w:bottom w:val="single" w:color="auto" w:sz="4" w:space="0"/>
              <w:right w:val="single" w:color="auto" w:sz="4" w:space="0"/>
            </w:tcBorders>
            <w:vAlign w:val="center"/>
          </w:tcPr>
          <w:p w14:paraId="393F3C3C">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752E0430">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color="auto" w:sz="4" w:space="0"/>
              <w:left w:val="single" w:color="auto" w:sz="4" w:space="0"/>
              <w:bottom w:val="single" w:color="auto" w:sz="4" w:space="0"/>
              <w:right w:val="single" w:color="auto" w:sz="4" w:space="0"/>
            </w:tcBorders>
            <w:vAlign w:val="center"/>
          </w:tcPr>
          <w:p w14:paraId="119171F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53F9D042">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color="auto" w:sz="4" w:space="0"/>
              <w:left w:val="single" w:color="auto" w:sz="4" w:space="0"/>
              <w:bottom w:val="single" w:color="auto" w:sz="4" w:space="0"/>
              <w:right w:val="single" w:color="auto" w:sz="4" w:space="0"/>
            </w:tcBorders>
            <w:vAlign w:val="center"/>
          </w:tcPr>
          <w:p w14:paraId="4C6AFD8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3BDFC21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061F3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14:paraId="4D3A2337">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color="auto" w:sz="4" w:space="0"/>
              <w:left w:val="single" w:color="auto" w:sz="4" w:space="0"/>
              <w:bottom w:val="single" w:color="auto" w:sz="4" w:space="0"/>
              <w:right w:val="single" w:color="auto" w:sz="4" w:space="0"/>
            </w:tcBorders>
            <w:vAlign w:val="center"/>
          </w:tcPr>
          <w:p w14:paraId="2053767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704C2C47">
            <w:pPr>
              <w:widowControl/>
              <w:snapToGrid w:val="0"/>
              <w:jc w:val="left"/>
              <w:rPr>
                <w:rFonts w:ascii="宋体" w:hAnsi="宋体"/>
                <w:color w:val="000000"/>
                <w:kern w:val="0"/>
                <w:sz w:val="25"/>
                <w:szCs w:val="24"/>
              </w:rPr>
            </w:pPr>
            <w:r>
              <w:rPr>
                <w:rFonts w:ascii="Times New Roman" w:hAnsi="Times New Roman"/>
                <w:color w:val="000000"/>
                <w:kern w:val="0"/>
                <w:sz w:val="25"/>
                <w:szCs w:val="24"/>
              </w:rPr>
              <w:t>-8.89%</w:t>
            </w:r>
          </w:p>
        </w:tc>
        <w:tc>
          <w:tcPr>
            <w:tcW w:w="750" w:type="pct"/>
            <w:tcBorders>
              <w:top w:val="single" w:color="auto" w:sz="4" w:space="0"/>
              <w:left w:val="single" w:color="auto" w:sz="4" w:space="0"/>
              <w:bottom w:val="single" w:color="auto" w:sz="4" w:space="0"/>
              <w:right w:val="single" w:color="auto" w:sz="4" w:space="0"/>
            </w:tcBorders>
            <w:vAlign w:val="center"/>
          </w:tcPr>
          <w:p w14:paraId="00A5F023">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284DDD51">
            <w:pPr>
              <w:widowControl/>
              <w:snapToGrid w:val="0"/>
              <w:jc w:val="left"/>
              <w:rPr>
                <w:rFonts w:ascii="宋体" w:hAnsi="宋体"/>
                <w:color w:val="000000"/>
                <w:kern w:val="0"/>
                <w:sz w:val="25"/>
                <w:szCs w:val="24"/>
              </w:rPr>
            </w:pPr>
            <w:r>
              <w:rPr>
                <w:rFonts w:ascii="Times New Roman" w:hAnsi="Times New Roman"/>
                <w:color w:val="000000"/>
                <w:kern w:val="0"/>
                <w:sz w:val="25"/>
                <w:szCs w:val="24"/>
              </w:rPr>
              <w:t>11.26%</w:t>
            </w:r>
          </w:p>
        </w:tc>
        <w:tc>
          <w:tcPr>
            <w:tcW w:w="750" w:type="pct"/>
            <w:tcBorders>
              <w:top w:val="single" w:color="auto" w:sz="4" w:space="0"/>
              <w:left w:val="single" w:color="auto" w:sz="4" w:space="0"/>
              <w:bottom w:val="single" w:color="auto" w:sz="4" w:space="0"/>
              <w:right w:val="single" w:color="auto" w:sz="4" w:space="0"/>
            </w:tcBorders>
            <w:vAlign w:val="center"/>
          </w:tcPr>
          <w:p w14:paraId="379B8493">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14:paraId="3B01A173">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BD496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14:paraId="7CAD7C80">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color="auto" w:sz="4" w:space="0"/>
              <w:left w:val="single" w:color="auto" w:sz="4" w:space="0"/>
              <w:bottom w:val="single" w:color="auto" w:sz="4" w:space="0"/>
              <w:right w:val="single" w:color="auto" w:sz="4" w:space="0"/>
            </w:tcBorders>
            <w:vAlign w:val="center"/>
          </w:tcPr>
          <w:p w14:paraId="670FB02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48FE17DA">
            <w:pPr>
              <w:widowControl/>
              <w:snapToGrid w:val="0"/>
              <w:jc w:val="left"/>
              <w:rPr>
                <w:rFonts w:ascii="宋体" w:hAnsi="宋体"/>
                <w:color w:val="000000"/>
                <w:kern w:val="0"/>
                <w:sz w:val="25"/>
                <w:szCs w:val="24"/>
              </w:rPr>
            </w:pPr>
            <w:r>
              <w:rPr>
                <w:rFonts w:ascii="Times New Roman" w:hAnsi="Times New Roman"/>
                <w:color w:val="000000"/>
                <w:kern w:val="0"/>
                <w:sz w:val="25"/>
                <w:szCs w:val="24"/>
              </w:rPr>
              <w:t>-6.59%</w:t>
            </w:r>
          </w:p>
        </w:tc>
        <w:tc>
          <w:tcPr>
            <w:tcW w:w="750" w:type="pct"/>
            <w:tcBorders>
              <w:top w:val="single" w:color="auto" w:sz="4" w:space="0"/>
              <w:left w:val="single" w:color="auto" w:sz="4" w:space="0"/>
              <w:bottom w:val="single" w:color="auto" w:sz="4" w:space="0"/>
              <w:right w:val="single" w:color="auto" w:sz="4" w:space="0"/>
            </w:tcBorders>
            <w:vAlign w:val="center"/>
          </w:tcPr>
          <w:p w14:paraId="219F75B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5401E767">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color="auto" w:sz="4" w:space="0"/>
              <w:left w:val="single" w:color="auto" w:sz="4" w:space="0"/>
              <w:bottom w:val="single" w:color="auto" w:sz="4" w:space="0"/>
              <w:right w:val="single" w:color="auto" w:sz="4" w:space="0"/>
            </w:tcBorders>
            <w:vAlign w:val="center"/>
          </w:tcPr>
          <w:p w14:paraId="6A43FB63">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14:paraId="5528BC2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AAD8506">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14:paraId="656B79FD">
            <w:pPr>
              <w:widowControl/>
              <w:snapToGrid w:val="0"/>
              <w:jc w:val="left"/>
              <w:rPr>
                <w:rFonts w:ascii="宋体" w:hAnsi="宋体"/>
                <w:color w:val="000000"/>
                <w:kern w:val="0"/>
                <w:sz w:val="25"/>
                <w:szCs w:val="24"/>
              </w:rPr>
            </w:pPr>
            <w:r>
              <w:rPr>
                <w:rFonts w:ascii="Times New Roman" w:hAnsi="Times New Roman"/>
                <w:color w:val="000000"/>
                <w:kern w:val="0"/>
                <w:sz w:val="25"/>
                <w:szCs w:val="24"/>
              </w:rPr>
              <w:t>15.00%</w:t>
            </w:r>
          </w:p>
        </w:tc>
        <w:tc>
          <w:tcPr>
            <w:tcW w:w="750" w:type="pct"/>
            <w:tcBorders>
              <w:top w:val="single" w:color="auto" w:sz="4" w:space="0"/>
              <w:left w:val="single" w:color="auto" w:sz="4" w:space="0"/>
              <w:bottom w:val="single" w:color="auto" w:sz="4" w:space="0"/>
              <w:right w:val="single" w:color="auto" w:sz="4" w:space="0"/>
            </w:tcBorders>
            <w:vAlign w:val="center"/>
          </w:tcPr>
          <w:p w14:paraId="06A8CBD6">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14:paraId="2C15D505">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color="auto" w:sz="4" w:space="0"/>
              <w:left w:val="single" w:color="auto" w:sz="4" w:space="0"/>
              <w:bottom w:val="single" w:color="auto" w:sz="4" w:space="0"/>
              <w:right w:val="single" w:color="auto" w:sz="4" w:space="0"/>
            </w:tcBorders>
            <w:vAlign w:val="center"/>
          </w:tcPr>
          <w:p w14:paraId="60093C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718BC925">
            <w:pPr>
              <w:widowControl/>
              <w:snapToGrid w:val="0"/>
              <w:jc w:val="left"/>
              <w:rPr>
                <w:rFonts w:ascii="宋体" w:hAnsi="宋体"/>
                <w:color w:val="000000"/>
                <w:kern w:val="0"/>
                <w:sz w:val="25"/>
                <w:szCs w:val="24"/>
              </w:rPr>
            </w:pPr>
            <w:r>
              <w:rPr>
                <w:rFonts w:ascii="Times New Roman" w:hAnsi="Times New Roman"/>
                <w:color w:val="000000"/>
                <w:kern w:val="0"/>
                <w:sz w:val="25"/>
                <w:szCs w:val="24"/>
              </w:rPr>
              <w:t>12.87%</w:t>
            </w:r>
          </w:p>
        </w:tc>
        <w:tc>
          <w:tcPr>
            <w:tcW w:w="750" w:type="pct"/>
            <w:tcBorders>
              <w:top w:val="single" w:color="auto" w:sz="4" w:space="0"/>
              <w:left w:val="single" w:color="auto" w:sz="4" w:space="0"/>
              <w:bottom w:val="single" w:color="auto" w:sz="4" w:space="0"/>
              <w:right w:val="single" w:color="auto" w:sz="4" w:space="0"/>
            </w:tcBorders>
            <w:vAlign w:val="center"/>
          </w:tcPr>
          <w:p w14:paraId="6BC8646D">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14:paraId="645B153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44DE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14:paraId="4F279242">
            <w:pPr>
              <w:widowControl/>
              <w:snapToGrid w:val="0"/>
              <w:jc w:val="left"/>
              <w:rPr>
                <w:rFonts w:ascii="宋体" w:hAnsi="宋体"/>
                <w:color w:val="000000"/>
                <w:kern w:val="0"/>
                <w:sz w:val="25"/>
                <w:szCs w:val="24"/>
              </w:rPr>
            </w:pPr>
            <w:r>
              <w:rPr>
                <w:rFonts w:ascii="Times New Roman" w:hAnsi="Times New Roman"/>
                <w:color w:val="000000"/>
                <w:kern w:val="0"/>
                <w:sz w:val="25"/>
                <w:szCs w:val="24"/>
              </w:rPr>
              <w:t>15.33%</w:t>
            </w:r>
          </w:p>
        </w:tc>
        <w:tc>
          <w:tcPr>
            <w:tcW w:w="750" w:type="pct"/>
            <w:tcBorders>
              <w:top w:val="single" w:color="auto" w:sz="4" w:space="0"/>
              <w:left w:val="single" w:color="auto" w:sz="4" w:space="0"/>
              <w:bottom w:val="single" w:color="auto" w:sz="4" w:space="0"/>
              <w:right w:val="single" w:color="auto" w:sz="4" w:space="0"/>
            </w:tcBorders>
            <w:vAlign w:val="center"/>
          </w:tcPr>
          <w:p w14:paraId="33A5E0F3">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14:paraId="7B2E4134">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color="auto" w:sz="4" w:space="0"/>
              <w:left w:val="single" w:color="auto" w:sz="4" w:space="0"/>
              <w:bottom w:val="single" w:color="auto" w:sz="4" w:space="0"/>
              <w:right w:val="single" w:color="auto" w:sz="4" w:space="0"/>
            </w:tcBorders>
            <w:vAlign w:val="center"/>
          </w:tcPr>
          <w:p w14:paraId="4E828877">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4F6D74BC">
            <w:pPr>
              <w:widowControl/>
              <w:snapToGrid w:val="0"/>
              <w:jc w:val="left"/>
              <w:rPr>
                <w:rFonts w:ascii="宋体" w:hAnsi="宋体"/>
                <w:color w:val="000000"/>
                <w:kern w:val="0"/>
                <w:sz w:val="25"/>
                <w:szCs w:val="24"/>
              </w:rPr>
            </w:pPr>
            <w:r>
              <w:rPr>
                <w:rFonts w:ascii="Times New Roman" w:hAnsi="Times New Roman"/>
                <w:color w:val="000000"/>
                <w:kern w:val="0"/>
                <w:sz w:val="25"/>
                <w:szCs w:val="24"/>
              </w:rPr>
              <w:t>9.20%</w:t>
            </w:r>
          </w:p>
        </w:tc>
        <w:tc>
          <w:tcPr>
            <w:tcW w:w="750" w:type="pct"/>
            <w:tcBorders>
              <w:top w:val="single" w:color="auto" w:sz="4" w:space="0"/>
              <w:left w:val="single" w:color="auto" w:sz="4" w:space="0"/>
              <w:bottom w:val="single" w:color="auto" w:sz="4" w:space="0"/>
              <w:right w:val="single" w:color="auto" w:sz="4" w:space="0"/>
            </w:tcBorders>
            <w:vAlign w:val="center"/>
          </w:tcPr>
          <w:p w14:paraId="1D9DC003">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14:paraId="12DD4C81">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18051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w:t>
            </w:r>
          </w:p>
        </w:tc>
        <w:tc>
          <w:tcPr>
            <w:tcW w:w="750" w:type="pct"/>
            <w:tcBorders>
              <w:top w:val="single" w:color="auto" w:sz="4" w:space="0"/>
              <w:left w:val="single" w:color="auto" w:sz="4" w:space="0"/>
              <w:bottom w:val="single" w:color="auto" w:sz="4" w:space="0"/>
              <w:right w:val="single" w:color="auto" w:sz="4" w:space="0"/>
            </w:tcBorders>
            <w:vAlign w:val="center"/>
          </w:tcPr>
          <w:p w14:paraId="29BE7620">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14:paraId="05DE40A0">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color="auto" w:sz="4" w:space="0"/>
              <w:left w:val="single" w:color="auto" w:sz="4" w:space="0"/>
              <w:bottom w:val="single" w:color="auto" w:sz="4" w:space="0"/>
              <w:right w:val="single" w:color="auto" w:sz="4" w:space="0"/>
            </w:tcBorders>
            <w:vAlign w:val="center"/>
          </w:tcPr>
          <w:p w14:paraId="0B8C524B">
            <w:pPr>
              <w:widowControl/>
              <w:snapToGrid w:val="0"/>
              <w:jc w:val="left"/>
              <w:rPr>
                <w:rFonts w:ascii="宋体" w:hAnsi="宋体"/>
                <w:color w:val="000000"/>
                <w:kern w:val="0"/>
                <w:sz w:val="25"/>
                <w:szCs w:val="24"/>
              </w:rPr>
            </w:pPr>
            <w:r>
              <w:rPr>
                <w:rFonts w:ascii="Times New Roman" w:hAnsi="Times New Roman"/>
                <w:color w:val="000000"/>
                <w:kern w:val="0"/>
                <w:sz w:val="25"/>
                <w:szCs w:val="24"/>
              </w:rPr>
              <w:t>-3.62%</w:t>
            </w:r>
          </w:p>
        </w:tc>
        <w:tc>
          <w:tcPr>
            <w:tcW w:w="750" w:type="pct"/>
            <w:tcBorders>
              <w:top w:val="single" w:color="auto" w:sz="4" w:space="0"/>
              <w:left w:val="single" w:color="auto" w:sz="4" w:space="0"/>
              <w:bottom w:val="single" w:color="auto" w:sz="4" w:space="0"/>
              <w:right w:val="single" w:color="auto" w:sz="4" w:space="0"/>
            </w:tcBorders>
            <w:vAlign w:val="center"/>
          </w:tcPr>
          <w:p w14:paraId="62C63C8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3C7BA5D1">
            <w:pPr>
              <w:widowControl/>
              <w:snapToGrid w:val="0"/>
              <w:jc w:val="left"/>
              <w:rPr>
                <w:rFonts w:ascii="宋体" w:hAnsi="宋体"/>
                <w:color w:val="000000"/>
                <w:kern w:val="0"/>
                <w:sz w:val="25"/>
                <w:szCs w:val="24"/>
              </w:rPr>
            </w:pPr>
            <w:r>
              <w:rPr>
                <w:rFonts w:ascii="Times New Roman" w:hAnsi="Times New Roman"/>
                <w:color w:val="000000"/>
                <w:kern w:val="0"/>
                <w:sz w:val="25"/>
                <w:szCs w:val="24"/>
              </w:rPr>
              <w:t>3.36%</w:t>
            </w:r>
          </w:p>
        </w:tc>
        <w:tc>
          <w:tcPr>
            <w:tcW w:w="750" w:type="pct"/>
            <w:tcBorders>
              <w:top w:val="single" w:color="auto" w:sz="4" w:space="0"/>
              <w:left w:val="single" w:color="auto" w:sz="4" w:space="0"/>
              <w:bottom w:val="single" w:color="auto" w:sz="4" w:space="0"/>
              <w:right w:val="single" w:color="auto" w:sz="4" w:space="0"/>
            </w:tcBorders>
            <w:vAlign w:val="center"/>
          </w:tcPr>
          <w:p w14:paraId="76A414FF">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14:paraId="7F24F1B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8512D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2012年度</w:t>
            </w:r>
          </w:p>
        </w:tc>
        <w:tc>
          <w:tcPr>
            <w:tcW w:w="750" w:type="pct"/>
            <w:tcBorders>
              <w:top w:val="single" w:color="auto" w:sz="4" w:space="0"/>
              <w:left w:val="single" w:color="auto" w:sz="4" w:space="0"/>
              <w:bottom w:val="single" w:color="auto" w:sz="4" w:space="0"/>
              <w:right w:val="single" w:color="auto" w:sz="4" w:space="0"/>
            </w:tcBorders>
            <w:vAlign w:val="center"/>
          </w:tcPr>
          <w:p w14:paraId="3F922628">
            <w:pPr>
              <w:widowControl/>
              <w:snapToGrid w:val="0"/>
              <w:jc w:val="left"/>
              <w:rPr>
                <w:rFonts w:ascii="宋体" w:hAnsi="宋体"/>
                <w:color w:val="000000"/>
                <w:kern w:val="0"/>
                <w:sz w:val="25"/>
                <w:szCs w:val="24"/>
              </w:rPr>
            </w:pPr>
            <w:r>
              <w:rPr>
                <w:rFonts w:ascii="Times New Roman" w:hAnsi="Times New Roman"/>
                <w:color w:val="000000"/>
                <w:kern w:val="0"/>
                <w:sz w:val="25"/>
                <w:szCs w:val="24"/>
              </w:rPr>
              <w:t>14.24%</w:t>
            </w:r>
          </w:p>
        </w:tc>
        <w:tc>
          <w:tcPr>
            <w:tcW w:w="750" w:type="pct"/>
            <w:tcBorders>
              <w:top w:val="single" w:color="auto" w:sz="4" w:space="0"/>
              <w:left w:val="single" w:color="auto" w:sz="4" w:space="0"/>
              <w:bottom w:val="single" w:color="auto" w:sz="4" w:space="0"/>
              <w:right w:val="single" w:color="auto" w:sz="4" w:space="0"/>
            </w:tcBorders>
            <w:vAlign w:val="center"/>
          </w:tcPr>
          <w:p w14:paraId="44DD536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14FC24ED">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color="auto" w:sz="4" w:space="0"/>
              <w:left w:val="single" w:color="auto" w:sz="4" w:space="0"/>
              <w:bottom w:val="single" w:color="auto" w:sz="4" w:space="0"/>
              <w:right w:val="single" w:color="auto" w:sz="4" w:space="0"/>
            </w:tcBorders>
            <w:vAlign w:val="center"/>
          </w:tcPr>
          <w:p w14:paraId="01B9473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6FC01352">
            <w:pPr>
              <w:widowControl/>
              <w:snapToGrid w:val="0"/>
              <w:jc w:val="left"/>
              <w:rPr>
                <w:rFonts w:ascii="宋体" w:hAnsi="宋体"/>
                <w:color w:val="000000"/>
                <w:kern w:val="0"/>
                <w:sz w:val="25"/>
                <w:szCs w:val="24"/>
              </w:rPr>
            </w:pPr>
            <w:r>
              <w:rPr>
                <w:rFonts w:ascii="Times New Roman" w:hAnsi="Times New Roman"/>
                <w:color w:val="000000"/>
                <w:kern w:val="0"/>
                <w:sz w:val="25"/>
                <w:szCs w:val="24"/>
              </w:rPr>
              <w:t>12.08%</w:t>
            </w:r>
          </w:p>
        </w:tc>
        <w:tc>
          <w:tcPr>
            <w:tcW w:w="750" w:type="pct"/>
            <w:tcBorders>
              <w:top w:val="single" w:color="auto" w:sz="4" w:space="0"/>
              <w:left w:val="single" w:color="auto" w:sz="4" w:space="0"/>
              <w:bottom w:val="single" w:color="auto" w:sz="4" w:space="0"/>
              <w:right w:val="single" w:color="auto" w:sz="4" w:space="0"/>
            </w:tcBorders>
            <w:vAlign w:val="center"/>
          </w:tcPr>
          <w:p w14:paraId="2FB980AA">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14:paraId="7F487D2B">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716AB22">
            <w:pPr>
              <w:widowControl/>
              <w:snapToGrid w:val="0"/>
              <w:jc w:val="left"/>
              <w:rPr>
                <w:rFonts w:ascii="宋体" w:hAnsi="宋体"/>
                <w:color w:val="000000"/>
                <w:kern w:val="0"/>
                <w:sz w:val="25"/>
                <w:szCs w:val="24"/>
              </w:rPr>
            </w:pPr>
            <w:r>
              <w:rPr>
                <w:rFonts w:ascii="Times New Roman" w:hAnsi="Times New Roman"/>
                <w:color w:val="000000"/>
                <w:kern w:val="0"/>
                <w:sz w:val="25"/>
                <w:szCs w:val="24"/>
              </w:rPr>
              <w:t>2011年度（2011年1月27日－2011年12月31日）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094E6972">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color="auto" w:sz="4" w:space="0"/>
              <w:left w:val="single" w:color="auto" w:sz="4" w:space="0"/>
              <w:bottom w:val="single" w:color="auto" w:sz="4" w:space="0"/>
              <w:right w:val="single" w:color="auto" w:sz="4" w:space="0"/>
            </w:tcBorders>
            <w:vAlign w:val="center"/>
          </w:tcPr>
          <w:p w14:paraId="1831D095">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color="auto" w:sz="4" w:space="0"/>
              <w:left w:val="single" w:color="auto" w:sz="4" w:space="0"/>
              <w:bottom w:val="single" w:color="auto" w:sz="4" w:space="0"/>
              <w:right w:val="single" w:color="auto" w:sz="4" w:space="0"/>
            </w:tcBorders>
            <w:vAlign w:val="center"/>
          </w:tcPr>
          <w:p w14:paraId="5CC36480">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2270002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34D0727C">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color="auto" w:sz="4" w:space="0"/>
              <w:left w:val="single" w:color="auto" w:sz="4" w:space="0"/>
              <w:bottom w:val="single" w:color="auto" w:sz="4" w:space="0"/>
              <w:right w:val="single" w:color="auto" w:sz="4" w:space="0"/>
            </w:tcBorders>
            <w:vAlign w:val="center"/>
          </w:tcPr>
          <w:p w14:paraId="504D6AD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bl>
    <w:p w14:paraId="2A37D8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53102A3D">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交银施罗德信用添利债券证券投资基金（LOF）</w:t>
      </w:r>
    </w:p>
    <w:p w14:paraId="67761FBB">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14:paraId="6A57DBFC">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（2011年1月27日至2025年03月31日）</w:t>
      </w:r>
    </w:p>
    <w:p w14:paraId="5FDD3C62">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1" o:title="1521256610242020828"/>
            <o:lock v:ext="edit" aspectratio="t"/>
            <w10:wrap type="none"/>
            <w10:anchorlock/>
          </v:shape>
        </w:pict>
      </w:r>
    </w:p>
    <w:p w14:paraId="34F15C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14:paraId="46B485D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C9047A2">
      <w:pPr>
        <w:pStyle w:val="2"/>
        <w:snapToGrid w:val="0"/>
        <w:spacing w:before="240" w:beforeLines="0" w:after="240"/>
        <w:rPr>
          <w:rFonts w:ascii="宋体" w:hAnsi="宋体"/>
          <w:szCs w:val="30"/>
        </w:rPr>
      </w:pPr>
      <w:bookmarkStart w:id="16" w:name="_Toc202960204"/>
      <w:r>
        <w:rPr>
          <w:rFonts w:ascii="Times New Roman" w:hAnsi="Times New Roman"/>
          <w:sz w:val="30"/>
        </w:rPr>
        <w:t>十四、基金的财产</w:t>
      </w:r>
      <w:bookmarkEnd w:id="16"/>
    </w:p>
    <w:p w14:paraId="0EDE2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14:paraId="43C03B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基金资产总值是指基金拥有的各类有价证券、银行存款本息、基金应收申购款以及其他资产的价值总和。</w:t>
      </w:r>
    </w:p>
    <w:p w14:paraId="5B99B5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14:paraId="552275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基金资产净值是指基金资产总值减去基金负债后的金额。</w:t>
      </w:r>
    </w:p>
    <w:p w14:paraId="50902B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14:paraId="2A66F9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14:paraId="1CCE5E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（四）基金财产的处分</w:t>
      </w:r>
    </w:p>
    <w:p w14:paraId="415F5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14:paraId="5EFA51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14:paraId="5C7E3F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14:paraId="0A565B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14:paraId="39FA9E7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1117244">
      <w:pPr>
        <w:pStyle w:val="2"/>
        <w:snapToGrid w:val="0"/>
        <w:spacing w:before="240" w:beforeLines="0" w:after="240"/>
        <w:rPr>
          <w:rFonts w:ascii="宋体" w:hAnsi="宋体"/>
          <w:szCs w:val="30"/>
        </w:rPr>
      </w:pPr>
      <w:bookmarkStart w:id="17" w:name="_Toc202960205"/>
      <w:r>
        <w:rPr>
          <w:rFonts w:ascii="Times New Roman" w:hAnsi="Times New Roman"/>
          <w:sz w:val="30"/>
        </w:rPr>
        <w:t>十五、基金资产的估值</w:t>
      </w:r>
      <w:bookmarkEnd w:id="17"/>
    </w:p>
    <w:p w14:paraId="68CF55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（一）估值目的</w:t>
      </w:r>
    </w:p>
    <w:p w14:paraId="002470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基金资产的估值目的是客观、准确地反映基金资产是否保值、增值，并为基金份额提供计价依据。</w:t>
      </w:r>
    </w:p>
    <w:p w14:paraId="0D7E5A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（二）估值日</w:t>
      </w:r>
    </w:p>
    <w:p w14:paraId="45C5CF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本基金的估值日为相关的证券交易场所的正常交易日，以及国家法律法规规定需要对外披露基金净值的非交易日。</w:t>
      </w:r>
    </w:p>
    <w:p w14:paraId="526DEF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（三）估值对象</w:t>
      </w:r>
    </w:p>
    <w:p w14:paraId="48280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基金依法拥有的股票、债券、权证及其他基金资产和负债。</w:t>
      </w:r>
    </w:p>
    <w:p w14:paraId="4CDAB1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14:paraId="5D93C1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基金合同和有关法律法规的规定予以公布。月末、年中和年末估值复核与基金会计账目的核对同时进行。</w:t>
      </w:r>
    </w:p>
    <w:p w14:paraId="6F80DA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（五）估值方法</w:t>
      </w:r>
    </w:p>
    <w:p w14:paraId="7BE998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14:paraId="2F1CCA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（1）上市股票的估值：</w:t>
      </w:r>
    </w:p>
    <w:p w14:paraId="4B4EEC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14:paraId="7B6A93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（2）未上市股票的估值：</w:t>
      </w:r>
    </w:p>
    <w:p w14:paraId="009178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①首次发行未上市的股票，采用估值技术确定公允价值，在估值技术难以可靠计量公允价值的情况下，按成本价估值；</w:t>
      </w:r>
    </w:p>
    <w:p w14:paraId="5D0F7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②送股、转增股、配股和公开增发新股等发行未上市的股票，按估值日在证券交易所上市的同一股票的市价进行估值；</w:t>
      </w:r>
    </w:p>
    <w:p w14:paraId="5CAA75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③首次公开发行有明确锁定期的股票，同一股票在交易所上市后，按估值日在证券交易所上市的同一股票的市价进行估值；</w:t>
      </w:r>
    </w:p>
    <w:p w14:paraId="4B3D5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④非公开发行的且在发行时明确一定期限锁定期的股票，按监管机构或行业协会有关规定确定公允价值。</w:t>
      </w:r>
    </w:p>
    <w:p w14:paraId="3A694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14:paraId="28816E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（4）国家有最新规定的，按其规定进行估值。</w:t>
      </w:r>
    </w:p>
    <w:p w14:paraId="21115D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14:paraId="4F81A3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14:paraId="0538AC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14:paraId="48875F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14:paraId="1ADBE5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14:paraId="4170D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（5）在全国银行间债券市场交易的债券、资产支持证券等固定收益品种，采用估值技术确定公允价值。</w:t>
      </w:r>
    </w:p>
    <w:p w14:paraId="696879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（6）同一债券同时在两个或两个以上市场交易的，按债券所处的市场分别估值。</w:t>
      </w:r>
    </w:p>
    <w:p w14:paraId="5FE902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14:paraId="71DC35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（8）国家有最新规定的，按其规定进行估值。</w:t>
      </w:r>
    </w:p>
    <w:p w14:paraId="016420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3、权证估值方法：</w:t>
      </w:r>
    </w:p>
    <w:p w14:paraId="3484E8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14:paraId="68E878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14:paraId="6FD79F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（3）因持有股票而享有的配股权，以及停止交易、但未行权的权证，采用估值技术确定公允价值进行估值。</w:t>
      </w:r>
    </w:p>
    <w:p w14:paraId="71666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14:paraId="3F626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（5）国家有最新规定的，按其规定进行估值。</w:t>
      </w:r>
    </w:p>
    <w:p w14:paraId="3A8260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4、其他有价证券等资产按国家有关规定进行估值。</w:t>
      </w:r>
    </w:p>
    <w:p w14:paraId="4EC90F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14:paraId="265D03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14:paraId="6300A1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14:paraId="095531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w:t>
      </w:r>
    </w:p>
    <w:p w14:paraId="074B3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14:paraId="5E9CE4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1、差错类型</w:t>
      </w:r>
    </w:p>
    <w:p w14:paraId="5F7ABC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注册登记机构或代销机构或投资者自身的过错造成差错，导致其他当事人遭受损失的，差错的责任人应当对由于该差错遭受损失的当事人（“受损方”）按下述“差错处理原则”给予赔偿，承担赔偿责任。</w:t>
      </w:r>
    </w:p>
    <w:p w14:paraId="73539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14:paraId="70B5B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14:paraId="0056E5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2、差错处理原则</w:t>
      </w:r>
    </w:p>
    <w:p w14:paraId="50220A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14:paraId="4BB98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14:paraId="766EC5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14:paraId="5F2885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（4）差错调整采用尽量恢复至假设未发生差错的正确情形的方式；</w:t>
      </w:r>
    </w:p>
    <w:p w14:paraId="323CFF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基金托管人之外的第三方造成基金财产的损失，并拒绝进行赔偿时，由基金管理人负责向差错方追偿；追偿过程中产生的有关费用，由责任方承担，但若经诉讼或仲裁的终局裁判，基金财产未获得补偿的部分可列入基金费用项下的相关科目，从基金资产中支付；</w:t>
      </w:r>
    </w:p>
    <w:p w14:paraId="738E47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14:paraId="18FBC5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（7）按法律法规规定的其他原则处理差错。</w:t>
      </w:r>
    </w:p>
    <w:p w14:paraId="1ADA04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3、差错处理程序</w:t>
      </w:r>
    </w:p>
    <w:p w14:paraId="574882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差错被发现后，有关的当事人应当及时进行处理，处理的程序如下：</w:t>
      </w:r>
    </w:p>
    <w:p w14:paraId="4AB697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（1）查明差错发生的原因，列明所有的当事人，并根据差错发生的原因确定差错的责任方；</w:t>
      </w:r>
    </w:p>
    <w:p w14:paraId="5861B4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（2）根据差错处理原则或当事人协商的方法对因差错造成的损失进行评估；</w:t>
      </w:r>
    </w:p>
    <w:p w14:paraId="3ACA9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（3）根据差错处理原则或当事人协商的方法由差错的责任方进行更正和赔偿损失；</w:t>
      </w:r>
    </w:p>
    <w:p w14:paraId="73DD12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14:paraId="1E076E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4、基金份额净值差错处理的原则和方法</w:t>
      </w:r>
    </w:p>
    <w:p w14:paraId="2832B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当错误达到或超过基金份额净值的0.25%时，基金管理人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14:paraId="2C0326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14:paraId="028EE4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14:paraId="2ED73E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14:paraId="4B8070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3CBF32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14:paraId="7B648F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14:paraId="64E750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14:paraId="4B8B15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14:paraId="710302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1、基金投资所涉及的证券交易所遇法定节假日或因其他原因暂停交易时；</w:t>
      </w:r>
    </w:p>
    <w:p w14:paraId="79B11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14:paraId="12287E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14:paraId="7F0F7D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4、占基金相当比例的投资品种的估值出现重大转变，而基金管理人为保障基金份额持有人的利益，决定延迟估值；</w:t>
      </w:r>
    </w:p>
    <w:p w14:paraId="471E40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5、中国证监会和基金合同认定的其他情形。</w:t>
      </w:r>
    </w:p>
    <w:p w14:paraId="0E3C4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14:paraId="405F70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w:t>
      </w:r>
      <w:r>
        <w:rPr>
          <w:rFonts w:hint="eastAsia" w:ascii="宋体" w:hAnsi="宋体"/>
          <w:sz w:val="24"/>
        </w:rPr>
        <w:t>各类基金份额的</w:t>
      </w:r>
      <w:r>
        <w:rPr>
          <w:rFonts w:ascii="宋体" w:hAnsi="宋体"/>
          <w:sz w:val="24"/>
        </w:rPr>
        <w:t>基金资产净值和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基金合同和有关法律法规的规定对基金净值予以公布。</w:t>
      </w:r>
    </w:p>
    <w:p w14:paraId="73092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基金份额净值的计算精确到0.0001元，小数点后第五位四舍五入。国家另有规定的，从其规定。</w:t>
      </w:r>
    </w:p>
    <w:p w14:paraId="4394E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14:paraId="06D4EF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1、基金管理人或基金托管人按股票估值方法的第（3）项、债券估值方法的第（7）项、权证估值方法的第（4）项进行估值时，所造成的误差不作为基金资产估值错误处理。</w:t>
      </w:r>
    </w:p>
    <w:p w14:paraId="41181F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14:paraId="032F92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14:paraId="2B76FD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032B24C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DFC36CE">
      <w:pPr>
        <w:pStyle w:val="2"/>
        <w:snapToGrid w:val="0"/>
        <w:spacing w:before="240" w:beforeLines="0" w:after="240"/>
        <w:rPr>
          <w:rFonts w:ascii="宋体" w:hAnsi="宋体"/>
          <w:szCs w:val="30"/>
        </w:rPr>
      </w:pPr>
      <w:bookmarkStart w:id="18" w:name="_Toc202960206"/>
      <w:r>
        <w:rPr>
          <w:rFonts w:ascii="Times New Roman" w:hAnsi="Times New Roman"/>
          <w:sz w:val="30"/>
        </w:rPr>
        <w:t>十六、基金的收益与分配</w:t>
      </w:r>
      <w:bookmarkEnd w:id="18"/>
    </w:p>
    <w:p w14:paraId="79A660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14:paraId="6B1507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14:paraId="69E803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14:paraId="586E31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14:paraId="4E9C32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14:paraId="112BC1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1、本基金在封闭期内，收益分配应遵循下列原则：</w:t>
      </w:r>
    </w:p>
    <w:p w14:paraId="547FFE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（1）本基金的每份基金份额享有同等分配权；</w:t>
      </w:r>
    </w:p>
    <w:p w14:paraId="6FBEF2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（2）在符合有关基金分红条件的前提下，本基金每年收益分配次数最多为12次，最少1次；年度收益分配比例不得低于基金年度已实现收益的90%；若基金合同生效不满3个月，可不进行收益分配；</w:t>
      </w:r>
    </w:p>
    <w:p w14:paraId="31CE7E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（3）基金收益分配基准日的基金份额净值减去每份基金份额收益分配金额后不能低于面值；</w:t>
      </w:r>
    </w:p>
    <w:p w14:paraId="714B2E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（4）本基金收益分配方式为现金分红；</w:t>
      </w:r>
    </w:p>
    <w:p w14:paraId="070628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（5）基金红利发放日距离收益分配基准日（即期末可供分配利润计算截至日）的时间不得超过15个工作日；</w:t>
      </w:r>
    </w:p>
    <w:p w14:paraId="508E9B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（6）法律法规或监管机构另有规定的从其规定。</w:t>
      </w:r>
    </w:p>
    <w:p w14:paraId="01079D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2、本基金转为上市开放式基金（LOF）后，收益分配应遵循下列原则：</w:t>
      </w:r>
    </w:p>
    <w:p w14:paraId="7D5757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w:t>
      </w:r>
      <w:r>
        <w:rPr>
          <w:rFonts w:hint="eastAsia" w:ascii="宋体" w:hAnsi="宋体"/>
          <w:sz w:val="24"/>
        </w:rPr>
        <w:t>由于本基金A类基金份额不收取销售服务费，C类基金份额收取销售服务费，各基金份额类别对应的可供分配利润将有所不同；</w:t>
      </w:r>
      <w:r>
        <w:rPr>
          <w:rFonts w:ascii="宋体" w:hAnsi="宋体"/>
          <w:sz w:val="24"/>
        </w:rPr>
        <w:t>本基金</w:t>
      </w:r>
      <w:r>
        <w:rPr>
          <w:rFonts w:hint="eastAsia" w:ascii="宋体" w:hAnsi="宋体"/>
          <w:sz w:val="24"/>
        </w:rPr>
        <w:t>同一基金份额类别</w:t>
      </w:r>
      <w:r>
        <w:rPr>
          <w:rFonts w:ascii="宋体" w:hAnsi="宋体"/>
          <w:sz w:val="24"/>
        </w:rPr>
        <w:t>的每份基金份额享有同等分配权；</w:t>
      </w:r>
    </w:p>
    <w:p w14:paraId="64FFB7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（2）在符合有关基金分红条件的前提下，本基金每年收益分配次数最多为12次；每份基金份额每次分配比例不得低于收益分配基准日每份基金份额可供分配利润的10%；</w:t>
      </w:r>
    </w:p>
    <w:p w14:paraId="6AB2EB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（3）基金收益分配基准日的基金份额净值减去每份基金份额收益分配金额后不能低于面值；</w:t>
      </w:r>
    </w:p>
    <w:p w14:paraId="51DD04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（4）本基金收益分配方式如下：</w:t>
      </w:r>
    </w:p>
    <w:p w14:paraId="08969F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基金份额持有人持有的登记在基金登记系统中的</w:t>
      </w:r>
      <w:r>
        <w:rPr>
          <w:rFonts w:hint="eastAsia" w:ascii="宋体" w:hAnsi="宋体"/>
          <w:sz w:val="24"/>
          <w:lang w:val="en-US" w:eastAsia="zh-CN"/>
        </w:rPr>
        <w:t>A类基金份额和C类</w:t>
      </w:r>
      <w:r>
        <w:rPr>
          <w:rFonts w:ascii="宋体" w:hAnsi="宋体"/>
          <w:sz w:val="24"/>
        </w:rPr>
        <w:t>基金份额可选择现金红利或选择红利再投将现金红利自动转为</w:t>
      </w:r>
      <w:r>
        <w:rPr>
          <w:rFonts w:hint="eastAsia" w:ascii="宋体" w:hAnsi="宋体"/>
          <w:sz w:val="24"/>
        </w:rPr>
        <w:t>相应类别的</w:t>
      </w:r>
      <w:r>
        <w:rPr>
          <w:rFonts w:ascii="宋体" w:hAnsi="宋体"/>
          <w:sz w:val="24"/>
        </w:rPr>
        <w:t>基金份额进行再投资；若投资人不选择，本基金默认的收益分配方式是现金分红</w:t>
      </w:r>
      <w:r>
        <w:rPr>
          <w:rFonts w:hint="eastAsia" w:ascii="宋体" w:hAnsi="宋体"/>
          <w:sz w:val="24"/>
        </w:rPr>
        <w:t>；基金份额持有人可对其持有的A类基金份额和C类基金份额分别选择不同的收益分配方式</w:t>
      </w:r>
      <w:r>
        <w:rPr>
          <w:rFonts w:ascii="宋体" w:hAnsi="宋体"/>
          <w:sz w:val="24"/>
        </w:rPr>
        <w:t>。</w:t>
      </w:r>
    </w:p>
    <w:p w14:paraId="79A5B1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基金份额持有人持有的登记在证券登记系统中的</w:t>
      </w:r>
      <w:r>
        <w:rPr>
          <w:rFonts w:hint="eastAsia" w:ascii="宋体" w:hAnsi="宋体"/>
          <w:sz w:val="24"/>
          <w:lang w:val="en-US" w:eastAsia="zh-CN"/>
        </w:rPr>
        <w:t>A类</w:t>
      </w:r>
      <w:r>
        <w:rPr>
          <w:rFonts w:ascii="宋体" w:hAnsi="宋体"/>
          <w:sz w:val="24"/>
        </w:rPr>
        <w:t>基金份额只能采取现金红利的收益分配方式。具体收益分配程序等有关事项须遵循深圳证券交易所及中国证券登记结算有限责任公司的相关规定；</w:t>
      </w:r>
    </w:p>
    <w:p w14:paraId="4D41EA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（5）基金红利发放日距离收益分配基准日（即期末可供分配利润计算截至日）的时间不得超过15个工作日；</w:t>
      </w:r>
    </w:p>
    <w:p w14:paraId="044CD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（6）法律法规或监管机构另有规定的从其规定。</w:t>
      </w:r>
    </w:p>
    <w:p w14:paraId="6A0E14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14:paraId="0DD8A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14:paraId="46CD17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14:paraId="6F9190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1、本基金收益分配方案由基金管理人拟定、由基金托管人核实后确定，依照《信息披露办法》的有关规定在指定媒介公告。</w:t>
      </w:r>
    </w:p>
    <w:p w14:paraId="4095AA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2、在分配方案公布后(依据具体方案的规定)，基金管理人就支付的现金红利向基金托管人发送划款指令，基金托管人按照基金管理人的指令及时进行分红资金的划付。</w:t>
      </w:r>
    </w:p>
    <w:p w14:paraId="6DD3DF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3、法律法规或监管机关另有规定的，从其规定。</w:t>
      </w:r>
    </w:p>
    <w:p w14:paraId="75D6AA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（六）收益分配中发生的费用</w:t>
      </w:r>
    </w:p>
    <w:p w14:paraId="61E48B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收益分配时所发生的银行转账或其他手续费用由投资者自行承担。</w:t>
      </w:r>
    </w:p>
    <w:p w14:paraId="1ABAD9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14:paraId="630FB5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投资者可至销售机构办理收益分配方式的修改，投资者对不同的交易账户可设置不同的收益分配方式。</w:t>
      </w:r>
    </w:p>
    <w:p w14:paraId="26A5D7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投资者同一日多次申报分红方式变更的，按照《业务规则》执行，最终确认的分红方式以注册登记机构记录为准。</w:t>
      </w:r>
    </w:p>
    <w:p w14:paraId="35A585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14:paraId="086DA3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14:paraId="342DAD3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6D3397A">
      <w:pPr>
        <w:pStyle w:val="2"/>
        <w:snapToGrid w:val="0"/>
        <w:spacing w:before="240" w:beforeLines="0" w:after="240"/>
        <w:rPr>
          <w:rFonts w:ascii="宋体" w:hAnsi="宋体"/>
          <w:szCs w:val="30"/>
        </w:rPr>
      </w:pPr>
      <w:bookmarkStart w:id="19" w:name="_Toc202960207"/>
      <w:r>
        <w:rPr>
          <w:rFonts w:ascii="Times New Roman" w:hAnsi="Times New Roman"/>
          <w:sz w:val="30"/>
        </w:rPr>
        <w:t>十七、基金的费用与税收</w:t>
      </w:r>
      <w:bookmarkEnd w:id="19"/>
    </w:p>
    <w:p w14:paraId="7D2FC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14:paraId="17C898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6F3062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271A38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3、基金合同生效后的信息披露费用；</w:t>
      </w:r>
    </w:p>
    <w:p w14:paraId="56718B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4、基金份额持有人大会费用；</w:t>
      </w:r>
    </w:p>
    <w:p w14:paraId="29EAC9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5、基金合同生效后与基金有关的会计师费和律师费；</w:t>
      </w:r>
    </w:p>
    <w:p w14:paraId="09E483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14:paraId="59A373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7、基金上市费用；</w:t>
      </w:r>
    </w:p>
    <w:p w14:paraId="67645E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8、证券账户开户费用和银行账户维护费；</w:t>
      </w:r>
    </w:p>
    <w:p w14:paraId="1DF7E6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9、基金财产拨划支付的银行费用；</w:t>
      </w:r>
    </w:p>
    <w:p w14:paraId="5FE4BE6D">
      <w:pPr>
        <w:spacing w:line="360" w:lineRule="auto"/>
        <w:ind w:firstLine="480" w:firstLineChars="200"/>
        <w:rPr>
          <w:rFonts w:hint="eastAsia" w:ascii="宋体" w:hAnsi="宋体"/>
          <w:sz w:val="24"/>
        </w:rPr>
      </w:pPr>
      <w:r>
        <w:rPr>
          <w:rFonts w:ascii="宋体" w:hAnsi="宋体"/>
          <w:sz w:val="24"/>
        </w:rPr>
        <w:t>10、</w:t>
      </w:r>
      <w:r>
        <w:rPr>
          <w:rFonts w:hint="eastAsia" w:ascii="宋体" w:hAnsi="宋体"/>
          <w:sz w:val="24"/>
        </w:rPr>
        <w:t>本基金从C类基金份额的基金财产中计提的销售服务费；</w:t>
      </w:r>
    </w:p>
    <w:p w14:paraId="1318D31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1</w:t>
      </w:r>
      <w:r>
        <w:rPr>
          <w:rFonts w:hint="eastAsia" w:ascii="宋体" w:hAnsi="宋体"/>
          <w:sz w:val="24"/>
          <w:lang w:val="en-US" w:eastAsia="zh-CN"/>
        </w:rPr>
        <w:t>1、</w:t>
      </w:r>
      <w:r>
        <w:rPr>
          <w:rFonts w:ascii="宋体" w:hAnsi="宋体"/>
          <w:sz w:val="24"/>
        </w:rPr>
        <w:t>按照国家有关规定可以在基金财产中列支的其他费用。</w:t>
      </w:r>
    </w:p>
    <w:p w14:paraId="0C6550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14:paraId="389782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712C1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5F7B7D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在通常情况下，基金管理费按前一日基金资产净值的年费率计提。计算方法如下：</w:t>
      </w:r>
    </w:p>
    <w:p w14:paraId="39390C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H＝E×年管理费率÷当年天数，本基金年管理费率为0.6%</w:t>
      </w:r>
    </w:p>
    <w:p w14:paraId="4693EE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14:paraId="6629F5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14:paraId="7C980C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14:paraId="799B10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3322B3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在通常情况下，基金托管费按前一日基金资产净值的年费率计提。计算方法如下：</w:t>
      </w:r>
    </w:p>
    <w:p w14:paraId="4A7A29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H＝E×年托管费率÷当年天数，本基金年托管费率为0.2%</w:t>
      </w:r>
    </w:p>
    <w:p w14:paraId="54EE94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14:paraId="4C4E0B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14:paraId="0B7F4A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14:paraId="5123BE38">
      <w:pPr>
        <w:autoSpaceDE w:val="0"/>
        <w:autoSpaceDN w:val="0"/>
        <w:adjustRightInd w:val="0"/>
        <w:snapToGrid w:val="0"/>
        <w:spacing w:line="360" w:lineRule="auto"/>
        <w:ind w:firstLine="480" w:firstLineChars="200"/>
        <w:jc w:val="left"/>
        <w:rPr>
          <w:rFonts w:hint="eastAsia" w:ascii="宋体" w:hAnsi="宋体"/>
          <w:sz w:val="24"/>
        </w:rPr>
      </w:pPr>
      <w:r>
        <w:rPr>
          <w:rFonts w:ascii="宋体" w:hAnsi="宋体"/>
          <w:sz w:val="24"/>
        </w:rPr>
        <w:t>(3)</w:t>
      </w:r>
      <w:r>
        <w:rPr>
          <w:rFonts w:hint="eastAsia" w:ascii="宋体" w:hAnsi="宋体"/>
          <w:sz w:val="24"/>
        </w:rPr>
        <w:t>C类基金份额的销售服务费</w:t>
      </w:r>
    </w:p>
    <w:p w14:paraId="0487749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本基金A类基金份额不收取销售服务费，C类基金份额的销售服务费按前一日C类基金份额的基金资产净值的0.1%年费率计提。计算方法如下：</w:t>
      </w:r>
    </w:p>
    <w:p w14:paraId="076E353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H＝E×0.1%÷当年天数</w:t>
      </w:r>
    </w:p>
    <w:p w14:paraId="6F72C34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H为C类基金份额每日应计提的销售服务费</w:t>
      </w:r>
    </w:p>
    <w:p w14:paraId="5E2152FA">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E为C类基金份额前一日基金资产净值</w:t>
      </w:r>
    </w:p>
    <w:p w14:paraId="5A8D754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C类基金份额的销售服务费具体收取/返还方式：</w:t>
      </w:r>
    </w:p>
    <w:p w14:paraId="20DD120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1）通过直销机构申购的C类基金份额</w:t>
      </w:r>
    </w:p>
    <w:p w14:paraId="369CA5D4">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对于C类基金份额计提的销售服务费，在投资人赎回基金份额或基金合同终止时随赎回款或清算款一并返还给投资人。</w:t>
      </w:r>
    </w:p>
    <w:p w14:paraId="24724031">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2）通过其他销售机构申购的C类基金份额</w:t>
      </w:r>
    </w:p>
    <w:p w14:paraId="119E226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对于投资人持续持有期限未超过一年的C类基金份额，销售服务费每日计提，逐日累计至每月月末，按月支付。由基金管理人根据双方核对一致的数据向基金托管人发送销售服务费划付指令，基金托管人于次月首日起5个工作日内从基金财产中一次性支付给基金管理人，由基金管理人代付给销售机构。若遇法定节假日、休息日或不可抗力致使无法按时支付的，顺延至最近可支付日支付。</w:t>
      </w:r>
    </w:p>
    <w:p w14:paraId="2396D550">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对于投资人持续持有期限超过一年的C类基金份额，持续持有超过一年后计提的销售服务费将在投资人赎回相应基金份额或基金合同终止时随赎回款或清算款一并返还给投资人。</w:t>
      </w:r>
    </w:p>
    <w:p w14:paraId="566AE02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C类基金份额的销售服务费将专门用于本基金的推广、销售与基金份额持有人服务。</w:t>
      </w:r>
    </w:p>
    <w:p w14:paraId="36261E8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（4）</w:t>
      </w:r>
      <w:r>
        <w:rPr>
          <w:rFonts w:ascii="宋体" w:hAnsi="宋体"/>
          <w:sz w:val="24"/>
        </w:rPr>
        <w:t>上述(一)中3到9项费用由基金托管人根据其他有关法律法规及相应协议的规定，按费用支出金额支付，列入或摊入当期基金费用。</w:t>
      </w:r>
    </w:p>
    <w:p w14:paraId="3C41ED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14:paraId="1BC3D0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14:paraId="0AF0E0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14:paraId="7074C6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14:paraId="1491B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14:paraId="74FA1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14:paraId="6531A7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w:t>
      </w:r>
    </w:p>
    <w:p w14:paraId="43DA3B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（四）基金管理费</w:t>
      </w:r>
      <w:r>
        <w:rPr>
          <w:rFonts w:hint="eastAsia" w:ascii="宋体" w:hAnsi="宋体"/>
          <w:sz w:val="24"/>
          <w:lang w:eastAsia="zh-CN"/>
        </w:rPr>
        <w:t>、</w:t>
      </w:r>
      <w:r>
        <w:rPr>
          <w:rFonts w:ascii="宋体" w:hAnsi="宋体"/>
          <w:sz w:val="24"/>
        </w:rPr>
        <w:t>托管费</w:t>
      </w:r>
      <w:r>
        <w:rPr>
          <w:rFonts w:hint="eastAsia" w:ascii="宋体" w:hAnsi="宋体"/>
          <w:sz w:val="24"/>
        </w:rPr>
        <w:t>和销售服务费</w:t>
      </w:r>
      <w:r>
        <w:rPr>
          <w:rFonts w:ascii="宋体" w:hAnsi="宋体"/>
          <w:sz w:val="24"/>
        </w:rPr>
        <w:t>的调整</w:t>
      </w:r>
    </w:p>
    <w:p w14:paraId="660C6F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基金管理人和基金托管人可根据基金发展情况调整基金管理费率</w:t>
      </w:r>
      <w:r>
        <w:rPr>
          <w:rFonts w:hint="eastAsia" w:ascii="宋体" w:hAnsi="宋体"/>
          <w:sz w:val="24"/>
          <w:lang w:eastAsia="zh-CN"/>
        </w:rPr>
        <w:t>、</w:t>
      </w:r>
      <w:r>
        <w:rPr>
          <w:rFonts w:ascii="宋体" w:hAnsi="宋体"/>
          <w:sz w:val="24"/>
        </w:rPr>
        <w:t>基金托管费率</w:t>
      </w:r>
      <w:r>
        <w:rPr>
          <w:rFonts w:hint="eastAsia" w:ascii="宋体" w:hAnsi="宋体"/>
          <w:sz w:val="24"/>
        </w:rPr>
        <w:t>和销售服务费率</w:t>
      </w:r>
      <w:r>
        <w:rPr>
          <w:rFonts w:hint="eastAsia" w:ascii="宋体" w:hAnsi="宋体"/>
          <w:sz w:val="24"/>
          <w:lang w:val="en-US" w:eastAsia="zh-CN"/>
        </w:rPr>
        <w:tab/>
      </w:r>
      <w:r>
        <w:rPr>
          <w:rFonts w:ascii="宋体" w:hAnsi="宋体"/>
          <w:sz w:val="24"/>
        </w:rPr>
        <w:t>。降低基金管理费率</w:t>
      </w:r>
      <w:r>
        <w:rPr>
          <w:rFonts w:hint="eastAsia" w:ascii="宋体" w:hAnsi="宋体"/>
          <w:sz w:val="24"/>
          <w:lang w:eastAsia="zh-CN"/>
        </w:rPr>
        <w:t>、</w:t>
      </w:r>
      <w:r>
        <w:rPr>
          <w:rFonts w:ascii="宋体" w:hAnsi="宋体"/>
          <w:sz w:val="24"/>
        </w:rPr>
        <w:t>基金托管费率</w:t>
      </w:r>
      <w:r>
        <w:rPr>
          <w:rFonts w:hint="eastAsia" w:ascii="宋体" w:hAnsi="宋体"/>
          <w:sz w:val="24"/>
        </w:rPr>
        <w:t>和销售服务费率</w:t>
      </w:r>
      <w:r>
        <w:rPr>
          <w:rFonts w:ascii="宋体" w:hAnsi="宋体"/>
          <w:sz w:val="24"/>
        </w:rPr>
        <w:t>，无须召开基金份额持有人大会。基金管理人必须依照有关规定最迟于新的费率实施日前在指定媒介上刊登公告。</w:t>
      </w:r>
    </w:p>
    <w:p w14:paraId="5F44AE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14:paraId="19F5B8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3FFC2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14:paraId="10A3B1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基金和基金份额持有人根据国家法律法规的规定，履行纳税义务。</w:t>
      </w:r>
    </w:p>
    <w:p w14:paraId="4692268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C981D1D">
      <w:pPr>
        <w:pStyle w:val="2"/>
        <w:snapToGrid w:val="0"/>
        <w:spacing w:before="240" w:beforeLines="0" w:after="240"/>
        <w:rPr>
          <w:rFonts w:ascii="宋体" w:hAnsi="宋体"/>
          <w:szCs w:val="30"/>
        </w:rPr>
      </w:pPr>
      <w:bookmarkStart w:id="20" w:name="_Toc202960208"/>
      <w:r>
        <w:rPr>
          <w:rFonts w:ascii="Times New Roman" w:hAnsi="Times New Roman"/>
          <w:sz w:val="30"/>
        </w:rPr>
        <w:t>十八、基金的会计与审计</w:t>
      </w:r>
      <w:bookmarkEnd w:id="20"/>
    </w:p>
    <w:p w14:paraId="342D6C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14:paraId="250C6A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1、基金管理人为本基金的会计责任方；</w:t>
      </w:r>
    </w:p>
    <w:p w14:paraId="51F9B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2、本基金的会计年度为公历每年的1月1日至12月31日；</w:t>
      </w:r>
    </w:p>
    <w:p w14:paraId="2A03B6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3、本基金的会计核算以人民币为记账本位币，以人民币元为记账单位；</w:t>
      </w:r>
    </w:p>
    <w:p w14:paraId="68EB18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4、会计制度执行国家有关的会计制度；</w:t>
      </w:r>
    </w:p>
    <w:p w14:paraId="0646E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35DB98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14:paraId="07C060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7、基金托管人定期与基金管理人就基金的会计核算、报表编制等进行核对并书面确认。</w:t>
      </w:r>
    </w:p>
    <w:p w14:paraId="211F8B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（二）基金的审计</w:t>
      </w:r>
    </w:p>
    <w:p w14:paraId="79F622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1、基金管理人聘请具有证券、期货相关从业资格的会计师事务所及其注册会计师对本基金年度财务报表及其他规定事项进行审计。会计师事务所及其注册会计师与基金管理人、基金托管人相互独立。</w:t>
      </w:r>
    </w:p>
    <w:p w14:paraId="40AC68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2、会计师事务所更换经办注册会计师时，应事先征得基金管理人同意。</w:t>
      </w:r>
    </w:p>
    <w:p w14:paraId="30523A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3、基金管理人(或基金托管人)认为有充足理由更换会计师事务所，经基金托管人(或基金管理人)同意后可以更换。更换会计师事务所需按照《信息披露办法》的有关规定在指定媒介公告。</w:t>
      </w:r>
    </w:p>
    <w:p w14:paraId="11D5DFD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5604574">
      <w:pPr>
        <w:pStyle w:val="2"/>
        <w:snapToGrid w:val="0"/>
        <w:spacing w:before="240" w:beforeLines="0" w:after="240"/>
        <w:rPr>
          <w:rFonts w:ascii="宋体" w:hAnsi="宋体"/>
          <w:szCs w:val="30"/>
        </w:rPr>
      </w:pPr>
      <w:bookmarkStart w:id="21" w:name="_Toc202960209"/>
      <w:r>
        <w:rPr>
          <w:rFonts w:ascii="Times New Roman" w:hAnsi="Times New Roman"/>
          <w:sz w:val="30"/>
        </w:rPr>
        <w:t>十九、基金的信息披露</w:t>
      </w:r>
      <w:bookmarkEnd w:id="21"/>
    </w:p>
    <w:p w14:paraId="7E5196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本基金的信息披露应符合《基金法》、《运作办法》、《信息披露办法》、《流动性规定》、基金合同及其他有关规定。</w:t>
      </w:r>
    </w:p>
    <w:p w14:paraId="6AF295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14:paraId="30D06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14:paraId="51278C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06CF0E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本基金信息披露义务人承诺公开披露的基金信息，不得有下列行为：</w:t>
      </w:r>
    </w:p>
    <w:p w14:paraId="0D7457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4A5D4D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2C959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3F29EC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14:paraId="34830D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12B17F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5B8F1F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14:paraId="3B3F77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5D1906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14:paraId="61FB0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（一）招募说明书、基金合同、托管协议、基金产品资料概要</w:t>
      </w:r>
    </w:p>
    <w:p w14:paraId="787DDD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基金经中国证监会准予变更注册后，基金管理人根据《信息披露办法》的规定将招募说明书、基金合同摘要登载在指定媒介上；基金管理人、基金托管人应当将基金合同、托管协议登载在网站上。</w:t>
      </w:r>
    </w:p>
    <w:p w14:paraId="7DACF5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14:paraId="7CC3A0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47D542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3F62FF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2F1AFC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（二）发售公告</w:t>
      </w:r>
    </w:p>
    <w:p w14:paraId="6046D9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基金管理人应当就基金份额发售的具体事宜编制发售公告，并在披露招募说明书的当日登载于指定媒介上。</w:t>
      </w:r>
    </w:p>
    <w:p w14:paraId="78A17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（三）基金合同生效公告</w:t>
      </w:r>
    </w:p>
    <w:p w14:paraId="30C3B8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基金管理人应当在本基金合同生效的次日在指定报刊和基金管理人网站上登载基金合同生效公告。基金合同生效公告中将说明基金募集情况。</w:t>
      </w:r>
    </w:p>
    <w:p w14:paraId="20495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（四）基金份额上市交易公告书</w:t>
      </w:r>
    </w:p>
    <w:p w14:paraId="672E84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基金份额获准在深圳证券交易所上市交易的，基金管理人应当在基金上市交易的三个工作日前，将基金份额上市交易公告书登载在指定网站上，并将上市交易公告书提示性公告登载在指定报刊上。</w:t>
      </w:r>
    </w:p>
    <w:p w14:paraId="7A342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（五）基金开始申购、赎回公告</w:t>
      </w:r>
    </w:p>
    <w:p w14:paraId="59C7E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基金管理人应于申购开始日、赎回开始日前在指定媒介上公告。</w:t>
      </w:r>
    </w:p>
    <w:p w14:paraId="2A3731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（六）基金份额申购、赎回价格</w:t>
      </w:r>
    </w:p>
    <w:p w14:paraId="30D0E1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032A1F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（七）基金净值信息</w:t>
      </w:r>
    </w:p>
    <w:p w14:paraId="2505F9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w:t>
      </w:r>
      <w:r>
        <w:rPr>
          <w:rFonts w:hint="eastAsia" w:ascii="宋体" w:hAnsi="宋体"/>
          <w:sz w:val="24"/>
          <w:lang w:val="en-US" w:eastAsia="zh-CN"/>
        </w:rPr>
        <w:t>分别</w:t>
      </w:r>
      <w:r>
        <w:rPr>
          <w:rFonts w:ascii="宋体" w:hAnsi="宋体"/>
          <w:sz w:val="24"/>
        </w:rPr>
        <w:t>披露一次</w:t>
      </w:r>
      <w:r>
        <w:rPr>
          <w:bCs/>
          <w:sz w:val="24"/>
        </w:rPr>
        <w:t>A</w:t>
      </w:r>
      <w:r>
        <w:rPr>
          <w:rFonts w:hAnsi="宋体"/>
          <w:sz w:val="24"/>
        </w:rPr>
        <w:t>类基金份额和</w:t>
      </w:r>
      <w:r>
        <w:rPr>
          <w:sz w:val="24"/>
        </w:rPr>
        <w:t>C</w:t>
      </w:r>
      <w:r>
        <w:rPr>
          <w:rFonts w:hAnsi="宋体"/>
          <w:sz w:val="24"/>
        </w:rPr>
        <w:t>类基金份额所对应</w:t>
      </w:r>
      <w:r>
        <w:rPr>
          <w:bCs/>
          <w:sz w:val="24"/>
        </w:rPr>
        <w:t>的</w:t>
      </w:r>
      <w:r>
        <w:rPr>
          <w:rFonts w:ascii="宋体" w:hAnsi="宋体"/>
          <w:sz w:val="24"/>
        </w:rPr>
        <w:t>基金份额净值和基金份额累计净值。</w:t>
      </w:r>
    </w:p>
    <w:p w14:paraId="55EEEC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w:t>
      </w:r>
      <w:r>
        <w:rPr>
          <w:bCs/>
          <w:sz w:val="24"/>
        </w:rPr>
        <w:t>A</w:t>
      </w:r>
      <w:r>
        <w:rPr>
          <w:rFonts w:hAnsi="宋体"/>
          <w:sz w:val="24"/>
        </w:rPr>
        <w:t>类基金份额和</w:t>
      </w:r>
      <w:r>
        <w:rPr>
          <w:sz w:val="24"/>
        </w:rPr>
        <w:t>C</w:t>
      </w:r>
      <w:r>
        <w:rPr>
          <w:rFonts w:hAnsi="宋体"/>
          <w:sz w:val="24"/>
        </w:rPr>
        <w:t>类基金份额所对应</w:t>
      </w:r>
      <w:r>
        <w:rPr>
          <w:bCs/>
          <w:sz w:val="24"/>
        </w:rPr>
        <w:t>的</w:t>
      </w:r>
      <w:r>
        <w:rPr>
          <w:rFonts w:ascii="宋体" w:hAnsi="宋体"/>
          <w:sz w:val="24"/>
        </w:rPr>
        <w:t>的基金份额净值和基金份额累计净值。</w:t>
      </w:r>
    </w:p>
    <w:p w14:paraId="790E78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w:t>
      </w:r>
      <w:r>
        <w:rPr>
          <w:bCs/>
          <w:sz w:val="24"/>
        </w:rPr>
        <w:t>A</w:t>
      </w:r>
      <w:r>
        <w:rPr>
          <w:rFonts w:hAnsi="宋体"/>
          <w:sz w:val="24"/>
        </w:rPr>
        <w:t>类基金份额和</w:t>
      </w:r>
      <w:r>
        <w:rPr>
          <w:sz w:val="24"/>
        </w:rPr>
        <w:t>C</w:t>
      </w:r>
      <w:r>
        <w:rPr>
          <w:rFonts w:hAnsi="宋体"/>
          <w:sz w:val="24"/>
        </w:rPr>
        <w:t>类基金份额所对应</w:t>
      </w:r>
      <w:r>
        <w:rPr>
          <w:bCs/>
          <w:sz w:val="24"/>
        </w:rPr>
        <w:t>的</w:t>
      </w:r>
      <w:r>
        <w:rPr>
          <w:rFonts w:ascii="宋体" w:hAnsi="宋体"/>
          <w:sz w:val="24"/>
        </w:rPr>
        <w:t>的基金份额净值和基金份额累计净值。</w:t>
      </w:r>
    </w:p>
    <w:p w14:paraId="694929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（八）基金定期报告，包括基金年度报告、基金中期报告和基金季度报告</w:t>
      </w:r>
    </w:p>
    <w:p w14:paraId="1E167F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69287C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14:paraId="143287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14:paraId="5596D8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14:paraId="1AD2E7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8C82F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14:paraId="494DDA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（九）临时报告</w:t>
      </w:r>
    </w:p>
    <w:p w14:paraId="3E2504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14:paraId="598208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14:paraId="21AF8E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6133CD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05DF49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376260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46FAD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6CE6C3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13C439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38C87F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40129B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4A686A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2061E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19CAB3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4450DB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2850C3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14:paraId="265236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w:t>
      </w:r>
      <w:r>
        <w:rPr>
          <w:rFonts w:hint="eastAsia" w:ascii="宋体" w:hAnsi="宋体"/>
          <w:sz w:val="24"/>
          <w:lang w:eastAsia="zh-CN"/>
        </w:rPr>
        <w:t>、</w:t>
      </w:r>
      <w:r>
        <w:rPr>
          <w:rFonts w:hint="eastAsia" w:ascii="宋体" w:hAnsi="宋体"/>
          <w:sz w:val="24"/>
        </w:rPr>
        <w:t>销售服务费</w:t>
      </w:r>
      <w:r>
        <w:rPr>
          <w:rFonts w:ascii="宋体" w:hAnsi="宋体"/>
          <w:sz w:val="24"/>
        </w:rPr>
        <w:t>、申购费、赎回费等费用计提标准、计提方式和费率发生变更；</w:t>
      </w:r>
    </w:p>
    <w:p w14:paraId="4EE955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w:t>
      </w:r>
      <w:r>
        <w:rPr>
          <w:rFonts w:hint="eastAsia"/>
          <w:bCs/>
          <w:sz w:val="24"/>
        </w:rPr>
        <w:t>任一类</w:t>
      </w:r>
      <w:r>
        <w:rPr>
          <w:rFonts w:ascii="宋体" w:hAnsi="宋体"/>
          <w:sz w:val="24"/>
        </w:rPr>
        <w:t>基金份额净值计价错误达</w:t>
      </w:r>
      <w:r>
        <w:rPr>
          <w:rFonts w:hint="eastAsia" w:ascii="宋体" w:hAnsi="宋体"/>
          <w:sz w:val="24"/>
          <w:lang w:val="en-US" w:eastAsia="zh-CN"/>
        </w:rPr>
        <w:t>该类</w:t>
      </w:r>
      <w:r>
        <w:rPr>
          <w:rFonts w:ascii="宋体" w:hAnsi="宋体"/>
          <w:sz w:val="24"/>
        </w:rPr>
        <w:t>基金份额净值百分之零点五；</w:t>
      </w:r>
    </w:p>
    <w:p w14:paraId="231D52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68B414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63DB7A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3DF87D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4E4BFA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21、基金推出新业务或服务；</w:t>
      </w:r>
    </w:p>
    <w:p w14:paraId="18E254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22、封闭期内基金扩募；</w:t>
      </w:r>
    </w:p>
    <w:p w14:paraId="4F107B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23、本基金暂停上市、恢复上市或终止上市；</w:t>
      </w:r>
    </w:p>
    <w:p w14:paraId="4A6A95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24、开放期间发生涉及基金申购、赎回事项调整或潜在影响投资者赎回等重大事项时；</w:t>
      </w:r>
    </w:p>
    <w:p w14:paraId="51BF78EB">
      <w:pPr>
        <w:autoSpaceDE w:val="0"/>
        <w:autoSpaceDN w:val="0"/>
        <w:adjustRightInd w:val="0"/>
        <w:snapToGrid w:val="0"/>
        <w:spacing w:line="360" w:lineRule="auto"/>
        <w:ind w:firstLine="480" w:firstLineChars="200"/>
        <w:jc w:val="left"/>
        <w:rPr>
          <w:rFonts w:hint="eastAsia" w:ascii="宋体" w:hAnsi="宋体"/>
          <w:sz w:val="24"/>
        </w:rPr>
      </w:pPr>
      <w:r>
        <w:rPr>
          <w:rFonts w:ascii="宋体" w:hAnsi="宋体"/>
          <w:sz w:val="24"/>
        </w:rPr>
        <w:t>25、</w:t>
      </w:r>
      <w:r>
        <w:rPr>
          <w:rFonts w:hint="eastAsia" w:ascii="宋体" w:hAnsi="宋体"/>
          <w:sz w:val="24"/>
        </w:rPr>
        <w:t>本基金增加或调整基金份额类别；</w:t>
      </w:r>
    </w:p>
    <w:p w14:paraId="59C409A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26</w:t>
      </w:r>
      <w:r>
        <w:rPr>
          <w:rFonts w:hint="eastAsia" w:ascii="宋体" w:hAnsi="宋体"/>
          <w:sz w:val="24"/>
          <w:lang w:eastAsia="zh-CN"/>
        </w:rPr>
        <w:t>、</w:t>
      </w:r>
      <w:r>
        <w:rPr>
          <w:rFonts w:ascii="宋体" w:hAnsi="宋体"/>
          <w:sz w:val="24"/>
        </w:rPr>
        <w:t>基金信息披露义务人认为可能对基金份额持有人权益或者基金份额的价格产生重大影响的其他事项或中国证监会、深圳证券交易所规定的其他事项。</w:t>
      </w:r>
    </w:p>
    <w:p w14:paraId="35E9D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（十）澄清公告</w:t>
      </w:r>
    </w:p>
    <w:p w14:paraId="116AC0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14:paraId="59236A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（十一）基金份额持有人大会决议</w:t>
      </w:r>
    </w:p>
    <w:p w14:paraId="63FAF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35A3F0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2CB10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（十二）实施侧袋机制期间的信息披露</w:t>
      </w:r>
    </w:p>
    <w:p w14:paraId="428AB7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2D22EA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（十三）中国证监会规定的其他信息</w:t>
      </w:r>
    </w:p>
    <w:p w14:paraId="7E47DB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信息披露事务管理</w:t>
      </w:r>
    </w:p>
    <w:p w14:paraId="2EAA7E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616145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14:paraId="510FE7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w:t>
      </w:r>
      <w:r>
        <w:rPr>
          <w:rFonts w:hint="eastAsia" w:ascii="宋体" w:hAnsi="宋体" w:eastAsia="宋体" w:cs="Times New Roman"/>
          <w:sz w:val="24"/>
        </w:rPr>
        <w:t>各类</w:t>
      </w:r>
      <w:r>
        <w:rPr>
          <w:rFonts w:ascii="宋体" w:hAnsi="宋体"/>
          <w:sz w:val="24"/>
        </w:rPr>
        <w:t>基金份额净值、基金份额申购赎回价格、基金定期报告、更新的招募说明书、基金产品资料概要、基金清算报告等公开披露的相关基金信息进行复核、审查，并向基金管理人进行书面或电子确认。</w:t>
      </w:r>
    </w:p>
    <w:p w14:paraId="548D5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1B4FE8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和基金上市交易的证券交易所网站披露信息，并且在不同媒介上披露同一信息的内容应当一致。</w:t>
      </w:r>
    </w:p>
    <w:p w14:paraId="6B7009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4AA506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45364E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信息披露文件的存放与查阅</w:t>
      </w:r>
    </w:p>
    <w:p w14:paraId="729E5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依法必须披露的信息发布后，基金管理人、基金托管人应当按照相关法律法规规定将信息置备于各自住所和基金上市交易的证券交易所网站，供社会公众查阅、复制。</w:t>
      </w:r>
    </w:p>
    <w:p w14:paraId="28E8E6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本基金信息披露事项以法律法规规定及本章节约定的内容为准。</w:t>
      </w:r>
    </w:p>
    <w:p w14:paraId="1FC83EA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6EB3674">
      <w:pPr>
        <w:pStyle w:val="2"/>
        <w:snapToGrid w:val="0"/>
        <w:spacing w:before="240" w:beforeLines="0" w:after="240"/>
        <w:rPr>
          <w:rFonts w:ascii="宋体" w:hAnsi="宋体"/>
          <w:szCs w:val="30"/>
        </w:rPr>
      </w:pPr>
      <w:bookmarkStart w:id="22" w:name="_Toc202960210"/>
      <w:r>
        <w:rPr>
          <w:rFonts w:ascii="Times New Roman" w:hAnsi="Times New Roman"/>
          <w:sz w:val="30"/>
        </w:rPr>
        <w:t>二十、侧袋机制</w:t>
      </w:r>
      <w:bookmarkEnd w:id="22"/>
    </w:p>
    <w:p w14:paraId="69E7416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（一）侧袋机制的实施条件</w:t>
      </w:r>
    </w:p>
    <w:p w14:paraId="75E0EF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636EE8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2ED3AEA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（二）实施侧袋机制期间基金份额的申购与赎回</w:t>
      </w:r>
    </w:p>
    <w:p w14:paraId="3FE1A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29ADC7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08DED4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6AA8129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（三）实施侧袋机制期间的基金投资</w:t>
      </w:r>
    </w:p>
    <w:p w14:paraId="68E969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5ED985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626A12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14:paraId="0AE988B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（四）实施侧袋机制期间的基金估值</w:t>
      </w:r>
    </w:p>
    <w:p w14:paraId="112408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14:paraId="400E229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（五）实施侧袋账户期间的基金费用</w:t>
      </w:r>
    </w:p>
    <w:p w14:paraId="3EA7EF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14:paraId="60761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74233F9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（六）侧袋账户中特定资产的处置变现和支付</w:t>
      </w:r>
    </w:p>
    <w:p w14:paraId="27685A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410E1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60D118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5A373C9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（七）侧袋机制的信息披露</w:t>
      </w:r>
    </w:p>
    <w:p w14:paraId="1CCD6C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14:paraId="3B8AD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2984B5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14:paraId="5C2F49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5B9FAB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14:paraId="689047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14:paraId="151BB6F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7979BEE">
      <w:pPr>
        <w:pStyle w:val="2"/>
        <w:snapToGrid w:val="0"/>
        <w:spacing w:before="240" w:beforeLines="0" w:after="240"/>
        <w:rPr>
          <w:rFonts w:ascii="宋体" w:hAnsi="宋体"/>
          <w:szCs w:val="30"/>
        </w:rPr>
      </w:pPr>
      <w:bookmarkStart w:id="23" w:name="_Toc202960211"/>
      <w:r>
        <w:rPr>
          <w:rFonts w:ascii="Times New Roman" w:hAnsi="Times New Roman"/>
          <w:sz w:val="30"/>
        </w:rPr>
        <w:t>二十一、风险揭示</w:t>
      </w:r>
      <w:bookmarkEnd w:id="23"/>
    </w:p>
    <w:p w14:paraId="41846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14:paraId="2E5350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14:paraId="4E0D09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14:paraId="4D7C81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14:paraId="237074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14:paraId="641FAC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14:paraId="73B3D4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担。</w:t>
      </w:r>
    </w:p>
    <w:p w14:paraId="686245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6E5942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14:paraId="0BF2DA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76D384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590B9D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14:paraId="0F035E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当金融市场利率水平变化时，将会引起债券的价格和收益率变化，同时也直接影响企业的融资成本和利润水平，造成股票和权证市场走势变化，进而影响基金的净值表现。例如当市场利率上升时，基金所持有的债券价格将下降，若基金组合久期较长，则基金资产面临损失。</w:t>
      </w:r>
    </w:p>
    <w:p w14:paraId="4E796C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14:paraId="5B0EC2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5、购买力风险。基金投资于债券所获得的收益将主要通过现金形式来分配，而现金可能受通货膨胀的影响以致购买力下降，从而使基金的实际收益下降。</w:t>
      </w:r>
    </w:p>
    <w:p w14:paraId="71EF7D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14:paraId="6FA52B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14:paraId="215E93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此外，本基金可投资于新股申购，如果基金所投资的上市公司经营不善，可能导致其新股上市价格涨幅收窄甚至股价下跌，从而影响本基金参与股票投资的收益水平。</w:t>
      </w:r>
    </w:p>
    <w:p w14:paraId="15801A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14:paraId="43DE7B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6C5F6F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14:paraId="5846B4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为上市开放式基金（LOF）后，在基金的所有开放日，基金管理人都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5C39A9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0F0580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依据基金合同约定自2014年1月28日起自动转为上市开放式基金（LOF）。基金管理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75184A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6A3FBF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14:paraId="62090F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65F1AC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14:paraId="0E6574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当基金出现巨额赎回时，基金管理人可以根据基金当时的资产组合状况决定全额赎回或部分顺延赎回。</w:t>
      </w:r>
    </w:p>
    <w:p w14:paraId="073812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（1）全额赎回：当基金管理人认为有能力支付基金投资者的赎回申请时，按正常赎回程序执行。</w:t>
      </w:r>
    </w:p>
    <w:p w14:paraId="60F106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顺延赎回：当基金管理人认为支付基金投资者的赎回申请有困难或认为支付投资者的赎回申请而进行的财产变现可能会对基金资产净值造成较大波动时，基金管理人在当日接受赎回比例不低于前一工作日基金总份额的10%的前提下，对其余赎回申请延期办理。对于当日的赎回申请，应当按基金份额持有人提交的每笔赎回申请量占赎回申请总量的比例，确定该笔赎回申请当日部分确认的赎回份额；基金投资者未能赎回部分，投资者在提交场外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w:t>
      </w:r>
      <w:r>
        <w:rPr>
          <w:rFonts w:hint="eastAsia" w:ascii="宋体" w:hAnsi="宋体"/>
          <w:sz w:val="24"/>
          <w:lang w:val="en-US" w:eastAsia="zh-CN"/>
        </w:rPr>
        <w:t>该类</w:t>
      </w:r>
      <w:r>
        <w:rPr>
          <w:rFonts w:ascii="宋体" w:hAnsi="宋体"/>
          <w:sz w:val="24"/>
        </w:rPr>
        <w:t>基金份额净值为基础计算赎回金额，并以此类推，直到全部赎回为止。如基金投资者在提交赎回申请时未作明确选择，投资者未能赎回部分作自动延期赎回处理。</w:t>
      </w:r>
    </w:p>
    <w:p w14:paraId="6F1C53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14:paraId="50943E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巨额赎回业务的场内处理，按照深圳证券交易所及中国证券登记结算有限责任公司的有关规定办理。</w:t>
      </w:r>
    </w:p>
    <w:p w14:paraId="7281B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14:paraId="1A50CC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14:paraId="3EDB4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19D1D6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4D6D39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784C1E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14:paraId="4ECA1E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39432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054E4B0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（四）本基金特有的风险</w:t>
      </w:r>
    </w:p>
    <w:p w14:paraId="28AA21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14:paraId="469617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2、本基金封闭期结束后转为上市开放式基金（LOF），基金份额持有人可通过深圳证券交易所二级市场上市交易的方式卖出</w:t>
      </w:r>
      <w:r>
        <w:rPr>
          <w:rFonts w:hint="eastAsia" w:ascii="宋体" w:hAnsi="宋体"/>
          <w:sz w:val="24"/>
          <w:lang w:val="en-US" w:eastAsia="zh-CN"/>
        </w:rPr>
        <w:t>A类</w:t>
      </w:r>
      <w:r>
        <w:rPr>
          <w:rFonts w:ascii="宋体" w:hAnsi="宋体"/>
          <w:sz w:val="24"/>
        </w:rPr>
        <w:t>前端基金份额，也可以通过深圳证券交易所场内赎回</w:t>
      </w:r>
      <w:r>
        <w:rPr>
          <w:rFonts w:hint="eastAsia" w:ascii="宋体" w:hAnsi="宋体"/>
          <w:sz w:val="24"/>
          <w:lang w:val="en-US" w:eastAsia="zh-CN"/>
        </w:rPr>
        <w:t>A类</w:t>
      </w:r>
      <w:r>
        <w:rPr>
          <w:rFonts w:ascii="宋体" w:hAnsi="宋体"/>
          <w:sz w:val="24"/>
        </w:rPr>
        <w:t>前端基金份额。若投资者通过二级市场交易的方式卖出</w:t>
      </w:r>
      <w:r>
        <w:rPr>
          <w:rFonts w:hint="eastAsia" w:ascii="宋体" w:hAnsi="宋体"/>
          <w:sz w:val="24"/>
          <w:lang w:val="en-US" w:eastAsia="zh-CN"/>
        </w:rPr>
        <w:t>A类</w:t>
      </w:r>
      <w:r>
        <w:rPr>
          <w:rFonts w:ascii="宋体" w:hAnsi="宋体"/>
          <w:sz w:val="24"/>
        </w:rPr>
        <w:t>前端基金份额，届时若出现基金折价交易情形，则基金份额的二级市场卖出价格可能低于基金份额净值；若投资者通过场内赎回基金份额，则赎回价格以申请当日收市后计算的基金份额净值为基准进行计算。</w:t>
      </w:r>
    </w:p>
    <w:p w14:paraId="31651F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14:paraId="501BC20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（五）本基金法律文件风险收益特征表述与销售机构基金风险评价可能不一致的风险</w:t>
      </w:r>
    </w:p>
    <w:p w14:paraId="03CA48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76A516C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（六）其他风险</w:t>
      </w:r>
    </w:p>
    <w:p w14:paraId="69757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7E1111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17E6C4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617A22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75B0B4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0CAC18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6401D0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14:paraId="6C34FF0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ABC749F">
      <w:pPr>
        <w:pStyle w:val="2"/>
        <w:snapToGrid w:val="0"/>
        <w:spacing w:before="240" w:beforeLines="0" w:after="240"/>
        <w:rPr>
          <w:rFonts w:ascii="宋体" w:hAnsi="宋体"/>
          <w:szCs w:val="30"/>
        </w:rPr>
      </w:pPr>
      <w:bookmarkStart w:id="24" w:name="_Toc202960212"/>
      <w:r>
        <w:rPr>
          <w:rFonts w:ascii="Times New Roman" w:hAnsi="Times New Roman"/>
          <w:sz w:val="30"/>
        </w:rPr>
        <w:t>二十二、基金合同的变更、终止与基金财产的清算</w:t>
      </w:r>
      <w:bookmarkEnd w:id="24"/>
    </w:p>
    <w:p w14:paraId="18F1D5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14:paraId="599E11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按照法律法规或本基金合同的规定，基金合同变更内容对基金合同当事人权利、义务产生重大影响的，应召开基金份额持有人大会，基金合同变更的内容应经基金份额持有人大会决议通过，并依法报中国证监会核准，自中国证监会核准之日起生效。以下情形引起基金合同变更的需召开基金份额持有人大会：</w:t>
      </w:r>
    </w:p>
    <w:p w14:paraId="17930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(1)转换基金运作方式，本基金基金合同生效满三年直接转为上市开放式基金（LOF）运作方式的除外；</w:t>
      </w:r>
    </w:p>
    <w:p w14:paraId="373F4C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(2)变更基金类别；</w:t>
      </w:r>
    </w:p>
    <w:p w14:paraId="31640B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(3)变更基金投资目标、投资范围或投资策略（法律法规、中国证监会和基金合同另有规定的除外）；</w:t>
      </w:r>
    </w:p>
    <w:p w14:paraId="73708E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(4)变更基金份额持有人大会议事程序；</w:t>
      </w:r>
    </w:p>
    <w:p w14:paraId="2685A7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(5)更换基金管理人、基金托管人；</w:t>
      </w:r>
    </w:p>
    <w:p w14:paraId="444CBA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(6)提高基金管理人、基金托管人的报酬标准</w:t>
      </w:r>
      <w:r>
        <w:rPr>
          <w:rFonts w:hint="eastAsia" w:ascii="宋体" w:hAnsi="宋体"/>
          <w:sz w:val="24"/>
        </w:rPr>
        <w:t>或提高销售服务费率</w:t>
      </w:r>
      <w:r>
        <w:rPr>
          <w:rFonts w:ascii="宋体" w:hAnsi="宋体"/>
          <w:sz w:val="24"/>
        </w:rPr>
        <w:t>。但根据法律法规的要求提高该等报酬标准的除外；</w:t>
      </w:r>
    </w:p>
    <w:p w14:paraId="039F40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04A48E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(8)封闭期内基金的扩募；</w:t>
      </w:r>
    </w:p>
    <w:p w14:paraId="7A60A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(9)对基金合同当事人权利、义务产生重大影响，需召开基金份额持有人大会的变更基金合同等其他事项；</w:t>
      </w:r>
    </w:p>
    <w:p w14:paraId="23BFF1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(10)终止基金上市，但因本基金不再具备上市条件而被深圳证券交易所终止上市的除外；</w:t>
      </w:r>
    </w:p>
    <w:p w14:paraId="220C2C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(11)法律法规、基金合同或中国证监会规定的其他情形。</w:t>
      </w:r>
    </w:p>
    <w:p w14:paraId="358ADE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14:paraId="35FF2E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w:t>
      </w:r>
      <w:r>
        <w:rPr>
          <w:rFonts w:hint="eastAsia" w:ascii="宋体" w:hAnsi="宋体"/>
          <w:sz w:val="24"/>
        </w:rPr>
        <w:t>、销售服务费</w:t>
      </w:r>
      <w:r>
        <w:rPr>
          <w:rFonts w:ascii="宋体" w:hAnsi="宋体"/>
          <w:sz w:val="24"/>
        </w:rPr>
        <w:t>等其他应由基金或基金份额持有人承担的费用；</w:t>
      </w:r>
    </w:p>
    <w:p w14:paraId="76C70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(2)在法律法规和基金合同规定的范围内调整基金的申购费率、调低赎回费率、变更或新增收费方式；</w:t>
      </w:r>
    </w:p>
    <w:p w14:paraId="14D28F98">
      <w:pPr>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调整基金份额类别设置、对基金份额分类办法及规则进行调整；</w:t>
      </w:r>
    </w:p>
    <w:p w14:paraId="7CDA580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(4)</w:t>
      </w:r>
      <w:r>
        <w:rPr>
          <w:rFonts w:ascii="宋体" w:hAnsi="宋体"/>
          <w:sz w:val="24"/>
        </w:rPr>
        <w:t>因相应的法律法规发生变动必须对基金合同进行修改；</w:t>
      </w:r>
    </w:p>
    <w:p w14:paraId="24DDEC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lang w:val="en-US" w:eastAsia="zh-CN"/>
        </w:rPr>
        <w:t>5</w:t>
      </w:r>
      <w:r>
        <w:rPr>
          <w:rFonts w:ascii="宋体" w:hAnsi="宋体"/>
          <w:sz w:val="24"/>
        </w:rPr>
        <w:t>)基金合同的修改不涉及基金合同当事人权利义务关系发生重大变化；</w:t>
      </w:r>
    </w:p>
    <w:p w14:paraId="7CE526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lang w:val="en-US" w:eastAsia="zh-CN"/>
        </w:rPr>
        <w:t>6</w:t>
      </w:r>
      <w:r>
        <w:rPr>
          <w:rFonts w:ascii="宋体" w:hAnsi="宋体"/>
          <w:sz w:val="24"/>
        </w:rPr>
        <w:t>)基金合同的修改对基金份额持有人利益无实质性不利影响；</w:t>
      </w:r>
    </w:p>
    <w:p w14:paraId="119A3C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lang w:val="en-US" w:eastAsia="zh-CN"/>
        </w:rPr>
        <w:t>7</w:t>
      </w:r>
      <w:r>
        <w:rPr>
          <w:rFonts w:ascii="宋体" w:hAnsi="宋体"/>
          <w:sz w:val="24"/>
        </w:rPr>
        <w:t>)按照法律法规或基金合同规定不需召开基金份额持有人大会的其他情形。</w:t>
      </w:r>
    </w:p>
    <w:p w14:paraId="680E28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w:t>
      </w:r>
    </w:p>
    <w:p w14:paraId="5458A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有下列情形之一的，基金合同将终止：</w:t>
      </w:r>
    </w:p>
    <w:p w14:paraId="3EB21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5AC8FC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2、基金管理人职责终止，而在6个月内没有新的基金管理人承接的；</w:t>
      </w:r>
    </w:p>
    <w:p w14:paraId="069160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3、基金托管人职责终止，而在6个月内没有新的基金托管人承接的；</w:t>
      </w:r>
    </w:p>
    <w:p w14:paraId="28F82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14:paraId="763A5B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14:paraId="6E4524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w:t>
      </w:r>
    </w:p>
    <w:p w14:paraId="0E896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(1)基金合同终止后，成立基金清算小组，基金清算小组在中国证监会的监督下进行基金清算。</w:t>
      </w:r>
    </w:p>
    <w:p w14:paraId="779741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(2)基金清算小组成员由基金管理人、基金托管人、具有从事证券相关业务资格的注册会计师、律师以及中国证监会指定的人员组成。基金清算小组可以聘用必要的工作人员。</w:t>
      </w:r>
    </w:p>
    <w:p w14:paraId="782842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14:paraId="3DD586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2、基金财产清算程序：</w:t>
      </w:r>
    </w:p>
    <w:p w14:paraId="6ADAD0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(1)基金合同终止时，由基金清算小组统一接管基金财产；</w:t>
      </w:r>
    </w:p>
    <w:p w14:paraId="7761EE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(2)对基金财产进行清理和确认；</w:t>
      </w:r>
    </w:p>
    <w:p w14:paraId="3101C4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(3)对基金财产进行估价和变现；</w:t>
      </w:r>
    </w:p>
    <w:p w14:paraId="5615B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051F4A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(5)聘请会计师事务所对清算报告进行审计；</w:t>
      </w:r>
    </w:p>
    <w:p w14:paraId="5BC107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(6)聘请律师事务所对清算报告出具法律意见书；</w:t>
      </w:r>
    </w:p>
    <w:p w14:paraId="0AE97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(7)将基金清算结果报告中国证监会；</w:t>
      </w:r>
    </w:p>
    <w:p w14:paraId="398A64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(8)公布基金清算报告；</w:t>
      </w:r>
    </w:p>
    <w:p w14:paraId="10A63B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(9)对基金剩余财产进行分配。</w:t>
      </w:r>
    </w:p>
    <w:p w14:paraId="4930B2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14:paraId="366B1D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清算费用是指基金清算小组在进行基金清算过程中发生的所有合理费用，清算费用由基金清算小组优先从基金财产中支付。</w:t>
      </w:r>
    </w:p>
    <w:p w14:paraId="1CBE03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4、基金财产按下列顺序清偿</w:t>
      </w:r>
    </w:p>
    <w:p w14:paraId="410B6C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14:paraId="72B925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14:paraId="5136D8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14:paraId="7B911F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14:paraId="0A0CDD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14:paraId="14F48CC0">
      <w:pPr>
        <w:spacing w:line="360" w:lineRule="auto"/>
        <w:ind w:firstLine="480" w:firstLineChars="200"/>
        <w:rPr>
          <w:rFonts w:hint="eastAsia" w:ascii="宋体" w:hAnsi="宋体"/>
          <w:sz w:val="24"/>
        </w:rPr>
      </w:pPr>
      <w:r>
        <w:rPr>
          <w:rFonts w:hint="eastAsia"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14:paraId="151B78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14:paraId="433393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14:paraId="5FE105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14:paraId="258D10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50F0627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8ECF745">
      <w:pPr>
        <w:pStyle w:val="2"/>
        <w:snapToGrid w:val="0"/>
        <w:spacing w:before="240" w:beforeLines="0" w:after="240"/>
        <w:rPr>
          <w:rFonts w:ascii="宋体" w:hAnsi="宋体"/>
          <w:szCs w:val="30"/>
        </w:rPr>
      </w:pPr>
      <w:bookmarkStart w:id="25" w:name="_Toc202960213"/>
      <w:r>
        <w:rPr>
          <w:rFonts w:ascii="Times New Roman" w:hAnsi="Times New Roman"/>
          <w:sz w:val="30"/>
        </w:rPr>
        <w:t>二十三、基金合同内容摘要</w:t>
      </w:r>
      <w:bookmarkEnd w:id="25"/>
    </w:p>
    <w:p w14:paraId="0D4D129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（一）基金合同当事人的权利与义务</w:t>
      </w:r>
    </w:p>
    <w:p w14:paraId="649E20B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1、基金管理人的权利</w:t>
      </w:r>
    </w:p>
    <w:p w14:paraId="527EEA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（1）自本基金合同生效之日起，依照有关法律法规和本基金合同的规定独立运用基金财产；</w:t>
      </w:r>
    </w:p>
    <w:p w14:paraId="61173F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（2）依照本基金合同获得基金管理人报酬以及法律法规规定或中国证监会批准的其他收入；</w:t>
      </w:r>
    </w:p>
    <w:p w14:paraId="10F290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（3）依照有关规定为基金的利益行使因基金财产投资于证券所产生的权利；</w:t>
      </w:r>
    </w:p>
    <w:p w14:paraId="4A8BA0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（4）在符合有关法律法规和本基金合同的前提下，制订和调整有关基金认购、申购、赎回、转换和转托管等业务的规则，决定基金的除调高托管费和管理费之外的费率结构和收费方式；</w:t>
      </w:r>
    </w:p>
    <w:p w14:paraId="195061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14:paraId="2EB038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（6）在基金合同约定的范围内，拒绝或暂停受理申购、赎回和转换申请；</w:t>
      </w:r>
    </w:p>
    <w:p w14:paraId="497B55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（7）自行担任注册登记机构或选择、更换注册登记机构，并对注册登记机构的代理行为进行必要的监督和检查；</w:t>
      </w:r>
    </w:p>
    <w:p w14:paraId="5DC64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（8）选择、更换代销机构，并依据销售代理协议和有关法律法规，对其行为进行必要的监督和检查；</w:t>
      </w:r>
    </w:p>
    <w:p w14:paraId="31ACF4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（9）在基金托管人更换时，提名新的基金托管人；</w:t>
      </w:r>
    </w:p>
    <w:p w14:paraId="3DB378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（10）依法召集基金份额持有人大会；</w:t>
      </w:r>
    </w:p>
    <w:p w14:paraId="172E89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（11）选择、更换律师事务所、会计师事务所、证券经纪商或其他为基金提供服务的外部机构；</w:t>
      </w:r>
    </w:p>
    <w:p w14:paraId="1147AE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（12）根据国家有关规定，在法律法规允许的前提下，为基金的利益依法为基金融资、融券；</w:t>
      </w:r>
    </w:p>
    <w:p w14:paraId="2385FB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（13）法律法规规定的其他权利。</w:t>
      </w:r>
    </w:p>
    <w:p w14:paraId="65BDB6B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2、基金管理人的义务</w:t>
      </w:r>
    </w:p>
    <w:p w14:paraId="7E3B30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（1）依法募集基金，办理或者委托经由证监会认定的其他机构代为办理基金份额的发售、申购、赎回和注册登记事宜；</w:t>
      </w:r>
    </w:p>
    <w:p w14:paraId="039DD6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372BDD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（3）自基金合同生效之日起，以诚实信用、勤勉尽责的原则管理和运用基金财产；</w:t>
      </w:r>
    </w:p>
    <w:p w14:paraId="1840C2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2AC1D7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14:paraId="50DC98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14:paraId="41E7C1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15E3C7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（8）计算并公告基金净值信息，确定基金份额申购、赎回价格；</w:t>
      </w:r>
    </w:p>
    <w:p w14:paraId="1ED880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（9）采取适当合理的措施使计算基金份额认购、申购、赎回价格的方法符合基金合同等法律文件的规定；</w:t>
      </w:r>
    </w:p>
    <w:p w14:paraId="0126D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（10）按规定受理基金份额的申购和赎回申请，及时、足额支付赎回款项；</w:t>
      </w:r>
    </w:p>
    <w:p w14:paraId="0B0394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（11）进行基金会计核算并编制基金财务会计报告；</w:t>
      </w:r>
    </w:p>
    <w:p w14:paraId="1C224B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（12）编制季度报告、中期报告和年度报告；</w:t>
      </w:r>
    </w:p>
    <w:p w14:paraId="1AEFD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（13）严格按照《基金法》、基金合同及其他有关规定，履行信息披露及报告义务；</w:t>
      </w:r>
    </w:p>
    <w:p w14:paraId="24FFEF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14:paraId="7DB3D4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（15）按照基金合同的约定确定基金收益分配方案，及时向基金份额持有人分配收益；</w:t>
      </w:r>
    </w:p>
    <w:p w14:paraId="1AFC21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14:paraId="06EEF1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（17）保存基金财产管理业务活动的记录、账册、报表和其他相关资料；</w:t>
      </w:r>
    </w:p>
    <w:p w14:paraId="36758D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（18）以基金管理人名义，代表基金份额持有人利益行使诉讼权利或者实施其他法律行为；</w:t>
      </w:r>
    </w:p>
    <w:p w14:paraId="3A7FB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（19）组织并参加基金财产清算小组，参与基金财产的保管、清理、估价、变现和分配；</w:t>
      </w:r>
    </w:p>
    <w:p w14:paraId="5313E6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14:paraId="0528D0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（21）基金托管人违反基金合同造成基金财产损失时，应为基金份额持有人利益向基金托管人追偿；</w:t>
      </w:r>
    </w:p>
    <w:p w14:paraId="5B93AA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（22）按规定向基金托管人提供基金份额持有人名册资料；</w:t>
      </w:r>
    </w:p>
    <w:p w14:paraId="505304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（23）建立并保存基金份额持有人名册；</w:t>
      </w:r>
    </w:p>
    <w:p w14:paraId="2395C2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（24）面临解散、依法被撤销或者被依法宣告破产时，及时报告中国证监会并通知基金托管人；</w:t>
      </w:r>
    </w:p>
    <w:p w14:paraId="0130F7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（25）执行生效的基金份额持有人大会的决定；</w:t>
      </w:r>
    </w:p>
    <w:p w14:paraId="749932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（26）不从事任何有损基金及其他基金合同当事人合法权益的活动；</w:t>
      </w:r>
    </w:p>
    <w:p w14:paraId="711148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14:paraId="29D40E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（28）法律法规、基金合同规定的以及中国证监会要求的其他义务。</w:t>
      </w:r>
    </w:p>
    <w:p w14:paraId="1C051A2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3、基金托管人的权利</w:t>
      </w:r>
    </w:p>
    <w:p w14:paraId="73D365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（1）获得基金托管费；</w:t>
      </w:r>
    </w:p>
    <w:p w14:paraId="6682F1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（2）监督基金管理人对本基金的投资运作；</w:t>
      </w:r>
    </w:p>
    <w:p w14:paraId="3FC2EF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（3）自本基金合同生效之日起，依法保管基金财产；</w:t>
      </w:r>
    </w:p>
    <w:p w14:paraId="635E5A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（4）在基金管理人更换时，提名新任基金管理人；</w:t>
      </w:r>
    </w:p>
    <w:p w14:paraId="210CC6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14:paraId="382945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（6）依法召集基金份额持有人大会；</w:t>
      </w:r>
    </w:p>
    <w:p w14:paraId="1B2650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（7）按规定取得基金份额持有人名册；</w:t>
      </w:r>
    </w:p>
    <w:p w14:paraId="41F13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（8）法律法规规定的其他权利。</w:t>
      </w:r>
    </w:p>
    <w:p w14:paraId="0A03804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4、基金托管人的义务</w:t>
      </w:r>
    </w:p>
    <w:p w14:paraId="7FA249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14:paraId="14DD2B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14:paraId="75705C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14:paraId="271DF1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14:paraId="2D9BAD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13548E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w:t>
      </w:r>
    </w:p>
    <w:p w14:paraId="17EF41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14:paraId="13B7DD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4EB0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（9）保存基金托管业务活动的记录、账册、报表和其他相关资料不少于15年；</w:t>
      </w:r>
    </w:p>
    <w:p w14:paraId="7DB2B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（10）按照基金合同的约定，根据基金管理人的投资指令，及时办理清算、交割事宜；</w:t>
      </w:r>
    </w:p>
    <w:p w14:paraId="0E44B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（11）办理与基金托管业务活动有关的信息披露事项；</w:t>
      </w:r>
    </w:p>
    <w:p w14:paraId="0C2B07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（12）复核、审查基金管理人计算的基金资产净值、</w:t>
      </w:r>
      <w:r>
        <w:rPr>
          <w:rFonts w:hint="eastAsia" w:ascii="宋体" w:hAnsi="宋体"/>
          <w:sz w:val="24"/>
          <w:lang w:val="en-US" w:eastAsia="zh-CN"/>
        </w:rPr>
        <w:t>各类</w:t>
      </w:r>
      <w:r>
        <w:rPr>
          <w:rFonts w:ascii="宋体" w:hAnsi="宋体"/>
          <w:sz w:val="24"/>
        </w:rPr>
        <w:t>基金份额净值和基金份额申购、赎回价格；</w:t>
      </w:r>
    </w:p>
    <w:p w14:paraId="1ADCAA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（13）按照规定监督基金管理人的投资运作；</w:t>
      </w:r>
    </w:p>
    <w:p w14:paraId="72384A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（14）按规定制作相关账册并与基金管理人核对；</w:t>
      </w:r>
    </w:p>
    <w:p w14:paraId="0D9F09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（15）依据基金管理人的指令或有关规定向基金份额持有人支付基金收益和赎回款项；</w:t>
      </w:r>
    </w:p>
    <w:p w14:paraId="73E65D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（16）按照规定召集基金份额持有人大会或配合基金管理人、基金份额持有人依法召集基金份额持有人大会；</w:t>
      </w:r>
    </w:p>
    <w:p w14:paraId="2BB5D1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（17）因违反基金合同导致基金财产损失，应承担赔偿责任，其赔偿责任不因其退任而免除；</w:t>
      </w:r>
    </w:p>
    <w:p w14:paraId="21E2E7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14:paraId="7DA6D1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（19）根据本基金合同和托管协议规定建立并保存基金份额持有人名册；</w:t>
      </w:r>
    </w:p>
    <w:p w14:paraId="45B355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（20）参加基金财产清算组，参与基金财产的保管、清理、估价、变现和分配；</w:t>
      </w:r>
    </w:p>
    <w:p w14:paraId="0BC6B4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（21）面临解散、依法被撤销、破产或者由接管人接管其资产时，及时报告中国证监会和银行业监督管理机构，并通知基金管理人；</w:t>
      </w:r>
    </w:p>
    <w:p w14:paraId="183F27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（22）执行生效的基金份额持有人大会的决定；</w:t>
      </w:r>
    </w:p>
    <w:p w14:paraId="4531A2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（23）法律法规、基金合同规定的以及中国证监会要求的其他义务。</w:t>
      </w:r>
    </w:p>
    <w:p w14:paraId="604A893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5</w:t>
      </w:r>
      <w:r>
        <w:rPr>
          <w:rFonts w:hint="eastAsia" w:ascii="宋体" w:hAnsi="宋体"/>
          <w:kern w:val="0"/>
          <w:sz w:val="24"/>
        </w:rPr>
        <w:t>、</w:t>
      </w:r>
      <w:r>
        <w:rPr>
          <w:rFonts w:hint="eastAsia" w:ascii="宋体" w:hAnsi="宋体"/>
          <w:b/>
          <w:kern w:val="0"/>
          <w:sz w:val="24"/>
        </w:rPr>
        <w:t>基金份额持有人的权利与义务</w:t>
      </w:r>
    </w:p>
    <w:p w14:paraId="797A5C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14:paraId="1497B8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14:paraId="18E3EF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（1）根据《基金法》、《运作办法》及其他有关法律法规的规定，基金份额持有人的权利包括但不限于：</w:t>
      </w:r>
    </w:p>
    <w:p w14:paraId="47A51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①分享基金财产收益；</w:t>
      </w:r>
    </w:p>
    <w:p w14:paraId="7D2A3D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②参与分配清算后的剩余基金财产；</w:t>
      </w:r>
    </w:p>
    <w:p w14:paraId="74D93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③依法转让或者申请赎回其持有的基金份额；</w:t>
      </w:r>
    </w:p>
    <w:p w14:paraId="4243FD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④按照规定要求召开基金份额持有人大会；</w:t>
      </w:r>
    </w:p>
    <w:p w14:paraId="12C215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⑤出席或者委派代表出席基金份额持有人大会，对基金份额持有人大会审议事项行使表决权；</w:t>
      </w:r>
    </w:p>
    <w:p w14:paraId="6929E4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⑥查阅或者复制公开披露的基金信息资料；</w:t>
      </w:r>
    </w:p>
    <w:p w14:paraId="737D7A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⑦监督基金管理人的投资运作；</w:t>
      </w:r>
    </w:p>
    <w:p w14:paraId="7715D5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⑧对基金管理人、基金托管人、基金份额代销机构损害其合法权益的行为依法提起诉讼；</w:t>
      </w:r>
    </w:p>
    <w:p w14:paraId="0245D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⑨法律法规和基金合同规定的其他权利。</w:t>
      </w:r>
    </w:p>
    <w:p w14:paraId="12A322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（2）根据《基金法》、《运作办法》及其他有关法律法规的规定，基金份额持有人的义务包括但不限于：</w:t>
      </w:r>
    </w:p>
    <w:p w14:paraId="3E1B30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①遵守法律法规、基金合同及其他有关规定；</w:t>
      </w:r>
    </w:p>
    <w:p w14:paraId="37E002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②缴纳基金认购、申购款项及法律法规、基金合同和招募说明书规定的费用；</w:t>
      </w:r>
    </w:p>
    <w:p w14:paraId="7A73B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③在持有的基金份额范围内，承担基金亏损或者基金合同终止的有限责任；</w:t>
      </w:r>
    </w:p>
    <w:p w14:paraId="4E298D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④不从事任何有损基金及其他基金份额持有人合法权益的活动；</w:t>
      </w:r>
    </w:p>
    <w:p w14:paraId="6820D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⑤执行生效的基金份额持有人大会决议；</w:t>
      </w:r>
    </w:p>
    <w:p w14:paraId="7B5183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⑥遵守基金管理人、基金托管人及销售机构和注册登记机构的相关交易及业务规则；</w:t>
      </w:r>
    </w:p>
    <w:p w14:paraId="21BEFC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⑦返还在基金交易过程中因任何原因，自基金管理人、基金托管人、代销机构或其他基金份额持有人处获得的不当得利；</w:t>
      </w:r>
    </w:p>
    <w:p w14:paraId="346D92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⑧法律法规和基金合同规定的其他义务。</w:t>
      </w:r>
    </w:p>
    <w:p w14:paraId="741D7FF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（二）基金份额持有人大会</w:t>
      </w:r>
    </w:p>
    <w:p w14:paraId="15BCA7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14:paraId="2AE6A2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14:paraId="5244C1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14:paraId="612E51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14:paraId="7A0CA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2)转换基金运作方式，本基金基金合同生效满三年直接转为上市开放式基金（LOF）运作方式的除外；</w:t>
      </w:r>
    </w:p>
    <w:p w14:paraId="1AF1F8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3)变更基金类别；</w:t>
      </w:r>
    </w:p>
    <w:p w14:paraId="42D00C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4)变更基金投资目标、投资范围或投资策略（法律法规、中国证监会和基金合同另有规定的除外）；</w:t>
      </w:r>
    </w:p>
    <w:p w14:paraId="7AFE26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5)变更基金份额持有人大会议事程序；</w:t>
      </w:r>
    </w:p>
    <w:p w14:paraId="02533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6)更换基金管理人、基金托管人；</w:t>
      </w:r>
    </w:p>
    <w:p w14:paraId="27D260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7)提高基金管理人、基金托管人的报酬标准</w:t>
      </w:r>
      <w:r>
        <w:rPr>
          <w:rFonts w:hint="eastAsia" w:ascii="宋体" w:hAnsi="宋体"/>
          <w:sz w:val="24"/>
        </w:rPr>
        <w:t>或提高销售服务费率</w:t>
      </w:r>
      <w:r>
        <w:rPr>
          <w:rFonts w:ascii="宋体" w:hAnsi="宋体"/>
          <w:sz w:val="24"/>
        </w:rPr>
        <w:t>。但根据法律法规的要求提高该等报酬标准的除外；</w:t>
      </w:r>
    </w:p>
    <w:p w14:paraId="500405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8)本基金与其他基金的合并；</w:t>
      </w:r>
    </w:p>
    <w:p w14:paraId="62D77C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9)封闭期内基金的扩募；</w:t>
      </w:r>
    </w:p>
    <w:p w14:paraId="04EA88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10)对基金合同当事人权利、义务产生重大影响，需召开基金份额持有人大会的变更基金合同等其他事项；</w:t>
      </w:r>
    </w:p>
    <w:p w14:paraId="0BF0E8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11)终止基金上市，但因本基金不再具备上市条件而被深圳证券交易所终止上市的除外；</w:t>
      </w:r>
    </w:p>
    <w:p w14:paraId="770C87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12)法律法规、基金合同或中国证监会规定的其他情形。</w:t>
      </w:r>
    </w:p>
    <w:p w14:paraId="084270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（2）出现以下情形之一的，可由基金管理人和基金托管人协商后修改，不需召开基金份额持有人大会：</w:t>
      </w:r>
    </w:p>
    <w:p w14:paraId="206F4F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w:t>
      </w:r>
      <w:r>
        <w:rPr>
          <w:rFonts w:hint="eastAsia" w:ascii="宋体" w:hAnsi="宋体"/>
          <w:sz w:val="24"/>
        </w:rPr>
        <w:t>、销售服务费</w:t>
      </w:r>
      <w:r>
        <w:rPr>
          <w:rFonts w:ascii="宋体" w:hAnsi="宋体"/>
          <w:sz w:val="24"/>
        </w:rPr>
        <w:t>等其他应由基金或基金份额持有人承担的费用；</w:t>
      </w:r>
    </w:p>
    <w:p w14:paraId="3AA371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2)在法律法规和本基金合同规定的范围内调整基金的申购费率、调低赎回费率、变更或新增收费方式；</w:t>
      </w:r>
    </w:p>
    <w:p w14:paraId="46A4CD95">
      <w:pPr>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调整基金份额类别设置、对基金份额分类办法及规则进行调整；</w:t>
      </w:r>
    </w:p>
    <w:p w14:paraId="7C73D2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4)因相应的法律法规发生变动必须对基金合同进行修改；</w:t>
      </w:r>
    </w:p>
    <w:p w14:paraId="7B92059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5</w:t>
      </w:r>
      <w:r>
        <w:rPr>
          <w:rFonts w:ascii="宋体" w:hAnsi="宋体"/>
          <w:sz w:val="24"/>
        </w:rPr>
        <w:t>)基金合同的修改不涉及本基金合同当事人权利义务关系发生重大变化；</w:t>
      </w:r>
    </w:p>
    <w:p w14:paraId="5A3C5C0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6</w:t>
      </w:r>
      <w:r>
        <w:rPr>
          <w:rFonts w:ascii="宋体" w:hAnsi="宋体"/>
          <w:sz w:val="24"/>
        </w:rPr>
        <w:t>)基金合同的修改对基金份额持有人利益无实质性不利影响；</w:t>
      </w:r>
    </w:p>
    <w:p w14:paraId="4D58C8F2">
      <w:pPr>
        <w:autoSpaceDE w:val="0"/>
        <w:autoSpaceDN w:val="0"/>
        <w:adjustRightInd w:val="0"/>
        <w:snapToGrid w:val="0"/>
        <w:spacing w:line="360" w:lineRule="auto"/>
        <w:ind w:firstLine="480" w:firstLineChars="200"/>
        <w:jc w:val="left"/>
        <w:rPr>
          <w:rFonts w:ascii="宋体" w:hAnsi="宋体" w:cs="Times New Roman"/>
          <w:sz w:val="24"/>
          <w:szCs w:val="22"/>
        </w:rPr>
      </w:pPr>
      <w:r>
        <w:rPr>
          <w:rFonts w:hint="eastAsia" w:ascii="宋体" w:hAnsi="宋体"/>
          <w:sz w:val="24"/>
          <w:lang w:val="en-US" w:eastAsia="zh-CN"/>
        </w:rPr>
        <w:t>7</w:t>
      </w:r>
      <w:r>
        <w:rPr>
          <w:rFonts w:ascii="宋体" w:hAnsi="宋体"/>
          <w:sz w:val="24"/>
        </w:rPr>
        <w:t>)按照法律法规或本基金合同规定不需召开基金份额持有人大会的其他情形。2、召集人及召集方式</w:t>
      </w:r>
    </w:p>
    <w:p w14:paraId="18004B03">
      <w:pPr>
        <w:autoSpaceDE w:val="0"/>
        <w:autoSpaceDN w:val="0"/>
        <w:adjustRightInd w:val="0"/>
        <w:snapToGrid w:val="0"/>
        <w:spacing w:line="360" w:lineRule="auto"/>
        <w:ind w:firstLine="480" w:firstLineChars="200"/>
        <w:jc w:val="left"/>
        <w:rPr>
          <w:rFonts w:ascii="宋体" w:hAnsi="宋体" w:cs="Times New Roman"/>
          <w:sz w:val="24"/>
          <w:szCs w:val="22"/>
        </w:rPr>
      </w:pPr>
      <w:r>
        <w:rPr>
          <w:rFonts w:ascii="宋体" w:hAnsi="宋体"/>
          <w:sz w:val="24"/>
        </w:rPr>
        <w:t>（1）除法律法规或本基金合同另有约定外，基金份额持有人大会由基金管理人召集。基金管理人未按规定召集或者不能召集时，由基金托管人召集。</w:t>
      </w:r>
    </w:p>
    <w:p w14:paraId="1BA6E5A1">
      <w:pPr>
        <w:autoSpaceDE w:val="0"/>
        <w:autoSpaceDN w:val="0"/>
        <w:adjustRightInd w:val="0"/>
        <w:snapToGrid w:val="0"/>
        <w:spacing w:line="360" w:lineRule="auto"/>
        <w:ind w:firstLine="480" w:firstLineChars="200"/>
        <w:jc w:val="left"/>
        <w:rPr>
          <w:rFonts w:ascii="宋体" w:hAnsi="宋体" w:cs="Times New Roman"/>
          <w:sz w:val="24"/>
          <w:szCs w:val="22"/>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14:paraId="19753A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14:paraId="098C6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14:paraId="427CEA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14:paraId="751D30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14:paraId="5AE68C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于会议召开日前30日在指定媒介网站公告。基金份额持有人大会通知须至少载明以下内容：</w:t>
      </w:r>
    </w:p>
    <w:p w14:paraId="7E6735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1)会议召开的时间、地点和出席方式；</w:t>
      </w:r>
    </w:p>
    <w:p w14:paraId="362E77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2)会议拟审议的主要事项；</w:t>
      </w:r>
    </w:p>
    <w:p w14:paraId="3D74BF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3)会议形式；</w:t>
      </w:r>
    </w:p>
    <w:p w14:paraId="5CFD0F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4)议事程序；</w:t>
      </w:r>
    </w:p>
    <w:p w14:paraId="487E4D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5)有权出席基金份额持有人大会的基金份额持有人权益登记日；</w:t>
      </w:r>
    </w:p>
    <w:p w14:paraId="297DEE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6)授权委托证明的内容要求(包括但不限于代理人身份、代理权限和代理有效期限等)、送达时间和地点；</w:t>
      </w:r>
    </w:p>
    <w:p w14:paraId="2206E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7)表决方式；</w:t>
      </w:r>
    </w:p>
    <w:p w14:paraId="3DBA70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8)会务常设联系人姓名、电话；</w:t>
      </w:r>
    </w:p>
    <w:p w14:paraId="61AF5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9)出席会议者必须准备的文件和必须履行的手续；</w:t>
      </w:r>
    </w:p>
    <w:p w14:paraId="0685B3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10)召集人需要通知的其他事项。</w:t>
      </w:r>
    </w:p>
    <w:p w14:paraId="44D2E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的寄交的截止时间和收取方式。</w:t>
      </w:r>
    </w:p>
    <w:p w14:paraId="23332B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14:paraId="01FE8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14:paraId="2EDD61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（1）会议方式</w:t>
      </w:r>
    </w:p>
    <w:p w14:paraId="799345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14:paraId="3E1415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2)会议的召开方式由会议召集人确定，但更换基金管理人和基金托管人必须以现场开会方式召开。</w:t>
      </w:r>
    </w:p>
    <w:p w14:paraId="167F1E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3)现场开会由基金份额持有人本人出席或通过授权委托证明委派其代理人出席，现场开会时基金管理人和基金托管人的授权代表应当出席，基金管理人或基金托管人拒不派代表出席的，不影响表决效力。</w:t>
      </w:r>
    </w:p>
    <w:p w14:paraId="541706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4)通讯方式开会指按照本基金合同的相关规定以通讯的书面方式进行表决。</w:t>
      </w:r>
    </w:p>
    <w:p w14:paraId="5A390C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（2）召开基金份额持有人大会的条件</w:t>
      </w:r>
    </w:p>
    <w:p w14:paraId="5082A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1)现场开会方式</w:t>
      </w:r>
    </w:p>
    <w:p w14:paraId="483DEF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在同时符合以下条件时，现场会议方可举行：</w:t>
      </w:r>
    </w:p>
    <w:p w14:paraId="0C1C4A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14:paraId="253D73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14:paraId="36F5B4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14:paraId="28546E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2)通讯开会方式</w:t>
      </w:r>
    </w:p>
    <w:p w14:paraId="4F57FA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在同时符合以下条件时，通讯会议方可举行：</w:t>
      </w:r>
    </w:p>
    <w:p w14:paraId="3CA2DC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①召集人按本基金合同规定公布会议通知后，在2个工作日内连续公布相关提示性公告；</w:t>
      </w:r>
    </w:p>
    <w:p w14:paraId="55207A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书面表决意见，监督人经通知拒不参加收取和统计书面表决意见的，不影响表决效力；</w:t>
      </w:r>
    </w:p>
    <w:p w14:paraId="12F6E9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14:paraId="3D85E8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14:paraId="7BDEDC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如果开会条件达不到上述的条件，则召集人可另行确定并公告重新表决的时间(至少应在25个工作日后)，且确定有权出席会议的基金份额持有人资格的权益登记日不变。</w:t>
      </w:r>
    </w:p>
    <w:p w14:paraId="1F211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14:paraId="748A3E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06B728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14:paraId="5F8651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14:paraId="2D33C9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3)对于基金份额持有人提交的提案(包括临时提案)，大会召集人应当按照以下原则对提案进行审核：</w:t>
      </w:r>
    </w:p>
    <w:p w14:paraId="749DC7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14:paraId="614E9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14:paraId="7C8CB4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和本基金合同另有规定的除外。</w:t>
      </w:r>
    </w:p>
    <w:p w14:paraId="5ABC60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14:paraId="573A34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256B9C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67C4C4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14:paraId="67E2C9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14:paraId="0B8362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14:paraId="4D4223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14:paraId="71157F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表决开会的方式下，首先由召集人提前30日公布提案，在所通知的表决截止日期第2日在公证机构及监督人的监督下由召集人统计全部有效表决并形成决议。如监督人经通知但拒绝到场监督，则在公正机关监督下形成的决议有效。</w:t>
      </w:r>
    </w:p>
    <w:p w14:paraId="47E0C0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(3)基金份额持有人大会不得对未事先公告的议事内容进行表决。</w:t>
      </w:r>
    </w:p>
    <w:p w14:paraId="375C7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6、决议形成的条件、表决方式、程序</w:t>
      </w:r>
    </w:p>
    <w:p w14:paraId="5D8209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（1）基金份额持有人所持每一基金份额享有平等的表决权。</w:t>
      </w:r>
    </w:p>
    <w:p w14:paraId="6D1906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（2）基金份额持有人大会决议分为一般决议和特别决议：</w:t>
      </w:r>
    </w:p>
    <w:p w14:paraId="4EAE1C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w:t>
      </w:r>
    </w:p>
    <w:p w14:paraId="328958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14:paraId="2AD594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w:t>
      </w:r>
    </w:p>
    <w:p w14:paraId="10AB1E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14:paraId="4D355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（3）基金份额持有人大会决定的事项，应当依法报中国证监会核准，或者备案，并予以公告。</w:t>
      </w:r>
    </w:p>
    <w:p w14:paraId="383A68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14:paraId="36E3CE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（5）基金份额持有人大会采取记名方式进行投票表决。</w:t>
      </w:r>
    </w:p>
    <w:p w14:paraId="4A4DB6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（6）基金份额持有人大会的各项提案或同一项提案内并列的各项议题应当分开审议、逐项表决。</w:t>
      </w:r>
    </w:p>
    <w:p w14:paraId="189164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14:paraId="62136E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22695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14:paraId="488DA3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2)监票人应当在基金份额持有人表决后立即进行清点，由大会主持人当场公布计票结果。</w:t>
      </w:r>
    </w:p>
    <w:p w14:paraId="4A8B44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14:paraId="7E96A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w:t>
      </w:r>
    </w:p>
    <w:p w14:paraId="759A17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14:paraId="17F120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14:paraId="15DAB2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8、实施侧袋机制期间基金份额持有人大会的特殊约定</w:t>
      </w:r>
    </w:p>
    <w:p w14:paraId="444FBE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556F4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14:paraId="0104FB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23E6BA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798000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4F9A3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74CE53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17C4DB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4C8C58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14:paraId="5C1DECB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（三）基金合同的变更与终止</w:t>
      </w:r>
    </w:p>
    <w:p w14:paraId="13B5FB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2A26A6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按照法律法规或本基金合同的规定，基金合同变更内容对基金合同当事人权利、义务产生重大影响的，应召开基金份额持有人大会，基金合同变更的内容应经基金份额持有人大会决议通过，并依法报中国证监会核准，自中国证监会核准之日起生效。以下情形引起基金合同变更的需召开基金份额持有人大会：</w:t>
      </w:r>
    </w:p>
    <w:p w14:paraId="089A1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1)转换基金运作方式，本基金基金合同生效满三年直接转为上市开放式基金（LOF）运作方式的除外；</w:t>
      </w:r>
    </w:p>
    <w:p w14:paraId="7EE984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2)变更基金类别；</w:t>
      </w:r>
    </w:p>
    <w:p w14:paraId="2CADA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3)变更基金投资目标、投资范围或投资策略（法律法规、中国证监会和基金合同另有规定的除外）；</w:t>
      </w:r>
    </w:p>
    <w:p w14:paraId="1F1A18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4)变更基金份额持有人大会议事程序；</w:t>
      </w:r>
    </w:p>
    <w:p w14:paraId="59FF6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5)更换基金管理人、基金托管人；</w:t>
      </w:r>
    </w:p>
    <w:p w14:paraId="2D9E1D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6)提高基金管理人、基金托管人的报酬标准</w:t>
      </w:r>
      <w:r>
        <w:rPr>
          <w:rFonts w:hint="eastAsia" w:ascii="宋体" w:hAnsi="宋体"/>
          <w:sz w:val="24"/>
        </w:rPr>
        <w:t>或提高销售服务费率</w:t>
      </w:r>
      <w:r>
        <w:rPr>
          <w:rFonts w:ascii="宋体" w:hAnsi="宋体"/>
          <w:sz w:val="24"/>
        </w:rPr>
        <w:t>。但根据法律法规的要求提高该等报酬标准的除外；</w:t>
      </w:r>
    </w:p>
    <w:p w14:paraId="0285F5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45C509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8)封闭期内基金的扩募；</w:t>
      </w:r>
    </w:p>
    <w:p w14:paraId="122973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9)对基金合同当事人权利、义务产生重大影响，需召开基金份额持有人大会的变更基金合同等其他事项；</w:t>
      </w:r>
    </w:p>
    <w:p w14:paraId="461A1E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10)终止基金上市，但因本基金不再具备上市条件而被深圳证券交易所终止上市的除外；</w:t>
      </w:r>
    </w:p>
    <w:p w14:paraId="3DD495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11)法律法规、基金合同或中国证监会规定的其他情形。</w:t>
      </w:r>
    </w:p>
    <w:p w14:paraId="45B449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14:paraId="66ED67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w:t>
      </w:r>
      <w:r>
        <w:rPr>
          <w:rFonts w:hint="eastAsia" w:ascii="宋体" w:hAnsi="宋体"/>
          <w:sz w:val="24"/>
        </w:rPr>
        <w:t>、销售服务费</w:t>
      </w:r>
      <w:r>
        <w:rPr>
          <w:rFonts w:ascii="宋体" w:hAnsi="宋体"/>
          <w:sz w:val="24"/>
        </w:rPr>
        <w:t>等其他应由基金或基金份额持有人承担的费用；</w:t>
      </w:r>
    </w:p>
    <w:p w14:paraId="3F9D6E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2)在法律法规和本基金合同规定的范围内调整基金的申购费率、调低赎回费率、变更或新增收费方式；</w:t>
      </w:r>
    </w:p>
    <w:p w14:paraId="6C18F429">
      <w:pPr>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调整基金份额类别设置、对基金份额分类办法及规则进行调整；</w:t>
      </w:r>
    </w:p>
    <w:p w14:paraId="208967B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4)</w:t>
      </w:r>
      <w:r>
        <w:rPr>
          <w:rFonts w:ascii="宋体" w:hAnsi="宋体"/>
          <w:sz w:val="24"/>
        </w:rPr>
        <w:t>因相应的法律法规发生变动必须对基金合同进行修改；</w:t>
      </w:r>
    </w:p>
    <w:p w14:paraId="1D537F3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5</w:t>
      </w:r>
      <w:r>
        <w:rPr>
          <w:rFonts w:ascii="宋体" w:hAnsi="宋体"/>
          <w:sz w:val="24"/>
        </w:rPr>
        <w:t>)基金合同的修改不涉及本基金合同当事人权利义务关系发生重大变化；</w:t>
      </w:r>
    </w:p>
    <w:p w14:paraId="1731E9F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6</w:t>
      </w:r>
      <w:r>
        <w:rPr>
          <w:rFonts w:ascii="宋体" w:hAnsi="宋体"/>
          <w:sz w:val="24"/>
        </w:rPr>
        <w:t>)基金合同的修改对基金份额持有人利益无实质性不利影响；</w:t>
      </w:r>
    </w:p>
    <w:p w14:paraId="71824D7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7</w:t>
      </w:r>
      <w:r>
        <w:rPr>
          <w:rFonts w:ascii="宋体" w:hAnsi="宋体"/>
          <w:sz w:val="24"/>
        </w:rPr>
        <w:t>)按照法律法规或本基金合同规定不需召开基金份额持有人大会的其他情形。</w:t>
      </w:r>
    </w:p>
    <w:p w14:paraId="7535B8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w:t>
      </w:r>
    </w:p>
    <w:p w14:paraId="0A252E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有下列情形之一的，本基金合同将终止：</w:t>
      </w:r>
    </w:p>
    <w:p w14:paraId="375D4E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1D63DD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（2）基金管理人职责终止，而在6个月内没有新的基金管理人承接的；</w:t>
      </w:r>
    </w:p>
    <w:p w14:paraId="6D99D2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（3）基金托管人职责终止，而在6个月内没有新的基金托管人承接的；</w:t>
      </w:r>
    </w:p>
    <w:p w14:paraId="14EF64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14:paraId="0079E79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（四）争议的处理</w:t>
      </w:r>
    </w:p>
    <w:p w14:paraId="6208D880">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14:paraId="592AA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331DF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本基金合同适用中华人民共和国法律并从其解释。</w:t>
      </w:r>
    </w:p>
    <w:p w14:paraId="2875A65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（五）基金合同存放及投资者取得基金合同的方式</w:t>
      </w:r>
    </w:p>
    <w:p w14:paraId="5CBFD3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1、本基金合同正本一式六份，除上报相关监管部门两份外，基金管理人和基金托管人各持有两份。每份均具有同等的法律效力。</w:t>
      </w:r>
    </w:p>
    <w:p w14:paraId="5647F0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2、本基金合同可印制成册，供基金投资者在基金管理人、基金托管人、代销机构和注册登记机构办公场所查阅。基金合同条款及内容应以基金合同正本为准。</w:t>
      </w:r>
    </w:p>
    <w:p w14:paraId="378C9CA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FA571FC">
      <w:pPr>
        <w:pStyle w:val="2"/>
        <w:snapToGrid w:val="0"/>
        <w:spacing w:before="240" w:beforeLines="0" w:after="240"/>
        <w:rPr>
          <w:rFonts w:ascii="宋体" w:hAnsi="宋体"/>
          <w:szCs w:val="30"/>
        </w:rPr>
      </w:pPr>
      <w:bookmarkStart w:id="26" w:name="_Toc202960214"/>
      <w:r>
        <w:rPr>
          <w:rFonts w:ascii="Times New Roman" w:hAnsi="Times New Roman"/>
          <w:sz w:val="30"/>
        </w:rPr>
        <w:t>二十四、托管协议的内容摘要</w:t>
      </w:r>
      <w:bookmarkEnd w:id="26"/>
    </w:p>
    <w:p w14:paraId="0D0B8C6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（一）托管协议当事人</w:t>
      </w:r>
    </w:p>
    <w:p w14:paraId="6A26DA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4793AF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289396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14:paraId="4896F1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31F2FD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14:paraId="514C67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14:paraId="1AC1EB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4C7C5A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2FB869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33D4D0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w:t>
      </w:r>
      <w:r>
        <w:rPr>
          <w:rFonts w:hint="eastAsia" w:ascii="宋体" w:hAnsi="宋体"/>
          <w:sz w:val="24"/>
        </w:rPr>
        <w:t>他</w:t>
      </w:r>
      <w:r>
        <w:rPr>
          <w:rFonts w:ascii="宋体" w:hAnsi="宋体"/>
          <w:sz w:val="24"/>
        </w:rPr>
        <w:t>业务。</w:t>
      </w:r>
    </w:p>
    <w:p w14:paraId="5698EC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27B96B6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名称：中国农业银行股份有限公司</w:t>
      </w:r>
    </w:p>
    <w:p w14:paraId="6FE25AF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注册地址：北京市东城区建国门内大街69号</w:t>
      </w:r>
    </w:p>
    <w:p w14:paraId="26C27C24">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办公地址：北京市西城区复兴门内大街28号凯晨世贸中心东座九层</w:t>
      </w:r>
    </w:p>
    <w:p w14:paraId="693C8D6C">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邮政编码：100031</w:t>
      </w:r>
    </w:p>
    <w:p w14:paraId="105E339F">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法定代表人：谷澍</w:t>
      </w:r>
    </w:p>
    <w:p w14:paraId="4888091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成立时间：2009年1月15日</w:t>
      </w:r>
    </w:p>
    <w:p w14:paraId="314A2298">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基金托管资格批文及文号：中国证监会证监基字[1998]23号</w:t>
      </w:r>
    </w:p>
    <w:p w14:paraId="4AF8B11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批准设立机关和批准设立文号：中国银监会银监复[2009]13号</w:t>
      </w:r>
    </w:p>
    <w:p w14:paraId="6CB093B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组织形式：股份有限公司</w:t>
      </w:r>
    </w:p>
    <w:p w14:paraId="3FFD6C5A">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注册资本：34,998,303.4万元人民币</w:t>
      </w:r>
    </w:p>
    <w:p w14:paraId="6B16B5BE">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存续期间：持续经营</w:t>
      </w:r>
    </w:p>
    <w:p w14:paraId="53B7267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14:paraId="698C41B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（二）基金托管人对基金管理人的业务监督和核查</w:t>
      </w:r>
    </w:p>
    <w:p w14:paraId="7ED3F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14:paraId="3A26A7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14:paraId="76AC51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如法律法规或中国证监会以后允许基金投资其他品种，基金管理人在履行适当程序后，可以将其纳入投资范围。</w:t>
      </w:r>
    </w:p>
    <w:p w14:paraId="659A2D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本基金的配置比例如下：</w:t>
      </w:r>
    </w:p>
    <w:p w14:paraId="186C41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本基金在封闭期间，对债券等固定收益类资产的投资比例不低于基金资产的80%，其中对信用债券的投资比例不低于固定收益类资产的80%；对股票、权证等非固定收益类资产的投资比例不高于基金资产的20%。</w:t>
      </w:r>
    </w:p>
    <w:p w14:paraId="7244F6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14:paraId="313746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本基金所指信用债券指金融债（不含政策性金融债）、地方政府债、企业债、公司债、短期融资券、可转换债券及可分离转债、资产支持证券等除国债和中央银行票据之外的、非国家信用的固定收益类金融工具。</w:t>
      </w:r>
    </w:p>
    <w:p w14:paraId="68242E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14:paraId="6E39AF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14:paraId="114625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(2)本基金与由本基金管理人管理的其他基金持有一家公司发行的证券，不超过该证券的10%；</w:t>
      </w:r>
    </w:p>
    <w:p w14:paraId="4B5F17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(3)进入全国银行间同业市场进行债券回购的资金余额不得超过基金资产净值的40%。进入全国银行间同业市场进行债券回购的最长期限为1年，债券回购到期后不得展期；</w:t>
      </w:r>
    </w:p>
    <w:p w14:paraId="242005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14:paraId="03D673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(5)本基金在封闭期间，对债券等固定收益类资产的投资比例不低于基金资产的80%，其中对信用债券的投资比例不低于固定收益类资产的80%；对股票、权证等非固定收益类资产的投资比例不高于基金资产的20%。</w:t>
      </w:r>
    </w:p>
    <w:p w14:paraId="4576EA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w:t>
      </w:r>
    </w:p>
    <w:p w14:paraId="60CEAB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同时本基金在开放期间保持不低于基金资产净值5%的现金或者到期日在一年以内的政府债券，其中现金不包括结算备付金、存出保证金和应收申购款等；</w:t>
      </w:r>
    </w:p>
    <w:p w14:paraId="4A31F8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权证，在任何交易日买入的总金额，不超过上一交易日基金资产净值的0.5%，基金持有的全部权证的市值不超过基金资产净值的3%，本基金管理人管理的全部基金持有同一权证的比例不超过该权证的10%。法律法规或监管部门另有规定的，遵从其规定。</w:t>
      </w:r>
    </w:p>
    <w:p w14:paraId="5C0FEE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中国证监会规定的特殊品种除外。</w:t>
      </w:r>
    </w:p>
    <w:p w14:paraId="47B5E7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(8)本基金不得违反基金合同中有关投资范围、投资策略、投资比例的规定；</w:t>
      </w:r>
    </w:p>
    <w:p w14:paraId="1FC41A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(9)本基金应投资于信用级别评级为BBB以上（含BBB）的资产支持证券。在持有资产支持证券期间，如遇其信用等级下降，不再符合投资标准，应在评级报告发布之日起3个月内予以全部卖出；</w:t>
      </w:r>
    </w:p>
    <w:p w14:paraId="4AA30B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开放期间，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14:paraId="7F139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开放期间，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4EA8F2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14:paraId="617992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(13)法律法规或监管部门对上述比例限制另有规定的，从其规定。</w:t>
      </w:r>
    </w:p>
    <w:p w14:paraId="342B95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六个月内使基金的投资组合比例符合基金合同的约定。在符合相关法律法规规定的前提下，除上述第（5）项第三款、（9）、（11）、（12）项外，因证券市场波动、上市公司合并、基金规模变动等非基金管理人的因素致使基金投资比例不符合上述规定的投资比例的，基金管理人应当在10个交易日内进行调整。法律法规或监管部门另有规定的，从其规定。</w:t>
      </w:r>
    </w:p>
    <w:p w14:paraId="03ED34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若法律法规或监管部门对上述约定的投资组合比例限制规定进行变更的，以变更后的规定为准；若法律法规或监管部门取消上述限制，在履行适当程序后，本基金投资可不受上述规定限制。</w:t>
      </w:r>
    </w:p>
    <w:p w14:paraId="78381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基金托管人对基金投资的监督和检查自基金合同生效之日起开始。</w:t>
      </w:r>
    </w:p>
    <w:p w14:paraId="5D56B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托管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14:paraId="27D251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14:paraId="0B9A6F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14:paraId="40E6F8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5、基金托管人根据有关法律法规的规定及基金合同的约定，对基金资产净值计算、</w:t>
      </w:r>
      <w:r>
        <w:rPr>
          <w:rFonts w:hint="eastAsia" w:ascii="宋体" w:hAnsi="宋体"/>
          <w:sz w:val="24"/>
        </w:rPr>
        <w:t>各类</w:t>
      </w:r>
      <w:r>
        <w:rPr>
          <w:rFonts w:ascii="宋体" w:hAnsi="宋体"/>
          <w:sz w:val="24"/>
        </w:rPr>
        <w:t>基金份额净值计算、应收资金到账、基金费用开支及收入确定、基金收益分配、相关信息披露、基金宣传推介材料中登载基金业绩表现数据等进行监督和核查。</w:t>
      </w:r>
    </w:p>
    <w:p w14:paraId="25BE5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14:paraId="5DD81B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6、基金托管人根据有关法律法规的规定及基金合同的约定，对基金投资流通受限证券进行监督。</w:t>
      </w:r>
    </w:p>
    <w:p w14:paraId="2C2600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14:paraId="3DAFF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w:t>
      </w:r>
      <w:r>
        <w:rPr>
          <w:rFonts w:hint="eastAsia" w:ascii="宋体" w:hAnsi="宋体"/>
          <w:sz w:val="24"/>
          <w:lang w:eastAsia="zh-CN"/>
        </w:rPr>
        <w:t>，</w:t>
      </w:r>
      <w:r>
        <w:rPr>
          <w:rFonts w:ascii="宋体" w:hAnsi="宋体"/>
          <w:sz w:val="24"/>
        </w:rPr>
        <w:t>不包括由于发布重大消息或其他原因而临时停牌的证券、已发行未上市证券、回购交易中的质押券等流通受限证券。</w:t>
      </w:r>
    </w:p>
    <w:p w14:paraId="3BDECF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14:paraId="15AD92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14:paraId="60971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14:paraId="7F754A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14:paraId="2899FB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保证基金投资的受限证券登记存管在本基金名下，并确保基金托管人能够正常查询。因基金管理人原因产生的受限证券登记存管问题，造成基金财产的损失或基金托管人无法安全保管基金财产的责任与损失，由基金管理人承担。</w:t>
      </w:r>
    </w:p>
    <w:p w14:paraId="2C1966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14:paraId="5ACD7E1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7</w:t>
      </w:r>
      <w:r>
        <w:rPr>
          <w:rFonts w:ascii="宋体" w:hAnsi="宋体"/>
          <w:sz w:val="24"/>
        </w:rPr>
        <w:t>、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w:t>
      </w:r>
      <w:r>
        <w:rPr>
          <w:rFonts w:hint="eastAsia" w:ascii="宋体" w:hAnsi="宋体"/>
          <w:sz w:val="24"/>
          <w:lang w:eastAsia="zh-CN"/>
        </w:rPr>
        <w:t>，</w:t>
      </w:r>
      <w:r>
        <w:rPr>
          <w:rFonts w:ascii="宋体" w:hAnsi="宋体"/>
          <w:sz w:val="24"/>
        </w:rPr>
        <w:t>基金托管人有权随时对通知事项进行复查</w:t>
      </w:r>
      <w:r>
        <w:rPr>
          <w:rFonts w:hint="eastAsia" w:ascii="宋体" w:hAnsi="宋体"/>
          <w:sz w:val="24"/>
          <w:lang w:eastAsia="zh-CN"/>
        </w:rPr>
        <w:t>，</w:t>
      </w:r>
      <w:r>
        <w:rPr>
          <w:rFonts w:ascii="宋体" w:hAnsi="宋体"/>
          <w:sz w:val="24"/>
        </w:rPr>
        <w:t>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14:paraId="1BD85CB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8</w:t>
      </w:r>
      <w:r>
        <w:rPr>
          <w:rFonts w:ascii="宋体" w:hAnsi="宋体"/>
          <w:sz w:val="24"/>
        </w:rPr>
        <w:t>、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14:paraId="5B40313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9</w:t>
      </w:r>
      <w:r>
        <w:rPr>
          <w:rFonts w:ascii="宋体" w:hAnsi="宋体"/>
          <w:sz w:val="24"/>
        </w:rPr>
        <w:t>、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14:paraId="4AC30D0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（三）基金管理人对基金托管人的业务核查</w:t>
      </w:r>
    </w:p>
    <w:p w14:paraId="6C161A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w:t>
      </w:r>
      <w:r>
        <w:rPr>
          <w:rFonts w:hint="eastAsia" w:ascii="宋体" w:hAnsi="宋体"/>
          <w:sz w:val="24"/>
        </w:rPr>
        <w:t>各类</w:t>
      </w:r>
      <w:r>
        <w:rPr>
          <w:rFonts w:ascii="宋体" w:hAnsi="宋体"/>
          <w:sz w:val="24"/>
        </w:rPr>
        <w:t>基金份额净值、根据基金管理人指令办理清算交收、相关信息披露和监督基金投资运作等行为。</w:t>
      </w:r>
    </w:p>
    <w:p w14:paraId="592482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w:t>
      </w:r>
      <w:r>
        <w:rPr>
          <w:rFonts w:hint="eastAsia" w:ascii="宋体" w:hAnsi="宋体"/>
          <w:sz w:val="24"/>
          <w:lang w:eastAsia="zh-CN"/>
        </w:rPr>
        <w:t>，</w:t>
      </w:r>
      <w:r>
        <w:rPr>
          <w:rFonts w:ascii="宋体" w:hAnsi="宋体"/>
          <w:sz w:val="24"/>
        </w:rPr>
        <w:t>督促基金托管人改正。基金托管人应积极配合基金管理人的核查行为，包括但不限于：提交相关资料以供基金管理人核查托管财产的完整性和真实性，在规定时间内答复基金管理人并改正。</w:t>
      </w:r>
    </w:p>
    <w:p w14:paraId="367ABF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1DCA36D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（四）基金财产保管</w:t>
      </w:r>
    </w:p>
    <w:p w14:paraId="2B313E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2C875A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16FEA0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14:paraId="21C42F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14:paraId="6655DE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14:paraId="6B0280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14:paraId="268587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14:paraId="67B988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14:paraId="233492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14:paraId="524098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（1）基金募集期间的认购款项应存于专用账户。该账户由基金管理人委托的注册登记机构开立。</w:t>
      </w:r>
    </w:p>
    <w:p w14:paraId="3B758C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全部资金划入基金托管人为基金开立的基金资金账户，同时在规定时间内，聘请具有从事证券相关业务资格的会计师事务所进行验资，出具验资报告。出具的验资报告由参加验资的2名或2名以上中国注册会计师签字方为有效。</w:t>
      </w:r>
    </w:p>
    <w:p w14:paraId="6BD679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14:paraId="3B58D1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14:paraId="00CA7B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（1）基金托管人应负责本基金的资金账户的开设和管理。</w:t>
      </w:r>
    </w:p>
    <w:p w14:paraId="5D3386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14:paraId="064B4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（3）基金资金账户的开立和使用，限于满足开展本基金业务的需要。基金托管人和基金管理人不得假借本基金的名义开立任何其他银行账户；亦不得使用基金的任何账户进行本基金业务以外的活动。</w:t>
      </w:r>
    </w:p>
    <w:p w14:paraId="1D0D42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（4）基金资金账户的开立和管理应符合相关法律法规的有关规定。</w:t>
      </w:r>
    </w:p>
    <w:p w14:paraId="45C3D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14:paraId="7682D9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14:paraId="5591A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14:paraId="22D1E6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14:paraId="38EF2E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14:paraId="74F9B9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14:paraId="659A46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14:paraId="3CEBFA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14:paraId="580D03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与结算账户，并代表基金进行银行间市场债券的结算。基金管理人和基金托管人同时代表基金签订全国银行间债券市场债券回购主协议。</w:t>
      </w:r>
    </w:p>
    <w:p w14:paraId="094B76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14:paraId="2EE735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14:paraId="696A84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14:paraId="5D76F2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14:paraId="31FDF6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14:paraId="598216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20FBC0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14:paraId="191254C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（五）基金资产净值计算和会计核算</w:t>
      </w:r>
    </w:p>
    <w:p w14:paraId="1282E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1、基金资产净值的计算及复核程序</w:t>
      </w:r>
    </w:p>
    <w:p w14:paraId="005421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14:paraId="020DD0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基金资产净值是指基金资产总值减去负债后的金额。</w:t>
      </w:r>
    </w:p>
    <w:p w14:paraId="2335FB9E">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各类基金份额的基金份额净值是指该类基金份额的基金资产净值除以该类基金份额总数。基金份额净值的计算，精确到0.0001元，小数点后第五位四舍五入，由此产生的误差计入基金财产。国家另有规定的，从其规定。</w:t>
      </w:r>
    </w:p>
    <w:p w14:paraId="2528500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每工作日计算基金资产净值及各类基金份额的基金份额净值，并按规定公告。</w:t>
      </w:r>
    </w:p>
    <w:p w14:paraId="03479A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14:paraId="64835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基金管理人每工作日对基金资产进行估值后，将</w:t>
      </w:r>
      <w:r>
        <w:rPr>
          <w:rFonts w:hint="eastAsia" w:ascii="宋体" w:hAnsi="宋体"/>
          <w:sz w:val="24"/>
        </w:rPr>
        <w:t>各类基金份额的</w:t>
      </w:r>
      <w:r>
        <w:rPr>
          <w:rFonts w:ascii="宋体" w:hAnsi="宋体"/>
          <w:sz w:val="24"/>
        </w:rPr>
        <w:t>基金份额净值结果发送基金托管人，经基金托管人复核无误后，由基金管理人依据本基金合同和有关法律法规的规定对外公布。</w:t>
      </w:r>
    </w:p>
    <w:p w14:paraId="52A047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2、基金资产估值方法和特殊情形的处理</w:t>
      </w:r>
    </w:p>
    <w:p w14:paraId="003C7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14:paraId="05529A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基金依法拥有的股票、债券、权证及其他基金资产和负债。</w:t>
      </w:r>
    </w:p>
    <w:p w14:paraId="3A14D1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14:paraId="50089A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14:paraId="497BB0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①上市股票的估值：</w:t>
      </w:r>
    </w:p>
    <w:p w14:paraId="74A099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14:paraId="489170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②未上市股票的估值</w:t>
      </w:r>
    </w:p>
    <w:p w14:paraId="670961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a.首次发行未上市的股票，采用估值技术确定公允价值，在估值技术难以可靠计量公允价值的情况下，按成本价估值；</w:t>
      </w:r>
    </w:p>
    <w:p w14:paraId="5A8DFA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b.送股、转增股、配股和公开增发新股等发行未上市的股票，按估值日在证券交易所上市的同一股票的市价进行估值；</w:t>
      </w:r>
    </w:p>
    <w:p w14:paraId="12CA16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14:paraId="2ED91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d.非公开发行的且在发行时明确一定期限锁定期的股票，按监管机构或行业协会有关规定确定公允价值。</w:t>
      </w:r>
    </w:p>
    <w:p w14:paraId="10F734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14:paraId="6C91E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④国家有最新规定的，按其规定进行估值。</w:t>
      </w:r>
    </w:p>
    <w:p w14:paraId="3AE353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14:paraId="7B3D10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①交易所市场上市交易或挂牌转让的固定收益品种（另有规定的除外），选取第三方估值机构提供的相应品种当日的估值净价进行估值。</w:t>
      </w:r>
    </w:p>
    <w:p w14:paraId="20722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14:paraId="3FB8D1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③首次发行未上市债券采用估值技术确定的公允价值进行估值，在估值技术难以可靠计量公允价值的情况下，按成本估值。</w:t>
      </w:r>
    </w:p>
    <w:p w14:paraId="32EBA1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④交易所以大宗交易方式转让的资产支持证券，采用估值技术确定公允价值，在估值技术难以可靠计量公允价值的情况下，按成本进行后续计量。</w:t>
      </w:r>
    </w:p>
    <w:p w14:paraId="495A6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⑤在全国银行间债券市场交易的债券、资产支持证券等固定收益品种，采用估值技术确定公允价值。</w:t>
      </w:r>
    </w:p>
    <w:p w14:paraId="29A6D8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⑥同一债券同时在两个或两个以上市场交易的，按债券所处的市场分别估值。</w:t>
      </w:r>
    </w:p>
    <w:p w14:paraId="535C40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在任何情况下，基金管理人如采用本项第①－⑥小项规定的方法对基金资产进行估值，均应被认为采用了适当的估值方法。但是，如果基金管理人认为按本项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14:paraId="6B9B8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⑧国家有最新规定的，按其规定进行估值。</w:t>
      </w:r>
    </w:p>
    <w:p w14:paraId="0C0EC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3）权证估值方法：</w:t>
      </w:r>
    </w:p>
    <w:p w14:paraId="017D01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14:paraId="4673BE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14:paraId="5D4DFA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③因持有股票而享有的配股权，以及停止交易、但未行权的权证，采用估值技术确定公允价值进行估值。</w:t>
      </w:r>
    </w:p>
    <w:p w14:paraId="69D66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在任何情况下，基金管理人如采用本项第①－③项规定的方法对基金资产进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14:paraId="1FAE3E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⑤国家有最新规定的，按其规定进行估值。</w:t>
      </w:r>
    </w:p>
    <w:p w14:paraId="1C0E41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4）其他有价证券等资产按国家有关规定进行估值。</w:t>
      </w:r>
    </w:p>
    <w:p w14:paraId="57D587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14:paraId="49010D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14:paraId="64E7A4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（3）特殊情形的处理</w:t>
      </w:r>
    </w:p>
    <w:p w14:paraId="3D0542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基金管理人、基金托管人按股票估值方法的第③项、债券估值方法的第⑦项和权证估值方法的第④项进行估值时，所造成的误差不作为基金份额净值错误处理。</w:t>
      </w:r>
    </w:p>
    <w:p w14:paraId="508ABC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14:paraId="0435E7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或超过</w:t>
      </w:r>
      <w:r>
        <w:rPr>
          <w:rFonts w:hint="eastAsia" w:ascii="宋体" w:hAnsi="宋体"/>
          <w:sz w:val="24"/>
        </w:rPr>
        <w:t>该类</w:t>
      </w:r>
      <w:r>
        <w:rPr>
          <w:rFonts w:ascii="宋体" w:hAnsi="宋体"/>
          <w:sz w:val="24"/>
        </w:rPr>
        <w:t>基金份额净值的0.25%时，基金管理人应当及时通知基金托管人并报中国证监会；错误偏差达到</w:t>
      </w:r>
      <w:r>
        <w:rPr>
          <w:rFonts w:hint="eastAsia" w:ascii="宋体" w:hAnsi="宋体"/>
          <w:sz w:val="24"/>
        </w:rPr>
        <w:t>该类</w:t>
      </w:r>
      <w:r>
        <w:rPr>
          <w:rFonts w:ascii="宋体" w:hAnsi="宋体"/>
          <w:sz w:val="24"/>
        </w:rPr>
        <w:t>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14:paraId="21BDC3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14:paraId="770F1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14:paraId="1D3545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14:paraId="1AB951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544716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14:paraId="60663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14:paraId="3CAFCD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14:paraId="51958B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（5）前述内容如法律法规或监管机关另有规定的，从其规定处理。如果行业有通行做法，双方当事人应本着平等和保护基金份额持有人利益的原则进行协商。</w:t>
      </w:r>
    </w:p>
    <w:p w14:paraId="3A0EF8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14:paraId="566030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（1）基金投资所涉及的证券交易所遇法定节假日或因其他原因暂停交易时；</w:t>
      </w:r>
    </w:p>
    <w:p w14:paraId="3E2260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14:paraId="14D1BD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14:paraId="06F3EF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（4）中国证监会和基金合同认定的其他情形。</w:t>
      </w:r>
    </w:p>
    <w:p w14:paraId="60E1C1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5、基金会计制度</w:t>
      </w:r>
    </w:p>
    <w:p w14:paraId="2DD6E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14:paraId="3726EF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6、基金账册的建立</w:t>
      </w:r>
    </w:p>
    <w:p w14:paraId="1743E2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14:paraId="2AD77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7、基金财务报表与报告的编制和复核</w:t>
      </w:r>
    </w:p>
    <w:p w14:paraId="6D372E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14:paraId="04C24F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w:t>
      </w:r>
    </w:p>
    <w:p w14:paraId="43590D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季度报告应在季度结束之日起15个工作日内编制完毕并予以公告；中期报告在会计年度上半年终了后两个月内编制完毕并予以公告；年度报告在会计年度结束后三个月内编制完毕并予以公告。基金合同生效不足2个月的，基金管理人可以不编制当期季度报告、中期报告或者年度报告。</w:t>
      </w:r>
    </w:p>
    <w:p w14:paraId="25BBE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14:paraId="1390EC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14:paraId="4B134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月度报表完成当日，将报表盖章后提供给基金托管人复核；基金托管人在收到后应在2日内进行复核，并将复核结果书面通知基金管理人。基金管理人在季度报告完成当日，将有关报告提供给基金托管人复核，基金托管人应在收到后5个工作日内完成复核，并将复核结果书面通知基金管理人。基金管理人在中期报告完成当日，将有关报告提供给基金托管人复核，基金托管人应在收到后20日内完成复核，并将复核结果书面通知基金管理人。基金管理人在年度报告完成当日，将有关报告提供基金托管人复核，基金托管人应在收到后30日内完成复核，并将复核结果书面通知基金管理人。基金管理人和基金托管人之间的上述文件往来均以加密传真的方式或双方商定的其他方式进行。</w:t>
      </w:r>
    </w:p>
    <w:p w14:paraId="50BDC5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14:paraId="5665236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（六）基金份额持有人名册的的登记与保管</w:t>
      </w:r>
    </w:p>
    <w:p w14:paraId="3C1B34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14:paraId="648B23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14:paraId="2C31EE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14:paraId="04BBF3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2996FD3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（七）争议解决方式</w:t>
      </w:r>
    </w:p>
    <w:p w14:paraId="005E3C54">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14:paraId="6C8B3A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73D64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本协议适用中华人民共和国法律并从其解释。</w:t>
      </w:r>
    </w:p>
    <w:p w14:paraId="0C9DB7E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（八）托管协议的变更与终止</w:t>
      </w:r>
    </w:p>
    <w:p w14:paraId="02B9F3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1DC203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14:paraId="2F1F7D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14:paraId="64C33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7461E2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14:paraId="70C862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14:paraId="3B228D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14:paraId="2DA02AD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970D613">
      <w:pPr>
        <w:pStyle w:val="2"/>
        <w:snapToGrid w:val="0"/>
        <w:spacing w:before="240" w:beforeLines="0" w:after="240"/>
        <w:rPr>
          <w:rFonts w:ascii="宋体" w:hAnsi="宋体"/>
          <w:szCs w:val="30"/>
        </w:rPr>
      </w:pPr>
      <w:bookmarkStart w:id="27" w:name="_Toc202960215"/>
      <w:r>
        <w:rPr>
          <w:rFonts w:ascii="Times New Roman" w:hAnsi="Times New Roman"/>
          <w:sz w:val="30"/>
        </w:rPr>
        <w:t>二十五、对基金份额持有人的服务</w:t>
      </w:r>
      <w:bookmarkEnd w:id="27"/>
    </w:p>
    <w:p w14:paraId="15ABE2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14:paraId="530166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（一）网上直销服务</w:t>
      </w:r>
    </w:p>
    <w:p w14:paraId="01A081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本基金管理人已开通基金网上直销业务，个人投资者可以直接通过本基金管理人网站的“交银施罗德基金管理有限公司网上直销交易平台”（以下简称“网上直销交易平台”）办理开户、本基金</w:t>
      </w:r>
      <w:r>
        <w:rPr>
          <w:rFonts w:hint="eastAsia" w:ascii="宋体" w:hAnsi="宋体"/>
          <w:sz w:val="24"/>
        </w:rPr>
        <w:t>A类基金份额</w:t>
      </w:r>
      <w:r>
        <w:rPr>
          <w:rFonts w:ascii="宋体" w:hAnsi="宋体"/>
          <w:sz w:val="24"/>
        </w:rPr>
        <w:t>的申购、赎回、转换及定期定额投资等业务。有关详情可参见届时相关公告。本公司暂不开展网上直销本基金</w:t>
      </w:r>
      <w:r>
        <w:rPr>
          <w:rFonts w:hint="eastAsia" w:ascii="宋体" w:hAnsi="宋体"/>
          <w:sz w:val="24"/>
        </w:rPr>
        <w:t>A类</w:t>
      </w:r>
      <w:r>
        <w:rPr>
          <w:rFonts w:ascii="宋体" w:hAnsi="宋体"/>
          <w:sz w:val="24"/>
        </w:rPr>
        <w:t>后端基金份额的申购业务，通过转托管转入网上直销账户的本基金</w:t>
      </w:r>
      <w:r>
        <w:rPr>
          <w:rFonts w:hint="eastAsia" w:ascii="宋体" w:hAnsi="宋体"/>
          <w:sz w:val="24"/>
        </w:rPr>
        <w:t>A类</w:t>
      </w:r>
      <w:r>
        <w:rPr>
          <w:rFonts w:ascii="宋体" w:hAnsi="宋体"/>
          <w:sz w:val="24"/>
        </w:rPr>
        <w:t>后端基金份额只能办理赎回业务。通过网上直销交易平台办理本基金</w:t>
      </w:r>
      <w:r>
        <w:rPr>
          <w:rFonts w:hint="eastAsia" w:ascii="宋体" w:hAnsi="宋体"/>
          <w:sz w:val="24"/>
        </w:rPr>
        <w:t>A类</w:t>
      </w:r>
      <w:r>
        <w:rPr>
          <w:rFonts w:ascii="宋体" w:hAnsi="宋体"/>
          <w:sz w:val="24"/>
        </w:rPr>
        <w:t>前端基金份额申购和定期定额投资业务的个人投资者将享受前端申购费率优惠，其他费率标准不变。具体优惠费率请参见公司网站列示的网上直销交易平台申购、定期定额投资费率表或相关公告。</w:t>
      </w:r>
    </w:p>
    <w:p w14:paraId="659E03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14:paraId="7851D3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14:paraId="2621F1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（二）信息咨询、查询服务</w:t>
      </w:r>
    </w:p>
    <w:p w14:paraId="05814C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投资者如果想查询基金产品与服务等信息，请拨打本基金管理人客户服务电话（400-700-5000，021-61055000）或登录本基金管理人网站（www.fund001.com）进行咨询、查询。</w:t>
      </w:r>
    </w:p>
    <w:p w14:paraId="0B15C4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投资者可以拨打本基金管理人客户服务电话投诉直销机构的人员和服务。</w:t>
      </w:r>
    </w:p>
    <w:p w14:paraId="045FBE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（三）基金红利再投资</w:t>
      </w:r>
    </w:p>
    <w:p w14:paraId="46F86C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本基金在封闭期内，收益分配方式为现金分红。</w:t>
      </w:r>
    </w:p>
    <w:p w14:paraId="41D462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本基金转为上市开放式基金（LOF）后，基金份额持有人持有的登记在基金登记系统中的</w:t>
      </w:r>
      <w:r>
        <w:rPr>
          <w:rFonts w:hint="eastAsia" w:ascii="宋体" w:hAnsi="宋体"/>
          <w:sz w:val="24"/>
          <w:lang w:val="en-US" w:eastAsia="zh-CN"/>
        </w:rPr>
        <w:t>A类基金份额和C类</w:t>
      </w:r>
      <w:r>
        <w:rPr>
          <w:rFonts w:ascii="宋体" w:hAnsi="宋体"/>
          <w:sz w:val="24"/>
        </w:rPr>
        <w:t>基金份额可选择现金红利或选择红利再投将现金红利自动转为</w:t>
      </w:r>
      <w:r>
        <w:rPr>
          <w:rFonts w:hint="eastAsia" w:ascii="宋体" w:hAnsi="宋体"/>
          <w:sz w:val="24"/>
        </w:rPr>
        <w:t>相应类别的</w:t>
      </w:r>
      <w:r>
        <w:rPr>
          <w:rFonts w:ascii="宋体" w:hAnsi="宋体"/>
          <w:sz w:val="24"/>
        </w:rPr>
        <w:t>基金份额进行再投资，若投资人不选择，本基金默认的收益分配方式是现金分红</w:t>
      </w:r>
      <w:r>
        <w:rPr>
          <w:rFonts w:hint="eastAsia" w:ascii="宋体" w:hAnsi="宋体"/>
          <w:sz w:val="24"/>
        </w:rPr>
        <w:t>；基金份额持有人可对其持有的A类基金份额和C类基金份额分别选择不同的收益分配方式</w:t>
      </w:r>
      <w:r>
        <w:rPr>
          <w:rFonts w:ascii="宋体" w:hAnsi="宋体"/>
          <w:sz w:val="24"/>
        </w:rPr>
        <w:t>。再投资红利按红利再投日（即除息日）除息后的基金份额净值自动转为</w:t>
      </w:r>
      <w:r>
        <w:rPr>
          <w:rFonts w:hint="eastAsia" w:ascii="宋体" w:hAnsi="宋体"/>
          <w:sz w:val="24"/>
        </w:rPr>
        <w:t>相应类别的</w:t>
      </w:r>
      <w:r>
        <w:rPr>
          <w:rFonts w:ascii="宋体" w:hAnsi="宋体"/>
          <w:sz w:val="24"/>
        </w:rPr>
        <w:t>基金份额，并免收申购费用。</w:t>
      </w:r>
    </w:p>
    <w:p w14:paraId="69CD41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基金份额持有人持有的登记在证券登记系统中的</w:t>
      </w:r>
      <w:r>
        <w:rPr>
          <w:rFonts w:hint="eastAsia" w:ascii="宋体" w:hAnsi="宋体"/>
          <w:sz w:val="24"/>
          <w:lang w:val="en-US" w:eastAsia="zh-CN"/>
        </w:rPr>
        <w:t>A类</w:t>
      </w:r>
      <w:r>
        <w:rPr>
          <w:rFonts w:ascii="宋体" w:hAnsi="宋体"/>
          <w:sz w:val="24"/>
        </w:rPr>
        <w:t>基金份额只能采取现金红利的收益分配方式。</w:t>
      </w:r>
    </w:p>
    <w:p w14:paraId="3AAA63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（四）定期定额投资计划</w:t>
      </w:r>
    </w:p>
    <w:p w14:paraId="0DF09B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lang w:val="en-US" w:eastAsia="zh-CN"/>
        </w:rPr>
        <w:t>已</w:t>
      </w:r>
      <w:r>
        <w:rPr>
          <w:rFonts w:ascii="宋体" w:hAnsi="宋体"/>
          <w:sz w:val="24"/>
        </w:rPr>
        <w:t>开通定期定额投资计划业务，具体实施方法请参见相关公告。</w:t>
      </w:r>
    </w:p>
    <w:p w14:paraId="1AB44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26A416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基金管理人的互联网地址及电子信箱</w:t>
      </w:r>
    </w:p>
    <w:p w14:paraId="337C75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55085C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23227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14:paraId="1A2212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（五）如本招募说明书存在任何您/贵机构无法理解的内容，请通过上述方式联系基金管理人。请确保投资前，您/贵机构已经全面理解了本招募说明书。</w:t>
      </w:r>
    </w:p>
    <w:p w14:paraId="4F1B5FE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07AE0F2">
      <w:pPr>
        <w:pStyle w:val="2"/>
        <w:snapToGrid w:val="0"/>
        <w:spacing w:before="240" w:beforeLines="0" w:after="240"/>
        <w:rPr>
          <w:rFonts w:ascii="宋体" w:hAnsi="宋体"/>
          <w:szCs w:val="30"/>
        </w:rPr>
      </w:pPr>
      <w:bookmarkStart w:id="28" w:name="_Toc202960216"/>
      <w:r>
        <w:rPr>
          <w:rFonts w:ascii="Times New Roman" w:hAnsi="Times New Roman"/>
          <w:sz w:val="30"/>
        </w:rPr>
        <w:t>二十六、其他应披露事项</w:t>
      </w:r>
      <w:bookmarkEnd w:id="28"/>
    </w:p>
    <w:p w14:paraId="049193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14:paraId="0CDBD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42BA69C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0B77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2FF80C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510D319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306E86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71AF9DE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BB272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7AE248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5F9726E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AFE5A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2024-06-27</w:t>
            </w:r>
          </w:p>
        </w:tc>
      </w:tr>
      <w:tr w14:paraId="5E48200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8B859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CF86A6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2BE9A7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77976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2024-07-12</w:t>
            </w:r>
          </w:p>
        </w:tc>
      </w:tr>
      <w:tr w14:paraId="340F6A0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072F8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6F29EDD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332210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41896A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2024-07-12</w:t>
            </w:r>
          </w:p>
        </w:tc>
      </w:tr>
      <w:tr w14:paraId="04CFDBB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D99A0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5870D79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交银施罗德信用添利债券证券投资基金（LOF）2024年第2季度报告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50989AA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87B57A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14:paraId="500A5C0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647F6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2754922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交银施罗德基金管理有限公司旗下全部基金2024年第二季度报告提示性公告</w:t>
            </w:r>
          </w:p>
        </w:tc>
        <w:tc>
          <w:tcPr>
            <w:tcW w:w="750" w:type="pct"/>
            <w:tcBorders>
              <w:top w:val="single" w:color="auto" w:sz="4" w:space="0"/>
              <w:left w:val="single" w:color="auto" w:sz="4" w:space="0"/>
              <w:bottom w:val="single" w:color="auto" w:sz="4" w:space="0"/>
              <w:right w:val="single" w:color="auto" w:sz="4" w:space="0"/>
            </w:tcBorders>
            <w:vAlign w:val="center"/>
          </w:tcPr>
          <w:p w14:paraId="6D9618F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70BB8F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14:paraId="240C6B6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22B3C8">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3628A5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交银施罗德基金管理有限公司关于增加深圳前海微众银行股份有限公司为旗下基金的销售机构的公告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304ED42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8C21E7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2024-07-29</w:t>
            </w:r>
          </w:p>
        </w:tc>
      </w:tr>
      <w:tr w14:paraId="3131371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FD85E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0510E88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交银施罗德基金管理有限公司关于董事长离任及代任董事长（法定代表人）的公告</w:t>
            </w:r>
          </w:p>
        </w:tc>
        <w:tc>
          <w:tcPr>
            <w:tcW w:w="750" w:type="pct"/>
            <w:tcBorders>
              <w:top w:val="single" w:color="auto" w:sz="4" w:space="0"/>
              <w:left w:val="single" w:color="auto" w:sz="4" w:space="0"/>
              <w:bottom w:val="single" w:color="auto" w:sz="4" w:space="0"/>
              <w:right w:val="single" w:color="auto" w:sz="4" w:space="0"/>
            </w:tcBorders>
            <w:vAlign w:val="center"/>
          </w:tcPr>
          <w:p w14:paraId="5D5A2BE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886CC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2024-08-17</w:t>
            </w:r>
          </w:p>
        </w:tc>
      </w:tr>
      <w:tr w14:paraId="7C78FC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F457D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2D54D4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交银施罗德信用添利债券证券投资基金（LOF）2024年中期报告</w:t>
            </w:r>
          </w:p>
        </w:tc>
        <w:tc>
          <w:tcPr>
            <w:tcW w:w="750" w:type="pct"/>
            <w:tcBorders>
              <w:top w:val="single" w:color="auto" w:sz="4" w:space="0"/>
              <w:left w:val="single" w:color="auto" w:sz="4" w:space="0"/>
              <w:bottom w:val="single" w:color="auto" w:sz="4" w:space="0"/>
              <w:right w:val="single" w:color="auto" w:sz="4" w:space="0"/>
            </w:tcBorders>
            <w:vAlign w:val="center"/>
          </w:tcPr>
          <w:p w14:paraId="3139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559F4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14:paraId="6C08C37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91414E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27D902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交银施罗德基金管理有限公司旗下全部基金2024年中期报告提示性公告</w:t>
            </w:r>
          </w:p>
        </w:tc>
        <w:tc>
          <w:tcPr>
            <w:tcW w:w="750" w:type="pct"/>
            <w:tcBorders>
              <w:top w:val="single" w:color="auto" w:sz="4" w:space="0"/>
              <w:left w:val="single" w:color="auto" w:sz="4" w:space="0"/>
              <w:bottom w:val="single" w:color="auto" w:sz="4" w:space="0"/>
              <w:right w:val="single" w:color="auto" w:sz="4" w:space="0"/>
            </w:tcBorders>
            <w:vAlign w:val="center"/>
          </w:tcPr>
          <w:p w14:paraId="2105FB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02AEF7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14:paraId="1956F05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9BD2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3C6FC07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14:paraId="4C6D06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3172B2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2024-09-12</w:t>
            </w:r>
          </w:p>
        </w:tc>
      </w:tr>
      <w:tr w14:paraId="7409AA6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ABBC6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3D292BC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交银施罗德基金管理有限公司关于交银施罗德信用添利债券证券投资基金（LOF）分红公告</w:t>
            </w:r>
          </w:p>
        </w:tc>
        <w:tc>
          <w:tcPr>
            <w:tcW w:w="750" w:type="pct"/>
            <w:tcBorders>
              <w:top w:val="single" w:color="auto" w:sz="4" w:space="0"/>
              <w:left w:val="single" w:color="auto" w:sz="4" w:space="0"/>
              <w:bottom w:val="single" w:color="auto" w:sz="4" w:space="0"/>
              <w:right w:val="single" w:color="auto" w:sz="4" w:space="0"/>
            </w:tcBorders>
            <w:vAlign w:val="center"/>
          </w:tcPr>
          <w:p w14:paraId="3DCEBEE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836D7A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2024-09-19</w:t>
            </w:r>
          </w:p>
        </w:tc>
      </w:tr>
      <w:tr w14:paraId="4F8EF6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FBE5D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541F77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交银施罗德基金管理有限公司关于交银施罗德信用添利债券证券投资基金（LOF）于2024年“国庆节”假期前调整大额申购（转换转入、定期定额投资）业务限额的公告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14:paraId="49F1C7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B1B1C1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2024-09-26</w:t>
            </w:r>
          </w:p>
        </w:tc>
      </w:tr>
      <w:tr w14:paraId="3DE45B4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EDF7288">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221271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交银施罗德信用添利债券证券投资基金（LOF）2024年第3季度报告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205558F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786AD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14:paraId="6D67D72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7784E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2EBB97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color="auto" w:sz="4" w:space="0"/>
              <w:left w:val="single" w:color="auto" w:sz="4" w:space="0"/>
              <w:bottom w:val="single" w:color="auto" w:sz="4" w:space="0"/>
              <w:right w:val="single" w:color="auto" w:sz="4" w:space="0"/>
            </w:tcBorders>
            <w:vAlign w:val="center"/>
          </w:tcPr>
          <w:p w14:paraId="6CC66EE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768724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14:paraId="0C2023C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1FB79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5FD71A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color="auto" w:sz="4" w:space="0"/>
              <w:left w:val="single" w:color="auto" w:sz="4" w:space="0"/>
              <w:bottom w:val="single" w:color="auto" w:sz="4" w:space="0"/>
              <w:right w:val="single" w:color="auto" w:sz="4" w:space="0"/>
            </w:tcBorders>
            <w:vAlign w:val="center"/>
          </w:tcPr>
          <w:p w14:paraId="485B376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DACF5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14:paraId="4CCC224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31E866">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6601F5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14:paraId="0DF43BB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B5F491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14:paraId="7798C42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C95727">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58FB6F1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14:paraId="4CD343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7D0CCC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2024-12-16</w:t>
            </w:r>
          </w:p>
        </w:tc>
      </w:tr>
      <w:tr w14:paraId="436A6E1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F84B26">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16B8E2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交银施罗德基金管理有限公司关于交银施罗德信用添利债券证券投资基金（LOF）分红公告</w:t>
            </w:r>
          </w:p>
        </w:tc>
        <w:tc>
          <w:tcPr>
            <w:tcW w:w="750" w:type="pct"/>
            <w:tcBorders>
              <w:top w:val="single" w:color="auto" w:sz="4" w:space="0"/>
              <w:left w:val="single" w:color="auto" w:sz="4" w:space="0"/>
              <w:bottom w:val="single" w:color="auto" w:sz="4" w:space="0"/>
              <w:right w:val="single" w:color="auto" w:sz="4" w:space="0"/>
            </w:tcBorders>
            <w:vAlign w:val="center"/>
          </w:tcPr>
          <w:p w14:paraId="3E1600B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9FA07E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2024-12-19</w:t>
            </w:r>
          </w:p>
        </w:tc>
      </w:tr>
      <w:tr w14:paraId="7C717B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B1BF8A5">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595071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7888FB4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AB7916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34143A9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D10CB35">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222D130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2EB5A8E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4B8B6F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0322E36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31C9910">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1DBD440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交银施罗德信用添利债券证券投资基金（LOF）2024年年度报告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5595FF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1FE1E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2DD6984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14EC36">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4CC7FEE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14:paraId="3272285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E58D08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14:paraId="3577542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A16C9BB">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2B7FE3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交银施罗德信用添利债券证券投资基金（LOF）2025年第1季度报告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572EB17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279E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14:paraId="193FAF4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B3C929">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7D46E00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5CA4F47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CAB31C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bl>
    <w:p w14:paraId="5992581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D194DD9">
      <w:pPr>
        <w:pStyle w:val="2"/>
        <w:snapToGrid w:val="0"/>
        <w:spacing w:before="240" w:beforeLines="0" w:after="240"/>
        <w:rPr>
          <w:rFonts w:ascii="宋体" w:hAnsi="宋体"/>
          <w:szCs w:val="30"/>
        </w:rPr>
      </w:pPr>
      <w:bookmarkStart w:id="29" w:name="_Toc202960217"/>
      <w:r>
        <w:rPr>
          <w:rFonts w:ascii="Times New Roman" w:hAnsi="Times New Roman"/>
          <w:sz w:val="30"/>
        </w:rPr>
        <w:t>二十七、招募说明书的存放及查阅方式</w:t>
      </w:r>
      <w:bookmarkEnd w:id="29"/>
    </w:p>
    <w:p w14:paraId="0DA563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14:paraId="215AB4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投资者还可以直接登录基金管理人的网站(www.fund001.com)查阅和下载招募说明书。</w:t>
      </w:r>
    </w:p>
    <w:p w14:paraId="1B83FAA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306362D">
      <w:pPr>
        <w:pStyle w:val="2"/>
        <w:snapToGrid w:val="0"/>
        <w:spacing w:before="240" w:beforeLines="0" w:after="240"/>
        <w:rPr>
          <w:rFonts w:ascii="宋体" w:hAnsi="宋体"/>
          <w:szCs w:val="30"/>
        </w:rPr>
      </w:pPr>
      <w:bookmarkStart w:id="30" w:name="_Toc202960218"/>
      <w:r>
        <w:rPr>
          <w:rFonts w:ascii="Times New Roman" w:hAnsi="Times New Roman"/>
          <w:sz w:val="30"/>
        </w:rPr>
        <w:t>二十八、备查文件</w:t>
      </w:r>
      <w:bookmarkEnd w:id="30"/>
    </w:p>
    <w:p w14:paraId="347C7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7B7D9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（一）中国证监会核准交银施罗德信用添利债券证券投资基金募集的文件</w:t>
      </w:r>
    </w:p>
    <w:p w14:paraId="48CC30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r>
        <w:rPr>
          <w:rFonts w:ascii="宋体" w:hAnsi="宋体"/>
          <w:sz w:val="24"/>
        </w:rPr>
        <w:t>基金合同》</w:t>
      </w:r>
    </w:p>
    <w:p w14:paraId="62D932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（三）《交银施罗德信用添利债券证券投资基金</w:t>
      </w:r>
      <w:r>
        <w:rPr>
          <w:rFonts w:hint="eastAsia" w:ascii="Times New Roman" w:hAnsi="Times New Roman"/>
          <w:color w:val="000000"/>
          <w:kern w:val="0"/>
          <w:sz w:val="25"/>
          <w:szCs w:val="24"/>
          <w:lang w:eastAsia="zh-CN"/>
        </w:rPr>
        <w:t>（</w:t>
      </w:r>
      <w:r>
        <w:rPr>
          <w:rFonts w:hint="eastAsia" w:ascii="Times New Roman" w:hAnsi="Times New Roman"/>
          <w:color w:val="000000"/>
          <w:kern w:val="0"/>
          <w:sz w:val="25"/>
          <w:szCs w:val="24"/>
          <w:lang w:val="en-US" w:eastAsia="zh-CN"/>
        </w:rPr>
        <w:t>LOF</w:t>
      </w:r>
      <w:r>
        <w:rPr>
          <w:rFonts w:hint="eastAsia" w:ascii="Times New Roman" w:hAnsi="Times New Roman"/>
          <w:color w:val="000000"/>
          <w:kern w:val="0"/>
          <w:sz w:val="25"/>
          <w:szCs w:val="24"/>
          <w:lang w:eastAsia="zh-CN"/>
        </w:rPr>
        <w:t>）</w:t>
      </w:r>
      <w:r>
        <w:rPr>
          <w:rFonts w:ascii="宋体" w:hAnsi="宋体"/>
          <w:sz w:val="24"/>
        </w:rPr>
        <w:t>托管协议》</w:t>
      </w:r>
    </w:p>
    <w:p w14:paraId="5D780E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2C7384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788967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（六）关于申请募集交银施罗德信用添利债券证券投资基金之法律意见书</w:t>
      </w:r>
    </w:p>
    <w:sectPr>
      <w:footerReference r:id="rId9"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A7645">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4A9283C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9FE6E">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1D19E">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14:paraId="595AB46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168</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1CDFB">
    <w:pPr>
      <w:pStyle w:val="9"/>
      <w:jc w:val="right"/>
    </w:pPr>
    <w:r>
      <w:drawing>
        <wp:anchor distT="0" distB="0" distL="114300" distR="114300" simplePos="0" relativeHeight="251659264"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14:paraId="26087682">
    <w:pPr>
      <w:pStyle w:val="9"/>
      <w:jc w:val="right"/>
      <w:rPr>
        <w:rFonts w:ascii="宋体" w:hAnsi="宋体"/>
      </w:rPr>
    </w:pPr>
    <w:r>
      <w:rPr>
        <w:rFonts w:hint="eastAsia" w:ascii="宋体" w:hAnsi="宋体"/>
      </w:rPr>
      <w:t>交银施罗德信用添利债券证券投资基金（LOF）招募说明书更新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4C09">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CEBED">
    <w:pPr>
      <w:pStyle w:val="10"/>
      <w:jc w:val="right"/>
    </w:pPr>
  </w:p>
  <w:p w14:paraId="3817EFB8">
    <w:pPr>
      <w:pStyle w:val="10"/>
      <w:jc w:val="right"/>
    </w:pPr>
  </w:p>
  <w:p w14:paraId="56D18E5C">
    <w:pPr>
      <w:pStyle w:val="9"/>
      <w:jc w:val="right"/>
    </w:pPr>
  </w:p>
  <w:p w14:paraId="2946FA7D">
    <w:pPr>
      <w:pStyle w:val="9"/>
      <w:jc w:val="right"/>
      <w:rPr>
        <w:rFonts w:ascii="宋体" w:hAnsi="宋体"/>
      </w:rPr>
    </w:pPr>
    <w:r>
      <w:rPr>
        <w:rFonts w:hint="eastAsia" w:ascii="宋体" w:hAnsi="宋体"/>
      </w:rPr>
      <w:t>交银施罗德信用添利债券证券投资基金（LOF）招募说明书更新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E30DB">
    <w:pPr>
      <w:pStyle w:val="9"/>
      <w:jc w:val="right"/>
    </w:pPr>
  </w:p>
  <w:p w14:paraId="4C6122F6">
    <w:pPr>
      <w:pStyle w:val="9"/>
      <w:jc w:val="right"/>
    </w:pPr>
  </w:p>
  <w:p w14:paraId="313664C0">
    <w:pPr>
      <w:pStyle w:val="9"/>
      <w:jc w:val="right"/>
    </w:pPr>
  </w:p>
  <w:p w14:paraId="73EF9F9A">
    <w:pPr>
      <w:pStyle w:val="9"/>
      <w:jc w:val="right"/>
      <w:rPr>
        <w:rFonts w:ascii="宋体" w:hAnsi="宋体"/>
      </w:rPr>
    </w:pPr>
    <w:r>
      <w:rPr>
        <w:rFonts w:hint="eastAsia" w:ascii="宋体" w:hAnsi="宋体"/>
      </w:rPr>
      <w:t>交银施罗德信用添利债券证券投资基金（LOF）招募说明书更新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720"/>
  <w:drawingGridHorizontalSpacing w:val="105"/>
  <w:drawingGridVerticalSpacing w:val="120"/>
  <w:displayHorizontalDrawingGridEvery w:val="1"/>
  <w:displayVerticalDrawingGridEvery w:val="1"/>
  <w:doNotShadeFormData w:val="1"/>
  <w:noPunctuationKerning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2DF5"/>
    <w:rsid w:val="003D3863"/>
    <w:rsid w:val="003D3D0A"/>
    <w:rsid w:val="003E0800"/>
    <w:rsid w:val="003E1584"/>
    <w:rsid w:val="003E33DE"/>
    <w:rsid w:val="003E3593"/>
    <w:rsid w:val="003E585F"/>
    <w:rsid w:val="003E6049"/>
    <w:rsid w:val="003E6545"/>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3EC7"/>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229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3B04"/>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1470AC3"/>
    <w:rsid w:val="01A70B65"/>
    <w:rsid w:val="025E1C1C"/>
    <w:rsid w:val="02AA4A3B"/>
    <w:rsid w:val="038B0AB0"/>
    <w:rsid w:val="085A526F"/>
    <w:rsid w:val="093728DA"/>
    <w:rsid w:val="0C4333A2"/>
    <w:rsid w:val="0C4E1ADA"/>
    <w:rsid w:val="0DC34783"/>
    <w:rsid w:val="0E4F1771"/>
    <w:rsid w:val="12602806"/>
    <w:rsid w:val="12F96C10"/>
    <w:rsid w:val="14173CAE"/>
    <w:rsid w:val="15430871"/>
    <w:rsid w:val="154C590A"/>
    <w:rsid w:val="17171557"/>
    <w:rsid w:val="190C773E"/>
    <w:rsid w:val="194F3E3A"/>
    <w:rsid w:val="199C7C23"/>
    <w:rsid w:val="1A113708"/>
    <w:rsid w:val="1D8343EA"/>
    <w:rsid w:val="1DB33EC7"/>
    <w:rsid w:val="1E556CA9"/>
    <w:rsid w:val="1EE03E67"/>
    <w:rsid w:val="1F851843"/>
    <w:rsid w:val="212C3EBE"/>
    <w:rsid w:val="213E2F87"/>
    <w:rsid w:val="233A0884"/>
    <w:rsid w:val="245E71E0"/>
    <w:rsid w:val="27D31FD1"/>
    <w:rsid w:val="280831D4"/>
    <w:rsid w:val="2B0D58C4"/>
    <w:rsid w:val="2BAF7B59"/>
    <w:rsid w:val="2EB11A86"/>
    <w:rsid w:val="2F3B3ABF"/>
    <w:rsid w:val="30BC6F0F"/>
    <w:rsid w:val="32EF7FF7"/>
    <w:rsid w:val="34DB392E"/>
    <w:rsid w:val="36E5216B"/>
    <w:rsid w:val="38570BE7"/>
    <w:rsid w:val="39D929D0"/>
    <w:rsid w:val="39F6439F"/>
    <w:rsid w:val="39FE4F8B"/>
    <w:rsid w:val="3A8B5362"/>
    <w:rsid w:val="3B973ECB"/>
    <w:rsid w:val="3C42651B"/>
    <w:rsid w:val="3D8F66F3"/>
    <w:rsid w:val="3EB573B7"/>
    <w:rsid w:val="3F177720"/>
    <w:rsid w:val="403A7DEC"/>
    <w:rsid w:val="423F6252"/>
    <w:rsid w:val="45477B59"/>
    <w:rsid w:val="463F5282"/>
    <w:rsid w:val="46B53357"/>
    <w:rsid w:val="472A18A2"/>
    <w:rsid w:val="47D07961"/>
    <w:rsid w:val="48681209"/>
    <w:rsid w:val="48AC5566"/>
    <w:rsid w:val="4A87077E"/>
    <w:rsid w:val="4B086107"/>
    <w:rsid w:val="4CE62CF6"/>
    <w:rsid w:val="4D8212ED"/>
    <w:rsid w:val="4E493FBE"/>
    <w:rsid w:val="4E8626B8"/>
    <w:rsid w:val="50C44E47"/>
    <w:rsid w:val="52F61B03"/>
    <w:rsid w:val="53320186"/>
    <w:rsid w:val="549625C4"/>
    <w:rsid w:val="59234ECA"/>
    <w:rsid w:val="592872D8"/>
    <w:rsid w:val="5B707A73"/>
    <w:rsid w:val="5C330B90"/>
    <w:rsid w:val="5C512336"/>
    <w:rsid w:val="5EB14CCC"/>
    <w:rsid w:val="61EE1D7B"/>
    <w:rsid w:val="65961654"/>
    <w:rsid w:val="670B46C2"/>
    <w:rsid w:val="693C4CB6"/>
    <w:rsid w:val="6A44246A"/>
    <w:rsid w:val="6AD35F09"/>
    <w:rsid w:val="6BCF6A09"/>
    <w:rsid w:val="6BDB4964"/>
    <w:rsid w:val="6E8F357A"/>
    <w:rsid w:val="6ED0395D"/>
    <w:rsid w:val="6F901EF3"/>
    <w:rsid w:val="6FF767C3"/>
    <w:rsid w:val="703570E8"/>
    <w:rsid w:val="73EE3C9C"/>
    <w:rsid w:val="74250B6D"/>
    <w:rsid w:val="755D5CF6"/>
    <w:rsid w:val="759D43EC"/>
    <w:rsid w:val="7A692B36"/>
    <w:rsid w:val="7B861FC5"/>
    <w:rsid w:val="7BD762CD"/>
    <w:rsid w:val="7DA2182D"/>
    <w:rsid w:val="7E551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171</Pages>
  <Words>17495</Words>
  <Characters>99724</Characters>
  <Lines>831</Lines>
  <Paragraphs>233</Paragraphs>
  <TotalTime>1</TotalTime>
  <ScaleCrop>false</ScaleCrop>
  <LinksUpToDate>false</LinksUpToDate>
  <CharactersWithSpaces>116986</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2025-07-09T05:29:00Z</dcterms:created>
  <dc:creator>系统用户</dc:creator>
  <cp:lastModifiedBy>刘晨晨</cp:lastModifiedBy>
  <cp:lastPrinted>2013-02-18T03:10:00Z</cp:lastPrinted>
  <dcterms:modified xsi:type="dcterms:W3CDTF">2026-05-20T05:46:17Z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95E36205809643D68AB3A5B80CF44C56_12</vt:lpwstr>
  </property>
</Properties>
</file>