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641E1C1">
      <w:pPr>
        <w:jc w:val="center"/>
        <w:rPr>
          <w:rFonts w:ascii="黑体" w:hAnsi="黑体" w:eastAsia="黑体"/>
          <w:b/>
          <w:sz w:val="36"/>
        </w:rPr>
      </w:pPr>
      <w:bookmarkStart w:id="0" w:name="_GoBack"/>
      <w:bookmarkEnd w:id="0"/>
      <w:r>
        <w:rPr>
          <w:rFonts w:hint="eastAsia" w:ascii="黑体" w:hAnsi="黑体" w:eastAsia="黑体"/>
          <w:b/>
          <w:sz w:val="36"/>
        </w:rPr>
        <w:t>交银施罗德信用添利债券证券投资基金（LOF）（C类份额）</w:t>
      </w:r>
    </w:p>
    <w:p w14:paraId="26118A84">
      <w:pPr>
        <w:jc w:val="center"/>
        <w:rPr>
          <w:rFonts w:ascii="黑体" w:hAnsi="黑体" w:eastAsia="黑体"/>
          <w:b/>
          <w:sz w:val="36"/>
        </w:rPr>
      </w:pPr>
      <w:r>
        <w:rPr>
          <w:rFonts w:hint="eastAsia" w:ascii="黑体" w:hAnsi="黑体" w:eastAsia="黑体"/>
          <w:b/>
          <w:sz w:val="36"/>
        </w:rPr>
        <w:t>基金产品资料概要更新</w:t>
      </w:r>
    </w:p>
    <w:p w14:paraId="3FA81531">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2026-05-20</w:t>
      </w:r>
    </w:p>
    <w:p w14:paraId="7B8CB9F7">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w:t>
      </w:r>
      <w:r>
        <w:rPr>
          <w:rFonts w:hint="eastAsia" w:ascii="Times New Roman" w:hAnsi="Times New Roman" w:cs="Times New Roman"/>
        </w:rPr>
        <w:t>6</w:t>
      </w:r>
      <w:r>
        <w:rPr>
          <w:rFonts w:ascii="Times New Roman" w:hAnsi="Times New Roman" w:cs="Times New Roman"/>
        </w:rPr>
        <w:t>-</w:t>
      </w:r>
      <w:r>
        <w:rPr>
          <w:rFonts w:hint="eastAsia" w:ascii="Times New Roman" w:hAnsi="Times New Roman" w:cs="Times New Roman"/>
        </w:rPr>
        <w:t>05</w:t>
      </w:r>
      <w:r>
        <w:rPr>
          <w:rFonts w:ascii="Times New Roman" w:hAnsi="Times New Roman" w:cs="Times New Roman"/>
        </w:rPr>
        <w:t>-</w:t>
      </w:r>
      <w:r>
        <w:rPr>
          <w:rFonts w:hint="eastAsia" w:ascii="Times New Roman" w:hAnsi="Times New Roman" w:cs="Times New Roman"/>
        </w:rPr>
        <w:t>21</w:t>
      </w:r>
      <w:r>
        <w:rPr>
          <w:rFonts w:hint="eastAsia" w:ascii="方正仿宋简体" w:hAnsi="方正仿宋简体" w:cs="方正仿宋简体"/>
          <w:b/>
          <w:iCs/>
          <w:szCs w:val="21"/>
        </w:rPr>
        <w:t xml:space="preserve"> </w:t>
      </w:r>
    </w:p>
    <w:p w14:paraId="0C865354">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14:paraId="03F1A6B0">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14:paraId="0353BEEC">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14:paraId="7B0914EE">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14:paraId="5330D666">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14:paraId="7E7E0EBE">
            <w:pPr>
              <w:rPr>
                <w:rFonts w:ascii="仿宋_GB2312" w:eastAsia="仿宋_GB2312"/>
                <w:szCs w:val="21"/>
              </w:rPr>
            </w:pPr>
            <w:r>
              <w:rPr>
                <w:rFonts w:hint="eastAsia" w:ascii="仿宋_GB2312" w:eastAsia="仿宋_GB2312"/>
                <w:szCs w:val="21"/>
              </w:rPr>
              <w:t>交银信用添利债券（LOF）C</w:t>
            </w:r>
          </w:p>
        </w:tc>
        <w:tc>
          <w:tcPr>
            <w:tcW w:w="3649" w:type="dxa"/>
            <w:vAlign w:val="center"/>
          </w:tcPr>
          <w:p w14:paraId="06E5ECF5">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14:paraId="2F074CA6">
            <w:pPr>
              <w:rPr>
                <w:rFonts w:ascii="仿宋_GB2312" w:eastAsia="仿宋_GB2312"/>
                <w:szCs w:val="21"/>
              </w:rPr>
            </w:pPr>
            <w:r>
              <w:rPr>
                <w:rFonts w:hint="eastAsia" w:ascii="仿宋_GB2312" w:eastAsia="仿宋_GB2312"/>
                <w:szCs w:val="21"/>
              </w:rPr>
              <w:t>027672</w:t>
            </w:r>
          </w:p>
        </w:tc>
      </w:tr>
      <w:tr w14:paraId="62EA5A61">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14:paraId="2FF8164A">
            <w:pPr>
              <w:rPr>
                <w:rFonts w:ascii="仿宋_GB2312" w:eastAsia="仿宋_GB2312"/>
                <w:szCs w:val="21"/>
              </w:rPr>
            </w:pPr>
            <w:r>
              <w:rPr>
                <w:rFonts w:hint="eastAsia" w:ascii="仿宋_GB2312" w:eastAsia="仿宋_GB2312"/>
                <w:szCs w:val="21"/>
              </w:rPr>
              <w:t>基金管理人</w:t>
            </w:r>
          </w:p>
        </w:tc>
        <w:tc>
          <w:tcPr>
            <w:tcW w:w="1601" w:type="dxa"/>
            <w:vAlign w:val="center"/>
          </w:tcPr>
          <w:p w14:paraId="67107D26">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14:paraId="61E90FB2">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14:paraId="516FA9C9">
            <w:pPr>
              <w:rPr>
                <w:rFonts w:ascii="仿宋_GB2312" w:eastAsia="仿宋_GB2312"/>
                <w:szCs w:val="21"/>
              </w:rPr>
            </w:pPr>
            <w:r>
              <w:rPr>
                <w:rFonts w:hint="eastAsia" w:ascii="仿宋_GB2312" w:eastAsia="仿宋_GB2312"/>
                <w:szCs w:val="21"/>
              </w:rPr>
              <w:t>中国农业银行股份有限公司</w:t>
            </w:r>
          </w:p>
        </w:tc>
      </w:tr>
      <w:tr w14:paraId="15075E2B">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14:paraId="3A78F57C">
            <w:pPr>
              <w:rPr>
                <w:rFonts w:ascii="仿宋_GB2312" w:eastAsia="仿宋_GB2312"/>
                <w:szCs w:val="21"/>
              </w:rPr>
            </w:pPr>
            <w:r>
              <w:rPr>
                <w:rFonts w:hint="eastAsia" w:ascii="仿宋_GB2312" w:eastAsia="仿宋_GB2312"/>
                <w:szCs w:val="21"/>
              </w:rPr>
              <w:t>基金合同生效日</w:t>
            </w:r>
          </w:p>
        </w:tc>
        <w:tc>
          <w:tcPr>
            <w:tcW w:w="1601" w:type="dxa"/>
            <w:vAlign w:val="center"/>
          </w:tcPr>
          <w:p w14:paraId="23C9517F">
            <w:pPr>
              <w:rPr>
                <w:rFonts w:ascii="仿宋_GB2312" w:eastAsia="仿宋_GB2312"/>
                <w:szCs w:val="21"/>
              </w:rPr>
            </w:pPr>
            <w:r>
              <w:rPr>
                <w:rFonts w:hint="eastAsia" w:ascii="仿宋_GB2312" w:eastAsia="仿宋_GB2312"/>
                <w:szCs w:val="21"/>
              </w:rPr>
              <w:t>2011-01-27</w:t>
            </w:r>
          </w:p>
        </w:tc>
        <w:tc>
          <w:tcPr>
            <w:tcW w:w="3649" w:type="dxa"/>
            <w:vAlign w:val="center"/>
          </w:tcPr>
          <w:p w14:paraId="088E91E6">
            <w:pPr>
              <w:rPr>
                <w:rFonts w:ascii="仿宋_GB2312" w:hAnsi="宋体" w:eastAsia="仿宋_GB2312" w:cs="宋体"/>
                <w:szCs w:val="21"/>
              </w:rPr>
            </w:pPr>
          </w:p>
        </w:tc>
        <w:tc>
          <w:tcPr>
            <w:tcW w:w="1275" w:type="dxa"/>
            <w:vAlign w:val="center"/>
          </w:tcPr>
          <w:p w14:paraId="579E1EA9">
            <w:pPr>
              <w:rPr>
                <w:rFonts w:ascii="仿宋_GB2312" w:eastAsia="仿宋_GB2312"/>
                <w:szCs w:val="21"/>
              </w:rPr>
            </w:pPr>
          </w:p>
        </w:tc>
      </w:tr>
      <w:tr w14:paraId="1A3C5979">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14:paraId="59BFBCBE">
            <w:pPr>
              <w:rPr>
                <w:rFonts w:ascii="仿宋_GB2312" w:eastAsia="仿宋_GB2312"/>
                <w:szCs w:val="21"/>
              </w:rPr>
            </w:pPr>
            <w:r>
              <w:rPr>
                <w:rFonts w:hint="eastAsia" w:ascii="仿宋_GB2312" w:eastAsia="仿宋_GB2312"/>
                <w:szCs w:val="21"/>
              </w:rPr>
              <w:t>基金类型</w:t>
            </w:r>
          </w:p>
        </w:tc>
        <w:tc>
          <w:tcPr>
            <w:tcW w:w="1601" w:type="dxa"/>
            <w:vAlign w:val="center"/>
          </w:tcPr>
          <w:p w14:paraId="49B84F24">
            <w:pPr>
              <w:rPr>
                <w:rFonts w:ascii="仿宋_GB2312" w:eastAsia="仿宋_GB2312"/>
                <w:szCs w:val="21"/>
              </w:rPr>
            </w:pPr>
            <w:r>
              <w:rPr>
                <w:rFonts w:hint="eastAsia" w:ascii="仿宋_GB2312" w:eastAsia="仿宋_GB2312"/>
                <w:szCs w:val="21"/>
              </w:rPr>
              <w:t>债券型</w:t>
            </w:r>
          </w:p>
        </w:tc>
        <w:tc>
          <w:tcPr>
            <w:tcW w:w="3649" w:type="dxa"/>
            <w:vAlign w:val="center"/>
          </w:tcPr>
          <w:p w14:paraId="0515B15A">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14:paraId="268F1DF6">
            <w:pPr>
              <w:rPr>
                <w:rFonts w:ascii="仿宋_GB2312" w:eastAsia="仿宋_GB2312"/>
                <w:szCs w:val="21"/>
              </w:rPr>
            </w:pPr>
            <w:r>
              <w:rPr>
                <w:rFonts w:hint="eastAsia" w:ascii="仿宋_GB2312" w:eastAsia="仿宋_GB2312"/>
                <w:szCs w:val="21"/>
              </w:rPr>
              <w:t>人民币</w:t>
            </w:r>
          </w:p>
        </w:tc>
      </w:tr>
      <w:tr w14:paraId="01EDE8D8">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14:paraId="6FC2AB72">
            <w:pPr>
              <w:rPr>
                <w:rFonts w:ascii="仿宋_GB2312" w:eastAsia="仿宋_GB2312"/>
                <w:szCs w:val="21"/>
              </w:rPr>
            </w:pPr>
            <w:r>
              <w:rPr>
                <w:rFonts w:hint="eastAsia" w:ascii="仿宋_GB2312" w:eastAsia="仿宋_GB2312"/>
                <w:szCs w:val="21"/>
              </w:rPr>
              <w:t>运作方式</w:t>
            </w:r>
          </w:p>
        </w:tc>
        <w:tc>
          <w:tcPr>
            <w:tcW w:w="1601" w:type="dxa"/>
            <w:vAlign w:val="center"/>
          </w:tcPr>
          <w:p w14:paraId="37225F5A">
            <w:pPr>
              <w:rPr>
                <w:rFonts w:ascii="仿宋_GB2312" w:eastAsia="仿宋_GB2312"/>
                <w:szCs w:val="21"/>
              </w:rPr>
            </w:pPr>
            <w:r>
              <w:rPr>
                <w:rFonts w:hint="eastAsia" w:ascii="仿宋_GB2312" w:eastAsia="仿宋_GB2312"/>
                <w:szCs w:val="21"/>
              </w:rPr>
              <w:t>普通开放式</w:t>
            </w:r>
          </w:p>
        </w:tc>
        <w:tc>
          <w:tcPr>
            <w:tcW w:w="3649" w:type="dxa"/>
            <w:vAlign w:val="center"/>
          </w:tcPr>
          <w:p w14:paraId="0A3C4012">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14:paraId="4BBF8A71">
            <w:pPr>
              <w:rPr>
                <w:rFonts w:ascii="仿宋_GB2312" w:eastAsia="仿宋_GB2312"/>
                <w:szCs w:val="21"/>
              </w:rPr>
            </w:pPr>
            <w:r>
              <w:rPr>
                <w:rFonts w:hint="eastAsia" w:ascii="仿宋_GB2312" w:eastAsia="仿宋_GB2312"/>
                <w:szCs w:val="21"/>
              </w:rPr>
              <w:t>每个开放日</w:t>
            </w:r>
          </w:p>
        </w:tc>
      </w:tr>
      <w:tr w14:paraId="45FF1DDC">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14:paraId="2AA2AA66">
            <w:pPr>
              <w:jc w:val="left"/>
              <w:rPr>
                <w:rFonts w:ascii="仿宋_GB2312" w:eastAsia="仿宋_GB2312"/>
                <w:szCs w:val="21"/>
              </w:rPr>
            </w:pPr>
            <w:r>
              <w:rPr>
                <w:rFonts w:hint="eastAsia" w:ascii="仿宋_GB2312" w:eastAsia="仿宋_GB2312"/>
                <w:szCs w:val="21"/>
              </w:rPr>
              <w:t>基金经理</w:t>
            </w:r>
          </w:p>
        </w:tc>
        <w:tc>
          <w:tcPr>
            <w:tcW w:w="1601" w:type="dxa"/>
            <w:vMerge w:val="restart"/>
          </w:tcPr>
          <w:p w14:paraId="288C15EB">
            <w:pPr>
              <w:jc w:val="left"/>
              <w:rPr>
                <w:rFonts w:ascii="仿宋_GB2312" w:eastAsia="仿宋_GB2312"/>
                <w:szCs w:val="21"/>
              </w:rPr>
            </w:pPr>
            <w:r>
              <w:rPr>
                <w:rFonts w:hint="eastAsia" w:ascii="仿宋_GB2312" w:eastAsia="仿宋_GB2312"/>
                <w:szCs w:val="21"/>
              </w:rPr>
              <w:t>唐赟</w:t>
            </w:r>
          </w:p>
        </w:tc>
        <w:tc>
          <w:tcPr>
            <w:tcW w:w="3000" w:type="dxa"/>
          </w:tcPr>
          <w:p w14:paraId="4C92C0C6">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14:paraId="5F25BC0F">
            <w:pPr>
              <w:jc w:val="left"/>
              <w:rPr>
                <w:rFonts w:ascii="仿宋_GB2312" w:eastAsia="仿宋_GB2312"/>
                <w:szCs w:val="21"/>
              </w:rPr>
            </w:pPr>
            <w:r>
              <w:rPr>
                <w:rFonts w:hint="eastAsia" w:ascii="仿宋_GB2312" w:eastAsia="仿宋_GB2312"/>
                <w:szCs w:val="21"/>
              </w:rPr>
              <w:t>2015-08-04</w:t>
            </w:r>
          </w:p>
        </w:tc>
      </w:tr>
      <w:tr w14:paraId="32AD32FF">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14:paraId="515D69F4">
            <w:pPr>
              <w:jc w:val="left"/>
              <w:rPr>
                <w:rFonts w:ascii="仿宋_GB2312" w:eastAsia="仿宋_GB2312"/>
                <w:szCs w:val="21"/>
              </w:rPr>
            </w:pPr>
          </w:p>
        </w:tc>
        <w:tc>
          <w:tcPr>
            <w:tcW w:w="1601" w:type="dxa"/>
            <w:vMerge w:val="continue"/>
          </w:tcPr>
          <w:p w14:paraId="152A5E5B">
            <w:pPr>
              <w:jc w:val="left"/>
              <w:rPr>
                <w:rFonts w:ascii="仿宋_GB2312" w:eastAsia="仿宋_GB2312"/>
                <w:szCs w:val="21"/>
              </w:rPr>
            </w:pPr>
          </w:p>
        </w:tc>
        <w:tc>
          <w:tcPr>
            <w:tcW w:w="3649" w:type="dxa"/>
          </w:tcPr>
          <w:p w14:paraId="7647AC02">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14:paraId="176ED005">
            <w:pPr>
              <w:jc w:val="left"/>
              <w:rPr>
                <w:rFonts w:ascii="仿宋_GB2312" w:eastAsia="仿宋_GB2312"/>
                <w:szCs w:val="21"/>
              </w:rPr>
            </w:pPr>
            <w:r>
              <w:rPr>
                <w:rFonts w:hint="eastAsia" w:ascii="仿宋_GB2312" w:eastAsia="仿宋_GB2312"/>
                <w:szCs w:val="21"/>
              </w:rPr>
              <w:t>2010-07-05</w:t>
            </w:r>
          </w:p>
        </w:tc>
      </w:tr>
      <w:tr w14:paraId="0721A62B">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14:paraId="577619F6">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14:paraId="0AE05A33">
            <w:pPr>
              <w:ind w:firstLine="420"/>
              <w:jc w:val="left"/>
              <w:rPr>
                <w:rFonts w:ascii="仿宋_GB2312" w:eastAsia="仿宋_GB2312"/>
                <w:szCs w:val="21"/>
              </w:rPr>
            </w:pPr>
            <w:r>
              <w:rPr>
                <w:rFonts w:ascii="仿宋_GB2312" w:eastAsia="仿宋_GB2312"/>
                <w:szCs w:val="21"/>
              </w:rPr>
              <w:t>本基金合同生效后的存续期内，基金份额持有人数量不满200人或者基金资产净值低于5000万元，基金管理人应当及时报告中国证监会；基金份额持有人数量连续20个工作日达不到200人，或连续20个工作日基金资产净值低于5000万元，基金管理人应当及时向中国证监会报告，说明出现上述情况的原因并提出解决方案。法律法规或监管机构另有规定时，从其规定。</w:t>
            </w:r>
          </w:p>
        </w:tc>
      </w:tr>
    </w:tbl>
    <w:p w14:paraId="78B1F084">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14:paraId="1F3B18FA">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14:paraId="467F82D3">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14:paraId="7071D349">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14:paraId="0848CDAE">
            <w:pPr>
              <w:ind w:firstLine="420"/>
              <w:jc w:val="left"/>
              <w:rPr>
                <w:rFonts w:ascii="仿宋_GB2312" w:eastAsia="仿宋_GB2312"/>
                <w:szCs w:val="21"/>
              </w:rPr>
            </w:pPr>
            <w:r>
              <w:rPr>
                <w:rFonts w:hint="eastAsia" w:ascii="仿宋_GB2312" w:eastAsia="仿宋_GB2312"/>
                <w:szCs w:val="21"/>
              </w:rPr>
              <w:t>本基金根据宏观经济运行状况和金融市场的运行趋势，自上而下进行宏观分析，自下而上精选个券，在控制信用风险、利率风险和流动性风险前提下，力求通过主动承担适度信用风险获得持续投资收益，谋求基金资产的长期稳定增长。</w:t>
            </w:r>
          </w:p>
        </w:tc>
      </w:tr>
      <w:tr w14:paraId="4591F428">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14:paraId="2E3362BD">
            <w:pPr>
              <w:rPr>
                <w:rFonts w:ascii="仿宋_GB2312" w:eastAsia="仿宋_GB2312"/>
                <w:szCs w:val="21"/>
              </w:rPr>
            </w:pPr>
            <w:r>
              <w:rPr>
                <w:rFonts w:hint="eastAsia" w:ascii="仿宋_GB2312" w:eastAsia="仿宋_GB2312"/>
                <w:szCs w:val="21"/>
              </w:rPr>
              <w:t>投资范围</w:t>
            </w:r>
          </w:p>
        </w:tc>
        <w:tc>
          <w:tcPr>
            <w:tcW w:w="6525" w:type="dxa"/>
            <w:vAlign w:val="center"/>
          </w:tcPr>
          <w:p w14:paraId="71A58592">
            <w:pPr>
              <w:ind w:firstLine="420"/>
              <w:jc w:val="left"/>
              <w:rPr>
                <w:rFonts w:ascii="仿宋_GB2312" w:eastAsia="仿宋_GB2312"/>
                <w:szCs w:val="21"/>
              </w:rPr>
            </w:pPr>
            <w:r>
              <w:rPr>
                <w:rFonts w:hint="eastAsia" w:ascii="仿宋_GB2312" w:eastAsia="仿宋_GB2312"/>
                <w:szCs w:val="21"/>
              </w:rPr>
              <w:t>本基金的投资范围为具有良好流动性的金融工具，主要投资于固定收益类资产，包括国债、金融债、央行票据、地方政府债、企业债、公司债、短期融资券、可转换债券及可分离转债、资产支持证券、次级债和债券回购等金融工具。本基金可同时投资于股票、权证等权益类产品以及法律法规或中国证监会允许基金投资的其他金融工具。本基金不直接从二级市场买入股票、权证等权益类金融工具，但可以参与一级市场股票首次公开发行或新股增发，并可持有因所持可转换公司债券转股形成的股票、因持有股票被派发的权证、因投资于分离交易可转债而产生的权证。</w:t>
            </w:r>
          </w:p>
          <w:p w14:paraId="3FF57198">
            <w:pPr>
              <w:ind w:firstLine="420"/>
              <w:jc w:val="left"/>
              <w:rPr>
                <w:rFonts w:ascii="仿宋_GB2312" w:eastAsia="仿宋_GB2312"/>
                <w:szCs w:val="21"/>
              </w:rPr>
            </w:pPr>
            <w:r>
              <w:rPr>
                <w:rFonts w:hint="eastAsia" w:ascii="仿宋_GB2312" w:eastAsia="仿宋_GB2312"/>
                <w:szCs w:val="21"/>
              </w:rPr>
              <w:t>如法律法规或中国证监会以后允许基金投资其他品种，基金管理人在履行适当程序后，可以将其纳入投资范围。</w:t>
            </w:r>
          </w:p>
          <w:p w14:paraId="68B6BBE2">
            <w:pPr>
              <w:ind w:firstLine="420"/>
              <w:jc w:val="left"/>
              <w:rPr>
                <w:rFonts w:ascii="仿宋_GB2312" w:eastAsia="仿宋_GB2312"/>
                <w:szCs w:val="21"/>
              </w:rPr>
            </w:pPr>
            <w:r>
              <w:rPr>
                <w:rFonts w:hint="eastAsia" w:ascii="仿宋_GB2312" w:eastAsia="仿宋_GB2312"/>
                <w:szCs w:val="21"/>
              </w:rPr>
              <w:t>本基金的投资组合比例如下：</w:t>
            </w:r>
          </w:p>
          <w:p w14:paraId="0BA18778">
            <w:pPr>
              <w:ind w:firstLine="420"/>
              <w:jc w:val="left"/>
              <w:rPr>
                <w:rFonts w:ascii="仿宋_GB2312" w:eastAsia="仿宋_GB2312"/>
                <w:szCs w:val="21"/>
              </w:rPr>
            </w:pPr>
            <w:r>
              <w:rPr>
                <w:rFonts w:hint="eastAsia" w:ascii="仿宋_GB2312" w:eastAsia="仿宋_GB2312"/>
                <w:szCs w:val="21"/>
              </w:rPr>
              <w:t>本基金在开放期内，对债券等固定收益类资产的投资比例不低于基金资产的80%，其中对信用债券的投资比例不低于固定收益类资产的80%；对股票、权证等非固定收益类资产的投资比例不高于基金资产的20%；其中现金及到期日在一年以内的政府债券的投资比例合计不低于基金资产净值的5%，现金不包括结算备付金、存出保证金和应收申购款等。</w:t>
            </w:r>
          </w:p>
          <w:p w14:paraId="19DC4E85">
            <w:pPr>
              <w:ind w:firstLine="420"/>
              <w:jc w:val="left"/>
              <w:rPr>
                <w:rFonts w:ascii="仿宋_GB2312" w:eastAsia="仿宋_GB2312"/>
                <w:szCs w:val="21"/>
              </w:rPr>
            </w:pPr>
            <w:r>
              <w:rPr>
                <w:rFonts w:hint="eastAsia" w:ascii="仿宋_GB2312" w:eastAsia="仿宋_GB2312"/>
                <w:szCs w:val="21"/>
              </w:rPr>
              <w:t>本基金所指信用债券指金融债（不含政策性金融债）、地方政府债、企业债、公司债、短期融资券、可转换债券及可分离转债、资产支持证券等除国债和中央银行票据之外的、非国家信用的固定收益类金融工具。</w:t>
            </w:r>
          </w:p>
        </w:tc>
      </w:tr>
      <w:tr w14:paraId="49C06626">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14:paraId="32317C38">
            <w:pPr>
              <w:rPr>
                <w:rFonts w:ascii="仿宋_GB2312" w:eastAsia="仿宋_GB2312"/>
                <w:szCs w:val="21"/>
              </w:rPr>
            </w:pPr>
            <w:r>
              <w:rPr>
                <w:rFonts w:hint="eastAsia" w:ascii="仿宋_GB2312" w:eastAsia="仿宋_GB2312"/>
                <w:szCs w:val="21"/>
              </w:rPr>
              <w:t>主要投资策略</w:t>
            </w:r>
          </w:p>
        </w:tc>
        <w:tc>
          <w:tcPr>
            <w:tcW w:w="6525" w:type="dxa"/>
            <w:vAlign w:val="center"/>
          </w:tcPr>
          <w:p w14:paraId="1A7B6055">
            <w:pPr>
              <w:ind w:firstLine="420"/>
              <w:jc w:val="left"/>
              <w:rPr>
                <w:rFonts w:ascii="仿宋_GB2312" w:eastAsia="仿宋_GB2312"/>
                <w:szCs w:val="21"/>
              </w:rPr>
            </w:pPr>
            <w:r>
              <w:rPr>
                <w:rFonts w:hint="eastAsia" w:ascii="仿宋_GB2312" w:eastAsia="仿宋_GB2312"/>
                <w:szCs w:val="21"/>
              </w:rPr>
              <w:t>本基金充分发挥基金管理人的研究优势，将规范化的基本面研究、严谨的信用分析与积极主动的投资风格相结合，在分析和判断宏观经济运行状况和金融市场运行趋势的基础上，动态调整大类金融资产比例，自上而下决定债券组合久期及债券类属配置；在严谨深入的信用分析基础上，综合考量信用债券的信用评级，以及各类债券的流动性、供求关系和收益率水平等，自下而上地精选个券。</w:t>
            </w:r>
          </w:p>
          <w:p w14:paraId="7ECF79F1">
            <w:pPr>
              <w:ind w:firstLine="420"/>
              <w:jc w:val="left"/>
              <w:rPr>
                <w:rFonts w:ascii="仿宋_GB2312" w:eastAsia="仿宋_GB2312"/>
                <w:szCs w:val="21"/>
              </w:rPr>
            </w:pPr>
            <w:r>
              <w:rPr>
                <w:rFonts w:hint="eastAsia" w:ascii="仿宋_GB2312" w:eastAsia="仿宋_GB2312"/>
                <w:szCs w:val="21"/>
              </w:rPr>
              <w:t>同时，本基金也会关注股票一级市场、权证一级市场等其它相关市场存在的投资机会，力争实现基金总体风险收益特征保持不变前提下的基金资产增值最大化。</w:t>
            </w:r>
          </w:p>
          <w:p w14:paraId="23F67F94">
            <w:pPr>
              <w:ind w:firstLine="420"/>
              <w:jc w:val="left"/>
              <w:rPr>
                <w:rFonts w:ascii="仿宋_GB2312" w:eastAsia="仿宋_GB2312"/>
                <w:szCs w:val="21"/>
              </w:rPr>
            </w:pPr>
            <w:r>
              <w:rPr>
                <w:rFonts w:hint="eastAsia" w:ascii="仿宋_GB2312" w:eastAsia="仿宋_GB2312"/>
                <w:szCs w:val="21"/>
              </w:rPr>
              <w:t>1、大类资产配置；2、债券投资策略；3、新股投资策略；4、权证投资策略。</w:t>
            </w:r>
          </w:p>
        </w:tc>
      </w:tr>
      <w:tr w14:paraId="116061C2">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14:paraId="3C83611D">
            <w:pPr>
              <w:rPr>
                <w:rFonts w:ascii="仿宋_GB2312" w:eastAsia="仿宋_GB2312"/>
                <w:szCs w:val="21"/>
              </w:rPr>
            </w:pPr>
            <w:r>
              <w:rPr>
                <w:rFonts w:hint="eastAsia" w:ascii="仿宋_GB2312" w:eastAsia="仿宋_GB2312"/>
                <w:szCs w:val="21"/>
              </w:rPr>
              <w:t>业绩比较基准</w:t>
            </w:r>
          </w:p>
        </w:tc>
        <w:tc>
          <w:tcPr>
            <w:tcW w:w="6525" w:type="dxa"/>
            <w:vAlign w:val="center"/>
          </w:tcPr>
          <w:p w14:paraId="6C336837">
            <w:pPr>
              <w:ind w:firstLine="420"/>
              <w:jc w:val="left"/>
              <w:rPr>
                <w:rFonts w:ascii="仿宋_GB2312" w:eastAsia="仿宋_GB2312"/>
                <w:szCs w:val="21"/>
              </w:rPr>
            </w:pPr>
            <w:r>
              <w:rPr>
                <w:rFonts w:hint="eastAsia" w:ascii="仿宋_GB2312" w:eastAsia="仿宋_GB2312"/>
                <w:szCs w:val="21"/>
              </w:rPr>
              <w:t>80%×中债企业债总全价指数收益率+20%×中债国债总全价指数收益率</w:t>
            </w:r>
          </w:p>
        </w:tc>
      </w:tr>
      <w:tr w14:paraId="1D4B1800">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14:paraId="55EC4779">
            <w:pPr>
              <w:rPr>
                <w:rFonts w:ascii="仿宋_GB2312" w:eastAsia="仿宋_GB2312"/>
                <w:szCs w:val="21"/>
              </w:rPr>
            </w:pPr>
            <w:r>
              <w:rPr>
                <w:rFonts w:hint="eastAsia" w:ascii="仿宋_GB2312" w:eastAsia="仿宋_GB2312"/>
                <w:szCs w:val="21"/>
              </w:rPr>
              <w:t>风险收益特征</w:t>
            </w:r>
          </w:p>
        </w:tc>
        <w:tc>
          <w:tcPr>
            <w:tcW w:w="6525" w:type="dxa"/>
            <w:vAlign w:val="center"/>
          </w:tcPr>
          <w:p w14:paraId="2C136E95">
            <w:pPr>
              <w:ind w:firstLine="420"/>
              <w:jc w:val="left"/>
              <w:rPr>
                <w:rFonts w:ascii="仿宋_GB2312" w:eastAsia="仿宋_GB2312"/>
                <w:szCs w:val="21"/>
              </w:rPr>
            </w:pPr>
            <w:r>
              <w:rPr>
                <w:rFonts w:hint="eastAsia" w:ascii="仿宋_GB2312" w:eastAsia="仿宋_GB2312"/>
                <w:szCs w:val="21"/>
              </w:rPr>
              <w:t>本基金是一只债券型基金，属于证券投资基金中中等风险的品种，其长期平均的预期收益和风险高于货币市场基金，低于混合型基金和股票型基金。根据2017年7月1日施行的《证券期货投资者适当性管理办法》，基金管理人和销售机构已对本基金重新进行风险评级。风险评级行为不改变本基金的实质性风险收益特征。但由于风险等级分类标准的变化，本基金的风险等级表述可能有相应变化，具体风险评级结果应以基金管理人和销售机构提供的评级结果为准。</w:t>
            </w:r>
          </w:p>
        </w:tc>
      </w:tr>
    </w:tbl>
    <w:p w14:paraId="7840AD4E">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详见《交银施罗德信用添利债券证券投资基金（LOF）招募说明书》“基金的投资”。</w:t>
      </w:r>
    </w:p>
    <w:p w14:paraId="1EA581CF">
      <w:pPr>
        <w:jc w:val="left"/>
        <w:rPr>
          <w:rFonts w:ascii="仿宋_GB2312" w:eastAsia="仿宋_GB2312"/>
          <w:b/>
          <w:szCs w:val="21"/>
        </w:rPr>
      </w:pPr>
      <w:r>
        <w:rPr>
          <w:rFonts w:hint="eastAsia" w:ascii="仿宋_GB2312" w:eastAsia="仿宋_GB2312"/>
          <w:b/>
          <w:szCs w:val="21"/>
        </w:rPr>
        <w:t>（二）投资组合资产配置图表/区域配置图表</w:t>
      </w:r>
    </w:p>
    <w:p w14:paraId="146DBAE9">
      <w:pPr>
        <w:ind w:left="420" w:firstLine="420" w:firstLineChars="200"/>
        <w:jc w:val="left"/>
        <w:rPr>
          <w:rFonts w:ascii="仿宋_GB2312" w:eastAsia="仿宋_GB2312"/>
          <w:szCs w:val="21"/>
        </w:rPr>
      </w:pPr>
      <w:r>
        <w:rPr>
          <w:rFonts w:hint="eastAsia" w:ascii="仿宋_GB2312" w:eastAsia="仿宋_GB2312"/>
          <w:szCs w:val="21"/>
        </w:rPr>
        <w:t>无。</w:t>
      </w:r>
    </w:p>
    <w:p w14:paraId="5EFE8694">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14:paraId="3A076448">
      <w:pPr>
        <w:ind w:left="420" w:firstLine="420" w:firstLineChars="200"/>
        <w:jc w:val="left"/>
        <w:rPr>
          <w:rFonts w:ascii="仿宋_GB2312" w:eastAsia="仿宋_GB2312"/>
          <w:szCs w:val="21"/>
        </w:rPr>
      </w:pPr>
      <w:r>
        <w:rPr>
          <w:rFonts w:hint="eastAsia" w:ascii="仿宋_GB2312" w:eastAsia="仿宋_GB2312"/>
          <w:szCs w:val="21"/>
        </w:rPr>
        <w:t>无。</w:t>
      </w:r>
    </w:p>
    <w:p w14:paraId="25A450E7">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14:paraId="623C7F71">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14:paraId="09A7EDE7">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40"/>
        <w:gridCol w:w="2813"/>
        <w:gridCol w:w="1752"/>
        <w:gridCol w:w="2003"/>
      </w:tblGrid>
      <w:tr w14:paraId="20F3F600">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740" w:type="dxa"/>
            <w:vAlign w:val="center"/>
          </w:tcPr>
          <w:p w14:paraId="513693E8">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813" w:type="dxa"/>
            <w:vAlign w:val="center"/>
          </w:tcPr>
          <w:p w14:paraId="3CA8A458">
            <w:pPr>
              <w:rPr>
                <w:rFonts w:ascii="仿宋_GB2312" w:eastAsia="仿宋_GB2312"/>
                <w:szCs w:val="21"/>
              </w:rPr>
            </w:pPr>
            <w:r>
              <w:rPr>
                <w:rFonts w:hint="eastAsia" w:ascii="仿宋_GB2312" w:eastAsia="仿宋_GB2312"/>
                <w:szCs w:val="21"/>
              </w:rPr>
              <w:t>份额（S）或金额（M）/持有期限（N）</w:t>
            </w:r>
          </w:p>
        </w:tc>
        <w:tc>
          <w:tcPr>
            <w:tcW w:w="1752" w:type="dxa"/>
            <w:vAlign w:val="center"/>
          </w:tcPr>
          <w:p w14:paraId="4267826A">
            <w:pPr>
              <w:rPr>
                <w:rFonts w:ascii="仿宋_GB2312" w:eastAsia="仿宋_GB2312"/>
                <w:szCs w:val="21"/>
              </w:rPr>
            </w:pPr>
            <w:r>
              <w:rPr>
                <w:rFonts w:hint="eastAsia" w:ascii="仿宋_GB2312" w:eastAsia="仿宋_GB2312"/>
                <w:szCs w:val="21"/>
              </w:rPr>
              <w:t>收费方式/费率</w:t>
            </w:r>
          </w:p>
        </w:tc>
        <w:tc>
          <w:tcPr>
            <w:tcW w:w="2003" w:type="dxa"/>
            <w:vAlign w:val="center"/>
          </w:tcPr>
          <w:p w14:paraId="57A2407F">
            <w:pPr>
              <w:widowControl/>
              <w:jc w:val="left"/>
              <w:rPr>
                <w:rFonts w:ascii="仿宋_GB2312" w:eastAsia="仿宋_GB2312"/>
                <w:szCs w:val="21"/>
              </w:rPr>
            </w:pPr>
            <w:r>
              <w:rPr>
                <w:rFonts w:hint="eastAsia" w:ascii="仿宋_GB2312" w:hAnsi="宋体" w:eastAsia="仿宋_GB2312" w:cs="宋体"/>
                <w:kern w:val="0"/>
                <w:szCs w:val="21"/>
              </w:rPr>
              <w:t>备注</w:t>
            </w:r>
          </w:p>
        </w:tc>
      </w:tr>
      <w:tr w14:paraId="0957C5F5">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740" w:type="dxa"/>
            <w:vMerge w:val="restart"/>
            <w:vAlign w:val="center"/>
          </w:tcPr>
          <w:p w14:paraId="51064FBC">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813" w:type="dxa"/>
          </w:tcPr>
          <w:p w14:paraId="24B49D5C">
            <w:pPr>
              <w:rPr>
                <w:rFonts w:ascii="仿宋_GB2312" w:eastAsia="仿宋_GB2312"/>
                <w:szCs w:val="21"/>
              </w:rPr>
            </w:pPr>
            <w:r>
              <w:rPr>
                <w:rFonts w:hint="eastAsia" w:ascii="仿宋_GB2312" w:eastAsia="仿宋_GB2312"/>
                <w:szCs w:val="21"/>
              </w:rPr>
              <w:t>N＜7天</w:t>
            </w:r>
          </w:p>
        </w:tc>
        <w:tc>
          <w:tcPr>
            <w:tcW w:w="1752" w:type="dxa"/>
            <w:vAlign w:val="center"/>
          </w:tcPr>
          <w:p w14:paraId="0D96F317">
            <w:pPr>
              <w:rPr>
                <w:rFonts w:ascii="仿宋_GB2312" w:eastAsia="仿宋_GB2312"/>
                <w:szCs w:val="21"/>
              </w:rPr>
            </w:pPr>
            <w:r>
              <w:rPr>
                <w:rFonts w:hint="eastAsia" w:ascii="仿宋_GB2312" w:eastAsia="仿宋_GB2312"/>
                <w:szCs w:val="21"/>
              </w:rPr>
              <w:t>1.5%</w:t>
            </w:r>
          </w:p>
        </w:tc>
        <w:tc>
          <w:tcPr>
            <w:tcW w:w="2003" w:type="dxa"/>
            <w:vAlign w:val="center"/>
          </w:tcPr>
          <w:p w14:paraId="0A673375">
            <w:pPr>
              <w:rPr>
                <w:rFonts w:ascii="仿宋_GB2312" w:eastAsia="仿宋_GB2312"/>
                <w:szCs w:val="21"/>
              </w:rPr>
            </w:pPr>
            <w:r>
              <w:rPr>
                <w:rFonts w:hint="eastAsia" w:ascii="仿宋_GB2312" w:eastAsia="仿宋_GB2312"/>
                <w:szCs w:val="21"/>
              </w:rPr>
              <w:t>个人投资者</w:t>
            </w:r>
          </w:p>
        </w:tc>
      </w:tr>
      <w:tr w14:paraId="5BBFECEB">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740" w:type="dxa"/>
            <w:vMerge w:val="continue"/>
            <w:vAlign w:val="center"/>
          </w:tcPr>
          <w:p w14:paraId="5D94A17A">
            <w:pPr>
              <w:widowControl/>
              <w:jc w:val="left"/>
              <w:rPr>
                <w:rFonts w:ascii="仿宋_GB2312" w:hAnsi="宋体" w:eastAsia="仿宋_GB2312" w:cs="宋体"/>
                <w:kern w:val="0"/>
                <w:szCs w:val="21"/>
              </w:rPr>
            </w:pPr>
          </w:p>
        </w:tc>
        <w:tc>
          <w:tcPr>
            <w:tcW w:w="2813" w:type="dxa"/>
          </w:tcPr>
          <w:p w14:paraId="43AE7BE1">
            <w:pPr>
              <w:rPr>
                <w:rFonts w:ascii="仿宋_GB2312" w:eastAsia="仿宋_GB2312"/>
                <w:szCs w:val="21"/>
              </w:rPr>
            </w:pPr>
            <w:r>
              <w:rPr>
                <w:rFonts w:ascii="仿宋_GB2312" w:eastAsia="仿宋_GB2312"/>
                <w:szCs w:val="21"/>
              </w:rPr>
              <w:t>7</w:t>
            </w:r>
            <w:r>
              <w:rPr>
                <w:rFonts w:hint="eastAsia" w:ascii="仿宋_GB2312" w:eastAsia="仿宋_GB2312"/>
                <w:szCs w:val="21"/>
              </w:rPr>
              <w:t>天≤N</w:t>
            </w:r>
          </w:p>
        </w:tc>
        <w:tc>
          <w:tcPr>
            <w:tcW w:w="1752" w:type="dxa"/>
            <w:vAlign w:val="center"/>
          </w:tcPr>
          <w:p w14:paraId="40595855">
            <w:pPr>
              <w:rPr>
                <w:rFonts w:ascii="仿宋_GB2312" w:eastAsia="仿宋_GB2312"/>
                <w:szCs w:val="21"/>
              </w:rPr>
            </w:pPr>
            <w:r>
              <w:rPr>
                <w:rFonts w:hint="eastAsia" w:ascii="仿宋_GB2312" w:eastAsia="仿宋_GB2312"/>
                <w:szCs w:val="21"/>
              </w:rPr>
              <w:t>0%</w:t>
            </w:r>
          </w:p>
        </w:tc>
        <w:tc>
          <w:tcPr>
            <w:tcW w:w="2003" w:type="dxa"/>
            <w:vAlign w:val="center"/>
          </w:tcPr>
          <w:p w14:paraId="4E8739D8">
            <w:pPr>
              <w:rPr>
                <w:rFonts w:ascii="仿宋_GB2312" w:eastAsia="仿宋_GB2312"/>
                <w:szCs w:val="21"/>
              </w:rPr>
            </w:pPr>
            <w:r>
              <w:rPr>
                <w:rFonts w:hint="eastAsia" w:ascii="仿宋_GB2312" w:eastAsia="仿宋_GB2312"/>
                <w:szCs w:val="21"/>
              </w:rPr>
              <w:t>个人投资者</w:t>
            </w:r>
          </w:p>
        </w:tc>
      </w:tr>
      <w:tr w14:paraId="468D6F30">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740" w:type="dxa"/>
            <w:vMerge w:val="continue"/>
            <w:vAlign w:val="center"/>
          </w:tcPr>
          <w:p w14:paraId="7F4B19E1">
            <w:pPr>
              <w:widowControl/>
              <w:jc w:val="left"/>
              <w:rPr>
                <w:rFonts w:ascii="仿宋_GB2312" w:hAnsi="宋体" w:eastAsia="仿宋_GB2312" w:cs="宋体"/>
                <w:kern w:val="0"/>
                <w:szCs w:val="21"/>
              </w:rPr>
            </w:pPr>
          </w:p>
        </w:tc>
        <w:tc>
          <w:tcPr>
            <w:tcW w:w="2813" w:type="dxa"/>
          </w:tcPr>
          <w:p w14:paraId="172FBAC7">
            <w:pPr>
              <w:rPr>
                <w:rFonts w:ascii="仿宋_GB2312" w:eastAsia="仿宋_GB2312"/>
                <w:szCs w:val="21"/>
              </w:rPr>
            </w:pPr>
            <w:r>
              <w:rPr>
                <w:rFonts w:hint="eastAsia" w:ascii="仿宋_GB2312" w:eastAsia="仿宋_GB2312"/>
                <w:szCs w:val="21"/>
              </w:rPr>
              <w:t>N＜7天</w:t>
            </w:r>
          </w:p>
        </w:tc>
        <w:tc>
          <w:tcPr>
            <w:tcW w:w="1752" w:type="dxa"/>
            <w:vAlign w:val="center"/>
          </w:tcPr>
          <w:p w14:paraId="48A5C18E">
            <w:pPr>
              <w:rPr>
                <w:rFonts w:ascii="仿宋_GB2312" w:eastAsia="仿宋_GB2312"/>
                <w:szCs w:val="21"/>
              </w:rPr>
            </w:pPr>
            <w:r>
              <w:rPr>
                <w:rFonts w:hint="eastAsia" w:ascii="仿宋_GB2312" w:eastAsia="仿宋_GB2312"/>
                <w:szCs w:val="21"/>
              </w:rPr>
              <w:t>1.5%</w:t>
            </w:r>
          </w:p>
        </w:tc>
        <w:tc>
          <w:tcPr>
            <w:tcW w:w="2003" w:type="dxa"/>
            <w:vAlign w:val="center"/>
          </w:tcPr>
          <w:p w14:paraId="620B9F19">
            <w:pPr>
              <w:rPr>
                <w:rFonts w:ascii="仿宋_GB2312" w:eastAsia="仿宋_GB2312"/>
                <w:szCs w:val="21"/>
              </w:rPr>
            </w:pPr>
            <w:r>
              <w:rPr>
                <w:rFonts w:hint="eastAsia" w:ascii="仿宋_GB2312" w:eastAsia="仿宋_GB2312"/>
                <w:szCs w:val="21"/>
              </w:rPr>
              <w:t>机构投资者</w:t>
            </w:r>
          </w:p>
        </w:tc>
      </w:tr>
      <w:tr w14:paraId="266A21F8">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740" w:type="dxa"/>
            <w:vMerge w:val="continue"/>
            <w:vAlign w:val="center"/>
          </w:tcPr>
          <w:p w14:paraId="3B42595E">
            <w:pPr>
              <w:widowControl/>
              <w:jc w:val="left"/>
              <w:rPr>
                <w:rFonts w:ascii="仿宋_GB2312" w:hAnsi="宋体" w:eastAsia="仿宋_GB2312" w:cs="宋体"/>
                <w:kern w:val="0"/>
                <w:szCs w:val="21"/>
              </w:rPr>
            </w:pPr>
          </w:p>
        </w:tc>
        <w:tc>
          <w:tcPr>
            <w:tcW w:w="2813" w:type="dxa"/>
          </w:tcPr>
          <w:p w14:paraId="15B97955">
            <w:pPr>
              <w:rPr>
                <w:rFonts w:ascii="仿宋_GB2312" w:eastAsia="仿宋_GB2312"/>
                <w:szCs w:val="21"/>
              </w:rPr>
            </w:pPr>
            <w:r>
              <w:rPr>
                <w:rFonts w:hint="eastAsia" w:ascii="仿宋_GB2312" w:eastAsia="仿宋_GB2312"/>
                <w:szCs w:val="21"/>
              </w:rPr>
              <w:t>7天≤N＜30天</w:t>
            </w:r>
          </w:p>
        </w:tc>
        <w:tc>
          <w:tcPr>
            <w:tcW w:w="1752" w:type="dxa"/>
            <w:vAlign w:val="center"/>
          </w:tcPr>
          <w:p w14:paraId="69B92C34">
            <w:pPr>
              <w:rPr>
                <w:rFonts w:ascii="仿宋_GB2312" w:eastAsia="仿宋_GB2312"/>
                <w:szCs w:val="21"/>
              </w:rPr>
            </w:pPr>
            <w:r>
              <w:rPr>
                <w:rFonts w:hint="eastAsia" w:ascii="仿宋_GB2312" w:eastAsia="仿宋_GB2312"/>
                <w:szCs w:val="21"/>
              </w:rPr>
              <w:t>1%</w:t>
            </w:r>
          </w:p>
        </w:tc>
        <w:tc>
          <w:tcPr>
            <w:tcW w:w="2003" w:type="dxa"/>
            <w:vAlign w:val="center"/>
          </w:tcPr>
          <w:p w14:paraId="420AD946">
            <w:pPr>
              <w:rPr>
                <w:rFonts w:ascii="仿宋_GB2312" w:eastAsia="仿宋_GB2312"/>
                <w:szCs w:val="21"/>
              </w:rPr>
            </w:pPr>
            <w:r>
              <w:rPr>
                <w:rFonts w:hint="eastAsia" w:ascii="仿宋_GB2312" w:eastAsia="仿宋_GB2312"/>
                <w:szCs w:val="21"/>
              </w:rPr>
              <w:t>机构投资者</w:t>
            </w:r>
          </w:p>
        </w:tc>
      </w:tr>
      <w:tr w14:paraId="54545E74">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740" w:type="dxa"/>
            <w:vMerge w:val="continue"/>
            <w:vAlign w:val="center"/>
          </w:tcPr>
          <w:p w14:paraId="57E7779E">
            <w:pPr>
              <w:widowControl/>
              <w:jc w:val="left"/>
              <w:rPr>
                <w:rFonts w:ascii="仿宋_GB2312" w:hAnsi="宋体" w:eastAsia="仿宋_GB2312" w:cs="宋体"/>
                <w:kern w:val="0"/>
                <w:szCs w:val="21"/>
              </w:rPr>
            </w:pPr>
          </w:p>
        </w:tc>
        <w:tc>
          <w:tcPr>
            <w:tcW w:w="2813" w:type="dxa"/>
          </w:tcPr>
          <w:p w14:paraId="5DEC5F00">
            <w:pPr>
              <w:rPr>
                <w:rFonts w:ascii="仿宋_GB2312" w:eastAsia="仿宋_GB2312"/>
                <w:szCs w:val="21"/>
              </w:rPr>
            </w:pPr>
            <w:r>
              <w:rPr>
                <w:rFonts w:hint="eastAsia" w:ascii="仿宋_GB2312" w:eastAsia="仿宋_GB2312"/>
                <w:szCs w:val="21"/>
              </w:rPr>
              <w:t>30天≤N</w:t>
            </w:r>
          </w:p>
        </w:tc>
        <w:tc>
          <w:tcPr>
            <w:tcW w:w="1752" w:type="dxa"/>
            <w:vAlign w:val="center"/>
          </w:tcPr>
          <w:p w14:paraId="1A38F6EB">
            <w:pPr>
              <w:rPr>
                <w:rFonts w:ascii="仿宋_GB2312" w:eastAsia="仿宋_GB2312"/>
                <w:szCs w:val="21"/>
              </w:rPr>
            </w:pPr>
            <w:r>
              <w:rPr>
                <w:rFonts w:hint="eastAsia" w:ascii="仿宋_GB2312" w:eastAsia="仿宋_GB2312"/>
                <w:szCs w:val="21"/>
              </w:rPr>
              <w:t>0%</w:t>
            </w:r>
          </w:p>
        </w:tc>
        <w:tc>
          <w:tcPr>
            <w:tcW w:w="2003" w:type="dxa"/>
            <w:vAlign w:val="center"/>
          </w:tcPr>
          <w:p w14:paraId="0AB685FE">
            <w:pPr>
              <w:rPr>
                <w:rFonts w:ascii="仿宋_GB2312" w:eastAsia="仿宋_GB2312"/>
                <w:szCs w:val="21"/>
              </w:rPr>
            </w:pPr>
            <w:r>
              <w:rPr>
                <w:rFonts w:hint="eastAsia" w:ascii="仿宋_GB2312" w:eastAsia="仿宋_GB2312"/>
                <w:szCs w:val="21"/>
              </w:rPr>
              <w:t>机构投资者</w:t>
            </w:r>
          </w:p>
        </w:tc>
      </w:tr>
    </w:tbl>
    <w:p w14:paraId="48C66C55">
      <w:pPr>
        <w:jc w:val="left"/>
        <w:rPr>
          <w:rFonts w:ascii="仿宋_GB2312" w:eastAsia="仿宋_GB2312"/>
          <w:szCs w:val="21"/>
        </w:rPr>
      </w:pPr>
      <w:r>
        <w:rPr>
          <w:rFonts w:hint="eastAsia" w:ascii="仿宋_GB2312" w:eastAsia="仿宋_GB2312"/>
          <w:szCs w:val="21"/>
        </w:rPr>
        <w:t>注：1、本基金对持续持有期少于7日的投资人收取1.5%的赎回费，请投资人予以关注。 2、销售机构若有其他费率优惠请见基金管理人或其他销售机构的有关公告或通知。</w:t>
      </w:r>
    </w:p>
    <w:p w14:paraId="50B4E36D">
      <w:pPr>
        <w:jc w:val="left"/>
        <w:rPr>
          <w:rFonts w:ascii="仿宋_GB2312" w:eastAsia="仿宋_GB2312"/>
          <w:b/>
          <w:szCs w:val="21"/>
        </w:rPr>
      </w:pPr>
      <w:r>
        <w:rPr>
          <w:rFonts w:hint="eastAsia" w:ascii="仿宋_GB2312" w:eastAsia="仿宋_GB2312"/>
          <w:b/>
          <w:szCs w:val="21"/>
        </w:rPr>
        <w:t>（二）基金运作相关费用</w:t>
      </w:r>
    </w:p>
    <w:p w14:paraId="5B6A8D55">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14:paraId="3CBBA940">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14:paraId="76D0B978">
            <w:pPr>
              <w:rPr>
                <w:rFonts w:ascii="仿宋_GB2312" w:eastAsia="仿宋_GB2312"/>
                <w:b/>
                <w:szCs w:val="21"/>
              </w:rPr>
            </w:pPr>
            <w:r>
              <w:rPr>
                <w:rFonts w:hint="eastAsia" w:ascii="仿宋_GB2312" w:eastAsia="仿宋_GB2312"/>
                <w:b/>
                <w:szCs w:val="21"/>
              </w:rPr>
              <w:t>费用类别</w:t>
            </w:r>
          </w:p>
        </w:tc>
        <w:tc>
          <w:tcPr>
            <w:tcW w:w="5958" w:type="dxa"/>
            <w:vAlign w:val="center"/>
          </w:tcPr>
          <w:p w14:paraId="1AB66285">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14:paraId="19CD88BF">
            <w:pPr>
              <w:rPr>
                <w:rFonts w:ascii="仿宋" w:hAnsi="仿宋" w:eastAsia="仿宋" w:cs="仿宋"/>
                <w:b/>
                <w:sz w:val="24"/>
                <w:szCs w:val="24"/>
              </w:rPr>
            </w:pPr>
            <w:r>
              <w:rPr>
                <w:rFonts w:hint="eastAsia" w:ascii="仿宋" w:hAnsi="仿宋" w:eastAsia="仿宋" w:cs="仿宋"/>
                <w:b/>
                <w:sz w:val="24"/>
                <w:szCs w:val="24"/>
              </w:rPr>
              <w:t>收取方</w:t>
            </w:r>
          </w:p>
        </w:tc>
      </w:tr>
      <w:tr w14:paraId="03E5C500">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14:paraId="301557F1">
            <w:pPr>
              <w:rPr>
                <w:rFonts w:ascii="仿宋_GB2312" w:eastAsia="仿宋_GB2312"/>
                <w:szCs w:val="21"/>
              </w:rPr>
            </w:pPr>
            <w:r>
              <w:rPr>
                <w:rFonts w:hint="eastAsia" w:ascii="仿宋_GB2312" w:eastAsia="仿宋_GB2312"/>
                <w:szCs w:val="21"/>
              </w:rPr>
              <w:t>管理费</w:t>
            </w:r>
          </w:p>
        </w:tc>
        <w:tc>
          <w:tcPr>
            <w:tcW w:w="5958" w:type="dxa"/>
            <w:vAlign w:val="center"/>
          </w:tcPr>
          <w:p w14:paraId="19832F25">
            <w:pPr>
              <w:rPr>
                <w:rFonts w:ascii="仿宋_GB2312" w:eastAsia="仿宋_GB2312"/>
                <w:szCs w:val="21"/>
              </w:rPr>
            </w:pPr>
            <w:r>
              <w:rPr>
                <w:rFonts w:hint="eastAsia" w:ascii="仿宋_GB2312" w:eastAsia="仿宋_GB2312"/>
                <w:szCs w:val="21"/>
              </w:rPr>
              <w:t>0.60%</w:t>
            </w:r>
          </w:p>
        </w:tc>
        <w:tc>
          <w:tcPr>
            <w:tcW w:w="3078" w:type="dxa"/>
          </w:tcPr>
          <w:p w14:paraId="2ACD7949">
            <w:pPr>
              <w:rPr>
                <w:rFonts w:ascii="仿宋_GB2312" w:eastAsia="仿宋_GB2312"/>
                <w:szCs w:val="21"/>
              </w:rPr>
            </w:pPr>
            <w:r>
              <w:rPr>
                <w:rFonts w:hint="eastAsia" w:ascii="仿宋_GB2312" w:eastAsia="仿宋_GB2312"/>
                <w:szCs w:val="21"/>
              </w:rPr>
              <w:t>基金管理人和销售机构</w:t>
            </w:r>
          </w:p>
        </w:tc>
      </w:tr>
      <w:tr w14:paraId="3032402A">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14:paraId="1C9BB367">
            <w:pPr>
              <w:rPr>
                <w:rFonts w:ascii="仿宋_GB2312" w:eastAsia="仿宋_GB2312"/>
                <w:szCs w:val="21"/>
              </w:rPr>
            </w:pPr>
            <w:r>
              <w:rPr>
                <w:rFonts w:hint="eastAsia" w:ascii="仿宋_GB2312" w:eastAsia="仿宋_GB2312"/>
                <w:szCs w:val="21"/>
              </w:rPr>
              <w:t>托管费</w:t>
            </w:r>
          </w:p>
        </w:tc>
        <w:tc>
          <w:tcPr>
            <w:tcW w:w="5958" w:type="dxa"/>
            <w:vAlign w:val="center"/>
          </w:tcPr>
          <w:p w14:paraId="487E71A9">
            <w:pPr>
              <w:rPr>
                <w:rFonts w:ascii="仿宋_GB2312" w:eastAsia="仿宋_GB2312"/>
                <w:szCs w:val="21"/>
              </w:rPr>
            </w:pPr>
            <w:r>
              <w:rPr>
                <w:rFonts w:hint="eastAsia" w:ascii="仿宋_GB2312" w:eastAsia="仿宋_GB2312"/>
                <w:szCs w:val="21"/>
              </w:rPr>
              <w:t>0.20%</w:t>
            </w:r>
          </w:p>
        </w:tc>
        <w:tc>
          <w:tcPr>
            <w:tcW w:w="3078" w:type="dxa"/>
          </w:tcPr>
          <w:p w14:paraId="5E85CF64">
            <w:pPr>
              <w:rPr>
                <w:rFonts w:ascii="仿宋_GB2312" w:eastAsia="仿宋_GB2312"/>
                <w:szCs w:val="21"/>
              </w:rPr>
            </w:pPr>
            <w:r>
              <w:rPr>
                <w:rFonts w:hint="eastAsia" w:ascii="仿宋_GB2312" w:eastAsia="仿宋_GB2312"/>
                <w:szCs w:val="21"/>
              </w:rPr>
              <w:t>基金托管人</w:t>
            </w:r>
          </w:p>
        </w:tc>
      </w:tr>
      <w:tr w14:paraId="52ACD3DE">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14:paraId="3862DD71">
            <w:pPr>
              <w:jc w:val="left"/>
              <w:rPr>
                <w:rFonts w:ascii="仿宋_GB2312" w:eastAsia="仿宋_GB2312"/>
                <w:szCs w:val="21"/>
              </w:rPr>
            </w:pPr>
            <w:r>
              <w:rPr>
                <w:rFonts w:hint="eastAsia" w:ascii="仿宋_GB2312" w:eastAsia="仿宋_GB2312"/>
                <w:szCs w:val="21"/>
              </w:rPr>
              <w:t>销售服务费</w:t>
            </w:r>
          </w:p>
        </w:tc>
        <w:tc>
          <w:tcPr>
            <w:tcW w:w="3080" w:type="dxa"/>
            <w:vAlign w:val="center"/>
          </w:tcPr>
          <w:p w14:paraId="3337DBC0">
            <w:pPr>
              <w:rPr>
                <w:rFonts w:ascii="仿宋_GB2312" w:eastAsia="仿宋_GB2312"/>
                <w:szCs w:val="21"/>
              </w:rPr>
            </w:pPr>
            <w:r>
              <w:rPr>
                <w:rFonts w:hint="eastAsia" w:ascii="仿宋_GB2312" w:eastAsia="仿宋_GB2312"/>
                <w:szCs w:val="21"/>
              </w:rPr>
              <w:t>0.10%</w:t>
            </w:r>
          </w:p>
        </w:tc>
        <w:tc>
          <w:tcPr>
            <w:tcW w:w="3078" w:type="dxa"/>
          </w:tcPr>
          <w:p w14:paraId="1945FAB9">
            <w:pPr>
              <w:rPr>
                <w:rFonts w:ascii="仿宋_GB2312" w:eastAsia="仿宋_GB2312"/>
                <w:szCs w:val="21"/>
              </w:rPr>
            </w:pPr>
            <w:r>
              <w:rPr>
                <w:rFonts w:hint="eastAsia" w:ascii="仿宋_GB2312" w:eastAsia="仿宋_GB2312"/>
                <w:szCs w:val="21"/>
              </w:rPr>
              <w:t>销售机构</w:t>
            </w:r>
          </w:p>
        </w:tc>
      </w:tr>
      <w:tr w14:paraId="31DBD1D3">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14:paraId="3D5ADA24">
            <w:pPr>
              <w:jc w:val="left"/>
              <w:rPr>
                <w:rFonts w:ascii="仿宋_GB2312" w:eastAsia="仿宋_GB2312"/>
                <w:szCs w:val="21"/>
              </w:rPr>
            </w:pPr>
            <w:r>
              <w:rPr>
                <w:rFonts w:hint="eastAsia" w:ascii="仿宋_GB2312" w:eastAsia="仿宋_GB2312"/>
                <w:szCs w:val="21"/>
              </w:rPr>
              <w:t>审计费用</w:t>
            </w:r>
          </w:p>
        </w:tc>
        <w:tc>
          <w:tcPr>
            <w:tcW w:w="3080" w:type="dxa"/>
            <w:vAlign w:val="center"/>
          </w:tcPr>
          <w:p w14:paraId="27D07C61">
            <w:pPr>
              <w:rPr>
                <w:rFonts w:ascii="仿宋_GB2312" w:eastAsia="仿宋_GB2312"/>
                <w:szCs w:val="21"/>
              </w:rPr>
            </w:pPr>
            <w:r>
              <w:rPr>
                <w:rFonts w:hint="eastAsia" w:ascii="仿宋_GB2312" w:eastAsia="仿宋_GB2312"/>
                <w:szCs w:val="21"/>
              </w:rPr>
              <w:t>50000.00</w:t>
            </w:r>
          </w:p>
        </w:tc>
        <w:tc>
          <w:tcPr>
            <w:tcW w:w="3078" w:type="dxa"/>
          </w:tcPr>
          <w:p w14:paraId="7795FCA0">
            <w:pPr>
              <w:rPr>
                <w:rFonts w:ascii="仿宋_GB2312" w:eastAsia="仿宋_GB2312"/>
                <w:szCs w:val="21"/>
              </w:rPr>
            </w:pPr>
            <w:r>
              <w:rPr>
                <w:rFonts w:hint="eastAsia" w:ascii="仿宋_GB2312" w:eastAsia="仿宋_GB2312"/>
                <w:szCs w:val="21"/>
              </w:rPr>
              <w:t>会计师事务所</w:t>
            </w:r>
          </w:p>
        </w:tc>
      </w:tr>
      <w:tr w14:paraId="1AE9AA14">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14:paraId="0D37ED5A">
            <w:pPr>
              <w:jc w:val="left"/>
              <w:rPr>
                <w:rFonts w:ascii="仿宋_GB2312" w:eastAsia="仿宋_GB2312"/>
                <w:szCs w:val="21"/>
              </w:rPr>
            </w:pPr>
            <w:r>
              <w:rPr>
                <w:rFonts w:hint="eastAsia" w:ascii="仿宋_GB2312" w:eastAsia="仿宋_GB2312"/>
                <w:szCs w:val="21"/>
              </w:rPr>
              <w:t>信息披露费</w:t>
            </w:r>
          </w:p>
        </w:tc>
        <w:tc>
          <w:tcPr>
            <w:tcW w:w="3080" w:type="dxa"/>
            <w:vAlign w:val="center"/>
          </w:tcPr>
          <w:p w14:paraId="6638217D">
            <w:pPr>
              <w:rPr>
                <w:rFonts w:ascii="仿宋_GB2312" w:eastAsia="仿宋_GB2312"/>
                <w:szCs w:val="21"/>
              </w:rPr>
            </w:pPr>
            <w:r>
              <w:rPr>
                <w:rFonts w:hint="eastAsia" w:ascii="仿宋_GB2312" w:eastAsia="仿宋_GB2312"/>
                <w:szCs w:val="21"/>
              </w:rPr>
              <w:t>120000.00</w:t>
            </w:r>
          </w:p>
        </w:tc>
        <w:tc>
          <w:tcPr>
            <w:tcW w:w="3078" w:type="dxa"/>
          </w:tcPr>
          <w:p w14:paraId="53D6C42D">
            <w:pPr>
              <w:rPr>
                <w:rFonts w:ascii="仿宋_GB2312" w:eastAsia="仿宋_GB2312"/>
                <w:szCs w:val="21"/>
              </w:rPr>
            </w:pPr>
            <w:r>
              <w:rPr>
                <w:rFonts w:hint="eastAsia" w:ascii="仿宋_GB2312" w:eastAsia="仿宋_GB2312"/>
                <w:szCs w:val="21"/>
              </w:rPr>
              <w:t>规定披露报刊</w:t>
            </w:r>
          </w:p>
        </w:tc>
      </w:tr>
      <w:tr w14:paraId="4DE9B308">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14:paraId="4CAD60A6">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14:paraId="7D6CC0B1">
            <w:pPr>
              <w:rPr>
                <w:rFonts w:ascii="仿宋_GB2312" w:eastAsia="仿宋_GB2312"/>
                <w:szCs w:val="21"/>
              </w:rPr>
            </w:pPr>
            <w:r>
              <w:rPr>
                <w:rFonts w:hint="eastAsia" w:ascii="仿宋_GB2312" w:eastAsia="仿宋_GB2312"/>
                <w:szCs w:val="21"/>
              </w:rPr>
              <w:t>-</w:t>
            </w:r>
          </w:p>
        </w:tc>
        <w:tc>
          <w:tcPr>
            <w:tcW w:w="3078" w:type="dxa"/>
          </w:tcPr>
          <w:p w14:paraId="45F67557">
            <w:pPr>
              <w:rPr>
                <w:rFonts w:ascii="仿宋_GB2312" w:eastAsia="仿宋_GB2312"/>
                <w:szCs w:val="21"/>
              </w:rPr>
            </w:pPr>
            <w:r>
              <w:rPr>
                <w:rFonts w:hint="eastAsia" w:ascii="仿宋_GB2312" w:eastAsia="仿宋_GB2312"/>
                <w:szCs w:val="21"/>
              </w:rPr>
              <w:t>指数编制公司</w:t>
            </w:r>
          </w:p>
        </w:tc>
      </w:tr>
      <w:tr w14:paraId="09AFF510">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14:paraId="0A10DBBC">
            <w:pPr>
              <w:rPr>
                <w:rFonts w:ascii="仿宋_GB2312" w:eastAsia="仿宋_GB2312"/>
                <w:szCs w:val="21"/>
              </w:rPr>
            </w:pPr>
            <w:r>
              <w:rPr>
                <w:rFonts w:hint="eastAsia" w:ascii="仿宋_GB2312" w:eastAsia="仿宋_GB2312"/>
                <w:szCs w:val="21"/>
              </w:rPr>
              <w:t>其他费用</w:t>
            </w:r>
          </w:p>
        </w:tc>
        <w:tc>
          <w:tcPr>
            <w:tcW w:w="3080" w:type="dxa"/>
            <w:vAlign w:val="center"/>
          </w:tcPr>
          <w:p w14:paraId="3FC14BED">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14:paraId="7EDE98B5">
            <w:pPr>
              <w:rPr>
                <w:rFonts w:ascii="仿宋_GB2312" w:eastAsia="仿宋_GB2312"/>
                <w:szCs w:val="21"/>
              </w:rPr>
            </w:pPr>
          </w:p>
        </w:tc>
      </w:tr>
    </w:tbl>
    <w:p w14:paraId="3C6C8DF7">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1、通过直销机构申购的C类基金份额，计提的销售服务费将在投资人赎回相应基金份额或基金合同终止时随赎回款或清算款一并返还给投资人；通过其他销售机构申购的C类基金份额，持续持有超过一年后计提的销售服务费将在投资人赎回相应基金份额或基金合同终止时随赎回款或清算款一并返还给投资人。2、本基金交易证券、基金等产生的费用和税负，按实际发生额从基金资产扣除。上表中披露的年费用金额为基金整体承担费用，非单个份额类别费用，且年金额为预估值，最终实际金额以基金定期报告披露为准。</w:t>
      </w:r>
    </w:p>
    <w:p w14:paraId="3ABDD9A5">
      <w:pPr>
        <w:jc w:val="left"/>
        <w:rPr>
          <w:rFonts w:ascii="仿宋" w:hAnsi="仿宋" w:eastAsia="仿宋" w:cs="仿宋"/>
          <w:b/>
          <w:sz w:val="24"/>
          <w:szCs w:val="24"/>
        </w:rPr>
      </w:pPr>
      <w:r>
        <w:rPr>
          <w:rFonts w:hint="eastAsia" w:ascii="仿宋" w:hAnsi="仿宋" w:eastAsia="仿宋" w:cs="仿宋"/>
          <w:b/>
          <w:szCs w:val="21"/>
        </w:rPr>
        <w:t>（三）基金运作综合费用测算</w:t>
      </w:r>
    </w:p>
    <w:p w14:paraId="785B25FC">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14:paraId="5F06C34E">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14:paraId="1FADDC2B">
            <w:pPr>
              <w:rPr>
                <w:rFonts w:ascii="仿宋_GB2312" w:eastAsia="仿宋_GB2312"/>
                <w:b/>
                <w:szCs w:val="21"/>
              </w:rPr>
            </w:pPr>
          </w:p>
        </w:tc>
        <w:tc>
          <w:tcPr>
            <w:tcW w:w="5342" w:type="dxa"/>
          </w:tcPr>
          <w:p w14:paraId="5298495C">
            <w:pPr>
              <w:rPr>
                <w:rFonts w:ascii="仿宋" w:hAnsi="仿宋" w:eastAsia="仿宋" w:cs="仿宋"/>
                <w:b/>
                <w:szCs w:val="21"/>
              </w:rPr>
            </w:pPr>
            <w:r>
              <w:rPr>
                <w:rFonts w:hint="eastAsia" w:ascii="仿宋" w:hAnsi="仿宋" w:eastAsia="仿宋" w:cs="仿宋"/>
                <w:b/>
                <w:sz w:val="24"/>
                <w:szCs w:val="24"/>
              </w:rPr>
              <w:t>基金运作综合费率（年化）</w:t>
            </w:r>
          </w:p>
        </w:tc>
      </w:tr>
      <w:tr w14:paraId="5641CC4D">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14:paraId="1379B19B">
            <w:pPr>
              <w:rPr>
                <w:rFonts w:ascii="仿宋_GB2312" w:eastAsia="仿宋_GB2312"/>
                <w:b/>
                <w:szCs w:val="21"/>
              </w:rPr>
            </w:pPr>
          </w:p>
        </w:tc>
        <w:tc>
          <w:tcPr>
            <w:tcW w:w="3080" w:type="dxa"/>
            <w:vAlign w:val="center"/>
          </w:tcPr>
          <w:p w14:paraId="5DF01E3F">
            <w:pPr>
              <w:rPr>
                <w:rFonts w:ascii="仿宋_GB2312" w:eastAsia="仿宋_GB2312"/>
                <w:szCs w:val="21"/>
              </w:rPr>
            </w:pPr>
            <w:r>
              <w:rPr>
                <w:rFonts w:hint="eastAsia" w:ascii="仿宋_GB2312" w:eastAsia="仿宋_GB2312"/>
                <w:szCs w:val="21"/>
              </w:rPr>
              <w:t>0.</w:t>
            </w:r>
            <w:r>
              <w:rPr>
                <w:rFonts w:hint="eastAsia" w:ascii="仿宋_GB2312" w:eastAsia="仿宋_GB2312"/>
                <w:szCs w:val="21"/>
                <w:lang w:val="en-US" w:eastAsia="zh-CN"/>
              </w:rPr>
              <w:t>9</w:t>
            </w:r>
            <w:r>
              <w:rPr>
                <w:rFonts w:hint="eastAsia" w:ascii="仿宋_GB2312" w:eastAsia="仿宋_GB2312"/>
                <w:szCs w:val="21"/>
              </w:rPr>
              <w:t>1%</w:t>
            </w:r>
          </w:p>
        </w:tc>
      </w:tr>
    </w:tbl>
    <w:p w14:paraId="38D6E422">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14:paraId="222D83E0">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14:paraId="12C3D80B">
      <w:pPr>
        <w:jc w:val="left"/>
        <w:rPr>
          <w:rFonts w:ascii="仿宋_GB2312" w:eastAsia="仿宋_GB2312"/>
          <w:b/>
          <w:szCs w:val="21"/>
        </w:rPr>
      </w:pPr>
      <w:r>
        <w:rPr>
          <w:rFonts w:hint="eastAsia" w:ascii="仿宋_GB2312" w:eastAsia="仿宋_GB2312"/>
          <w:b/>
          <w:szCs w:val="21"/>
        </w:rPr>
        <w:t>（一）风险揭示</w:t>
      </w:r>
    </w:p>
    <w:p w14:paraId="14FB50D3">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14:paraId="4903B00D">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14:paraId="03AFD310">
      <w:pPr>
        <w:ind w:firstLine="420"/>
        <w:jc w:val="left"/>
        <w:rPr>
          <w:rFonts w:ascii="仿宋_GB2312" w:eastAsia="仿宋_GB2312"/>
          <w:szCs w:val="21"/>
        </w:rPr>
      </w:pPr>
      <w:r>
        <w:rPr>
          <w:rFonts w:hint="eastAsia" w:ascii="仿宋_GB2312" w:eastAsia="仿宋_GB2312"/>
          <w:szCs w:val="21"/>
        </w:rPr>
        <w:t>基金份额持有人须了解并承受以下风险：</w:t>
      </w:r>
    </w:p>
    <w:p w14:paraId="410432B7">
      <w:pPr>
        <w:ind w:firstLine="420"/>
        <w:jc w:val="left"/>
        <w:rPr>
          <w:rFonts w:ascii="仿宋_GB2312" w:eastAsia="仿宋_GB2312"/>
          <w:szCs w:val="21"/>
        </w:rPr>
      </w:pPr>
      <w:r>
        <w:rPr>
          <w:rFonts w:hint="eastAsia" w:ascii="仿宋_GB2312" w:eastAsia="仿宋_GB2312"/>
          <w:szCs w:val="21"/>
        </w:rPr>
        <w:t>1、市场风险</w:t>
      </w:r>
    </w:p>
    <w:p w14:paraId="46C14165">
      <w:pPr>
        <w:ind w:firstLine="420"/>
        <w:jc w:val="left"/>
        <w:rPr>
          <w:rFonts w:ascii="仿宋_GB2312" w:eastAsia="仿宋_GB2312"/>
          <w:szCs w:val="21"/>
        </w:rPr>
      </w:pPr>
      <w:r>
        <w:rPr>
          <w:rFonts w:hint="eastAsia" w:ascii="仿宋_GB2312" w:eastAsia="仿宋_GB2312"/>
          <w:szCs w:val="21"/>
        </w:rPr>
        <w:t>（1）政策风险、（2）经济周期风险、（3）利率风险、（4）信用风险、（5）购买力风险、（6）债券收益率曲线变动风险、（7）再投资风险、（8）经营风险</w:t>
      </w:r>
    </w:p>
    <w:p w14:paraId="644546DC">
      <w:pPr>
        <w:ind w:firstLine="420"/>
        <w:jc w:val="left"/>
        <w:rPr>
          <w:rFonts w:ascii="仿宋_GB2312" w:eastAsia="仿宋_GB2312"/>
          <w:szCs w:val="21"/>
        </w:rPr>
      </w:pPr>
      <w:r>
        <w:rPr>
          <w:rFonts w:hint="eastAsia" w:ascii="仿宋_GB2312" w:eastAsia="仿宋_GB2312"/>
          <w:szCs w:val="21"/>
        </w:rPr>
        <w:t>2、管理风险</w:t>
      </w:r>
    </w:p>
    <w:p w14:paraId="151610F2">
      <w:pPr>
        <w:ind w:firstLine="420"/>
        <w:jc w:val="left"/>
        <w:rPr>
          <w:rFonts w:ascii="仿宋_GB2312" w:eastAsia="仿宋_GB2312"/>
          <w:szCs w:val="21"/>
        </w:rPr>
      </w:pPr>
      <w:r>
        <w:rPr>
          <w:rFonts w:hint="eastAsia" w:ascii="仿宋_GB2312" w:eastAsia="仿宋_GB2312"/>
          <w:szCs w:val="21"/>
        </w:rPr>
        <w:t>3、流动性风险</w:t>
      </w:r>
    </w:p>
    <w:p w14:paraId="31163075">
      <w:pPr>
        <w:ind w:firstLine="420"/>
        <w:jc w:val="left"/>
        <w:rPr>
          <w:rFonts w:ascii="仿宋_GB2312" w:eastAsia="仿宋_GB2312"/>
          <w:szCs w:val="21"/>
        </w:rPr>
      </w:pPr>
      <w:r>
        <w:rPr>
          <w:rFonts w:hint="eastAsia" w:ascii="仿宋_GB2312" w:eastAsia="仿宋_GB2312"/>
          <w:szCs w:val="21"/>
        </w:rPr>
        <w:t>4、本基金特有的风险</w:t>
      </w:r>
    </w:p>
    <w:p w14:paraId="7878CA10">
      <w:pPr>
        <w:ind w:firstLine="420"/>
        <w:jc w:val="left"/>
        <w:rPr>
          <w:rFonts w:ascii="仿宋_GB2312" w:eastAsia="仿宋_GB2312"/>
          <w:szCs w:val="21"/>
        </w:rPr>
      </w:pPr>
      <w:r>
        <w:rPr>
          <w:rFonts w:hint="eastAsia" w:ascii="仿宋_GB2312" w:eastAsia="仿宋_GB2312"/>
          <w:szCs w:val="21"/>
        </w:rPr>
        <w:t>（1）本基金主要投资于固定收益类资产，其中对信用债券的投资比例不低于固定收益类资产的80%，本基金所指信用债券包括金融债（不含政策性金融债）、地方政府债、企业债、公司债、短期融资券、可转换债券及可分离转债、资产支持证券等除国债和中央银行票据之外的、非国家信用的固定收益类金融工具。由于信用债券发生违约的可能性高于国债，因此本基金面临着更高的信用风险。</w:t>
      </w:r>
    </w:p>
    <w:p w14:paraId="3EE0C22D">
      <w:pPr>
        <w:ind w:firstLine="420"/>
        <w:jc w:val="left"/>
        <w:rPr>
          <w:rFonts w:ascii="仿宋_GB2312" w:eastAsia="仿宋_GB2312"/>
          <w:szCs w:val="21"/>
        </w:rPr>
      </w:pPr>
      <w:r>
        <w:rPr>
          <w:rFonts w:hint="eastAsia" w:ascii="仿宋_GB2312" w:eastAsia="仿宋_GB2312"/>
          <w:szCs w:val="21"/>
        </w:rPr>
        <w:t>（</w:t>
      </w:r>
      <w:r>
        <w:rPr>
          <w:rFonts w:ascii="仿宋_GB2312" w:eastAsia="仿宋_GB2312"/>
          <w:szCs w:val="21"/>
        </w:rPr>
        <w:t>2</w:t>
      </w:r>
      <w:r>
        <w:rPr>
          <w:rFonts w:hint="eastAsia" w:ascii="仿宋_GB2312" w:eastAsia="仿宋_GB2312"/>
          <w:szCs w:val="21"/>
        </w:rPr>
        <w:t>）本基金可投资创业板股票，创业板个股上市后的前五个交易日不设价格涨跌幅限制，第六个交易日开始涨跌幅限制比例为20%。</w:t>
      </w:r>
    </w:p>
    <w:p w14:paraId="4E9F6665">
      <w:pPr>
        <w:ind w:firstLine="420"/>
        <w:jc w:val="left"/>
        <w:rPr>
          <w:rFonts w:ascii="仿宋_GB2312" w:eastAsia="仿宋_GB2312"/>
          <w:szCs w:val="21"/>
        </w:rPr>
      </w:pPr>
      <w:r>
        <w:rPr>
          <w:rFonts w:hint="eastAsia" w:ascii="仿宋_GB2312" w:eastAsia="仿宋_GB2312"/>
          <w:szCs w:val="21"/>
        </w:rPr>
        <w:t>5、本基金法律文件风险收益特征表述与销售机构基金风险评价可能不一致的风险</w:t>
      </w:r>
    </w:p>
    <w:p w14:paraId="0086E990">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14:paraId="6AA3E54D">
      <w:pPr>
        <w:ind w:firstLine="420"/>
        <w:jc w:val="left"/>
        <w:rPr>
          <w:rFonts w:ascii="仿宋_GB2312" w:eastAsia="仿宋_GB2312"/>
          <w:szCs w:val="21"/>
        </w:rPr>
      </w:pPr>
      <w:r>
        <w:rPr>
          <w:rFonts w:hint="eastAsia" w:ascii="仿宋_GB2312" w:eastAsia="仿宋_GB2312"/>
          <w:szCs w:val="21"/>
        </w:rPr>
        <w:t>6、其他风险</w:t>
      </w:r>
    </w:p>
    <w:p w14:paraId="2AC94CDC">
      <w:pPr>
        <w:jc w:val="left"/>
        <w:rPr>
          <w:rFonts w:ascii="仿宋_GB2312" w:eastAsia="仿宋_GB2312"/>
          <w:b/>
          <w:szCs w:val="21"/>
        </w:rPr>
      </w:pPr>
      <w:r>
        <w:rPr>
          <w:rFonts w:hint="eastAsia" w:ascii="仿宋_GB2312" w:eastAsia="仿宋_GB2312"/>
          <w:b/>
          <w:szCs w:val="21"/>
        </w:rPr>
        <w:t>（二）重要提示</w:t>
      </w:r>
    </w:p>
    <w:p w14:paraId="559918B5">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14:paraId="520D7C10">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14:paraId="0253D4FF">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14:paraId="1DF8A4D6">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14:paraId="1A5F5B7A">
      <w:pPr>
        <w:ind w:firstLine="420"/>
        <w:jc w:val="left"/>
        <w:rPr>
          <w:rFonts w:ascii="仿宋_GB2312" w:eastAsia="仿宋_GB2312"/>
          <w:b/>
          <w:bCs/>
          <w:szCs w:val="21"/>
        </w:rPr>
      </w:pPr>
      <w:r>
        <w:rPr>
          <w:rFonts w:hint="eastAsia" w:ascii="仿宋_GB2312" w:eastAsia="仿宋_GB2312"/>
          <w:szCs w:val="21"/>
        </w:rPr>
        <w:t>▲▲</w:t>
      </w:r>
      <w:r>
        <w:rPr>
          <w:rFonts w:hint="eastAsia" w:ascii="仿宋_GB2312" w:eastAsia="仿宋_GB2312"/>
          <w:b/>
          <w:bCs/>
          <w:szCs w:val="21"/>
        </w:rPr>
        <w:t>因基金合同而产生的或与基金合同有关的一切争议，如经友好协商未能解决的，任何一方均有权将争议提交中国国际经济贸易仲裁委员会，按其届时有效的仲裁规则进行仲裁。仲裁地点为北京市。</w:t>
      </w:r>
    </w:p>
    <w:p w14:paraId="13943723">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14:paraId="0140B0E1">
      <w:pPr>
        <w:ind w:firstLine="420"/>
        <w:jc w:val="left"/>
        <w:rPr>
          <w:rFonts w:ascii="仿宋_GB2312" w:eastAsia="仿宋_GB2312"/>
          <w:szCs w:val="21"/>
        </w:rPr>
      </w:pPr>
    </w:p>
    <w:p w14:paraId="6EBBE5F5">
      <w:pPr>
        <w:jc w:val="left"/>
        <w:rPr>
          <w:rFonts w:ascii="仿宋_GB2312" w:eastAsia="仿宋_GB2312"/>
          <w:b/>
          <w:szCs w:val="21"/>
        </w:rPr>
      </w:pPr>
      <w:r>
        <w:rPr>
          <w:rFonts w:hint="eastAsia" w:ascii="仿宋_GB2312" w:eastAsia="仿宋_GB2312"/>
          <w:b/>
          <w:szCs w:val="21"/>
        </w:rPr>
        <w:t>五、其他资料查询方式</w:t>
      </w:r>
    </w:p>
    <w:p w14:paraId="5E0E59AD">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14:paraId="3FA11266">
      <w:pPr>
        <w:ind w:firstLine="420"/>
        <w:jc w:val="left"/>
        <w:rPr>
          <w:rFonts w:ascii="仿宋_GB2312" w:eastAsia="仿宋_GB2312"/>
          <w:szCs w:val="21"/>
        </w:rPr>
      </w:pPr>
      <w:r>
        <w:rPr>
          <w:rFonts w:hint="eastAsia" w:ascii="仿宋_GB2312" w:eastAsia="仿宋_GB2312"/>
          <w:szCs w:val="21"/>
        </w:rPr>
        <w:t>●《交银施罗德信用添利债券证券投资基金（LOF）基金合同》、</w:t>
      </w:r>
    </w:p>
    <w:p w14:paraId="015568B3">
      <w:pPr>
        <w:ind w:firstLine="420"/>
        <w:jc w:val="left"/>
        <w:rPr>
          <w:rFonts w:ascii="仿宋_GB2312" w:eastAsia="仿宋_GB2312"/>
          <w:szCs w:val="21"/>
        </w:rPr>
      </w:pPr>
      <w:r>
        <w:rPr>
          <w:rFonts w:hint="eastAsia" w:ascii="仿宋_GB2312" w:eastAsia="仿宋_GB2312"/>
          <w:szCs w:val="21"/>
        </w:rPr>
        <w:t>《交银施罗德信用添利债券证券投资基金（LOF）托管协议》、</w:t>
      </w:r>
    </w:p>
    <w:p w14:paraId="6B9C7BCF">
      <w:pPr>
        <w:ind w:firstLine="420"/>
        <w:jc w:val="left"/>
        <w:rPr>
          <w:rFonts w:ascii="仿宋_GB2312" w:eastAsia="仿宋_GB2312"/>
          <w:szCs w:val="21"/>
        </w:rPr>
      </w:pPr>
      <w:r>
        <w:rPr>
          <w:rFonts w:hint="eastAsia" w:ascii="仿宋_GB2312" w:eastAsia="仿宋_GB2312"/>
          <w:szCs w:val="21"/>
        </w:rPr>
        <w:t>《交银施罗德信用添利债券证券投资基金（LOF）招募说明书》</w:t>
      </w:r>
    </w:p>
    <w:p w14:paraId="366AC61F">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14:paraId="3C9A3A96">
      <w:pPr>
        <w:ind w:firstLine="420"/>
        <w:jc w:val="left"/>
        <w:rPr>
          <w:rFonts w:ascii="仿宋_GB2312" w:eastAsia="仿宋_GB2312"/>
          <w:szCs w:val="21"/>
        </w:rPr>
      </w:pPr>
      <w:r>
        <w:rPr>
          <w:rFonts w:hint="eastAsia" w:ascii="仿宋_GB2312" w:eastAsia="仿宋_GB2312"/>
          <w:szCs w:val="21"/>
        </w:rPr>
        <w:t>●基金份额净值</w:t>
      </w:r>
    </w:p>
    <w:p w14:paraId="7BC43F0E">
      <w:pPr>
        <w:ind w:firstLine="420"/>
        <w:jc w:val="left"/>
        <w:rPr>
          <w:rFonts w:ascii="仿宋_GB2312" w:eastAsia="仿宋_GB2312"/>
          <w:szCs w:val="21"/>
        </w:rPr>
      </w:pPr>
      <w:r>
        <w:rPr>
          <w:rFonts w:hint="eastAsia" w:ascii="仿宋_GB2312" w:eastAsia="仿宋_GB2312"/>
          <w:szCs w:val="21"/>
        </w:rPr>
        <w:t>●基金销售机构及联系方式</w:t>
      </w:r>
    </w:p>
    <w:p w14:paraId="19D0171B">
      <w:pPr>
        <w:ind w:firstLine="420"/>
        <w:jc w:val="left"/>
        <w:rPr>
          <w:rFonts w:ascii="仿宋_GB2312" w:eastAsia="仿宋_GB2312"/>
          <w:szCs w:val="21"/>
        </w:rPr>
      </w:pPr>
      <w:r>
        <w:rPr>
          <w:rFonts w:hint="eastAsia" w:ascii="仿宋_GB2312" w:eastAsia="仿宋_GB2312"/>
          <w:szCs w:val="21"/>
        </w:rPr>
        <w:t>●其他重要资料</w:t>
      </w:r>
    </w:p>
    <w:p w14:paraId="3BBD6054">
      <w:pPr>
        <w:jc w:val="left"/>
        <w:rPr>
          <w:rFonts w:ascii="仿宋_GB2312" w:eastAsia="仿宋_GB2312"/>
          <w:b/>
          <w:szCs w:val="21"/>
        </w:rPr>
      </w:pPr>
      <w:r>
        <w:rPr>
          <w:rFonts w:hint="eastAsia" w:ascii="仿宋_GB2312" w:eastAsia="仿宋_GB2312"/>
          <w:b/>
          <w:szCs w:val="21"/>
        </w:rPr>
        <w:t>六、其他情况说明</w:t>
      </w:r>
    </w:p>
    <w:p w14:paraId="135C627E">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trackRevisions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338AE"/>
    <w:rsid w:val="00287210"/>
    <w:rsid w:val="002F5DBC"/>
    <w:rsid w:val="00335FE8"/>
    <w:rsid w:val="003E751E"/>
    <w:rsid w:val="00401C56"/>
    <w:rsid w:val="00447692"/>
    <w:rsid w:val="004A275D"/>
    <w:rsid w:val="004D226A"/>
    <w:rsid w:val="0055102A"/>
    <w:rsid w:val="006240B9"/>
    <w:rsid w:val="006A53E7"/>
    <w:rsid w:val="007A64C5"/>
    <w:rsid w:val="00846EFA"/>
    <w:rsid w:val="00880454"/>
    <w:rsid w:val="008A6FA6"/>
    <w:rsid w:val="00902522"/>
    <w:rsid w:val="0090269C"/>
    <w:rsid w:val="009728DC"/>
    <w:rsid w:val="009C0C41"/>
    <w:rsid w:val="009F4EAE"/>
    <w:rsid w:val="00AB59CB"/>
    <w:rsid w:val="00AE4F43"/>
    <w:rsid w:val="00AF7A1E"/>
    <w:rsid w:val="00C0525C"/>
    <w:rsid w:val="00CD7637"/>
    <w:rsid w:val="00D04A15"/>
    <w:rsid w:val="00D373CC"/>
    <w:rsid w:val="00DB319C"/>
    <w:rsid w:val="00E51B6D"/>
    <w:rsid w:val="00F75715"/>
    <w:rsid w:val="00F811C4"/>
    <w:rsid w:val="00FC2918"/>
    <w:rsid w:val="0CFB1039"/>
    <w:rsid w:val="1A2A4D13"/>
    <w:rsid w:val="2C056550"/>
    <w:rsid w:val="47FE1F93"/>
    <w:rsid w:val="4C755FA6"/>
    <w:rsid w:val="4DD41015"/>
    <w:rsid w:val="6A9A3B0C"/>
    <w:rsid w:val="6C6172AE"/>
    <w:rsid w:val="70457B40"/>
    <w:rsid w:val="7FC566F1"/>
    <w:rsid w:val="7FDA5B1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4"/>
    <w:semiHidden/>
    <w:unhideWhenUsed/>
    <w:qFormat/>
    <w:uiPriority w:val="99"/>
    <w:pPr>
      <w:jc w:val="left"/>
    </w:pPr>
  </w:style>
  <w:style w:type="paragraph" w:styleId="3">
    <w:name w:val="Balloon Text"/>
    <w:basedOn w:val="1"/>
    <w:link w:val="16"/>
    <w:semiHidden/>
    <w:unhideWhenUsed/>
    <w:qFormat/>
    <w:uiPriority w:val="99"/>
    <w:rPr>
      <w:sz w:val="18"/>
      <w:szCs w:val="18"/>
    </w:rPr>
  </w:style>
  <w:style w:type="paragraph" w:styleId="4">
    <w:name w:val="footer"/>
    <w:basedOn w:val="1"/>
    <w:link w:val="12"/>
    <w:unhideWhenUsed/>
    <w:qFormat/>
    <w:uiPriority w:val="99"/>
    <w:pPr>
      <w:tabs>
        <w:tab w:val="center" w:pos="4153"/>
        <w:tab w:val="right" w:pos="8306"/>
      </w:tabs>
      <w:snapToGrid w:val="0"/>
      <w:jc w:val="left"/>
    </w:pPr>
    <w:rPr>
      <w:sz w:val="18"/>
      <w:szCs w:val="18"/>
    </w:rPr>
  </w:style>
  <w:style w:type="paragraph" w:styleId="5">
    <w:name w:val="header"/>
    <w:basedOn w:val="1"/>
    <w:link w:val="11"/>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qFormat/>
    <w:uiPriority w:val="99"/>
    <w:rPr>
      <w:b/>
      <w:bCs/>
    </w:rPr>
  </w:style>
  <w:style w:type="table" w:styleId="8">
    <w:name w:val="Table Grid"/>
    <w:basedOn w:val="7"/>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qFormat/>
    <w:uiPriority w:val="99"/>
    <w:rPr>
      <w:sz w:val="21"/>
      <w:szCs w:val="21"/>
    </w:rPr>
  </w:style>
  <w:style w:type="character" w:customStyle="1" w:styleId="11">
    <w:name w:val="页眉 字符"/>
    <w:basedOn w:val="9"/>
    <w:link w:val="5"/>
    <w:qFormat/>
    <w:uiPriority w:val="99"/>
    <w:rPr>
      <w:sz w:val="18"/>
      <w:szCs w:val="18"/>
    </w:rPr>
  </w:style>
  <w:style w:type="character" w:customStyle="1" w:styleId="12">
    <w:name w:val="页脚 字符"/>
    <w:basedOn w:val="9"/>
    <w:link w:val="4"/>
    <w:qFormat/>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字符"/>
    <w:basedOn w:val="9"/>
    <w:link w:val="2"/>
    <w:semiHidden/>
    <w:qFormat/>
    <w:uiPriority w:val="99"/>
  </w:style>
  <w:style w:type="character" w:customStyle="1" w:styleId="15">
    <w:name w:val="批注主题 字符"/>
    <w:basedOn w:val="14"/>
    <w:link w:val="6"/>
    <w:semiHidden/>
    <w:qFormat/>
    <w:uiPriority w:val="99"/>
    <w:rPr>
      <w:b/>
      <w:bCs/>
    </w:rPr>
  </w:style>
  <w:style w:type="character" w:customStyle="1" w:styleId="16">
    <w:name w:val="批注框文本 字符"/>
    <w:basedOn w:val="9"/>
    <w:link w:val="3"/>
    <w:semiHidden/>
    <w:qFormat/>
    <w:uiPriority w:val="99"/>
    <w:rPr>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4</Pages>
  <Words>737</Words>
  <Characters>4207</Characters>
  <Lines>35</Lines>
  <Paragraphs>9</Paragraphs>
  <TotalTime>6</TotalTime>
  <ScaleCrop>false</ScaleCrop>
  <LinksUpToDate>false</LinksUpToDate>
  <CharactersWithSpaces>4935</CharactersWithSpaces>
  <Application>WPS Office_12.8.2.19823_F1E327BC-269C-435d-A152-05C5408002CA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2025-06-30T07:37:00Z</dcterms:created>
  <dc:creator>Cc</dc:creator>
  <cp:lastModifiedBy>刘晨晨</cp:lastModifiedBy>
  <dcterms:modified xsi:type="dcterms:W3CDTF">2026-05-20T05:43:43Z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2052-12.8.2.19823</vt:lpwstr>
  </property>
  <property fmtid="{D5CDD505-2E9C-101B-9397-08002B2CF9AE}" pid="3" name="ICV">
    <vt:lpwstr>BDBD2D48768A454AA3660E2BC01C5759</vt:lpwstr>
  </property>
</Properties>
</file>