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1A3543">
      <w:pPr>
        <w:rPr>
          <w:sz w:val="32"/>
        </w:rPr>
      </w:pPr>
    </w:p>
    <w:p w:rsidR="00C92FC0" w:rsidRPr="00EB07BC" w:rsidRDefault="001A3543">
      <w:pPr>
        <w:rPr>
          <w:sz w:val="32"/>
        </w:rPr>
      </w:pPr>
    </w:p>
    <w:p w:rsidR="00C92FC0" w:rsidRPr="00EB07BC" w:rsidRDefault="001A3543">
      <w:pPr>
        <w:rPr>
          <w:sz w:val="32"/>
        </w:rPr>
      </w:pPr>
    </w:p>
    <w:p w:rsidR="00D50B26" w:rsidRDefault="00D50B2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50B26" w:rsidRDefault="00D50B2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50B26" w:rsidRDefault="00D50B2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50B26" w:rsidRDefault="00BB431D">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交银施罗德定期支付月月丰债券型证券投资基金</w:t>
      </w:r>
    </w:p>
    <w:p w:rsidR="00D50B26" w:rsidRDefault="00BB431D">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50B26" w:rsidRDefault="00D50B26">
      <w:pPr>
        <w:snapToGrid w:val="0"/>
        <w:spacing w:line="360" w:lineRule="auto"/>
        <w:jc w:val="center"/>
        <w:rPr>
          <w:rFonts w:ascii="宋体" w:hAnsi="宋体"/>
          <w:b/>
          <w:sz w:val="30"/>
          <w:szCs w:val="30"/>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BB431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50B26" w:rsidRDefault="00BB431D">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D50B2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50B26" w:rsidRDefault="00BB431D">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D50B26" w:rsidRDefault="00D50B26">
      <w:pPr>
        <w:autoSpaceDE w:val="0"/>
        <w:autoSpaceDN w:val="0"/>
        <w:adjustRightInd w:val="0"/>
        <w:snapToGrid w:val="0"/>
        <w:spacing w:line="360" w:lineRule="auto"/>
        <w:ind w:left="1347" w:rightChars="6" w:right="13"/>
        <w:rPr>
          <w:rFonts w:ascii="宋体" w:hAnsi="宋体"/>
          <w:kern w:val="0"/>
          <w:sz w:val="32"/>
          <w:szCs w:val="32"/>
        </w:rPr>
        <w:sectPr w:rsidR="00D50B2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50B26" w:rsidRDefault="00BB431D">
      <w:pPr>
        <w:pStyle w:val="1"/>
        <w:snapToGrid w:val="0"/>
        <w:spacing w:beforeLines="0" w:before="240" w:after="240"/>
        <w:rPr>
          <w:rFonts w:ascii="宋体" w:hAnsi="宋体"/>
          <w:kern w:val="0"/>
        </w:rPr>
      </w:pPr>
      <w:bookmarkStart w:id="0" w:name="_Toc324920538"/>
      <w:bookmarkStart w:id="1" w:name="_Toc496884613"/>
      <w:bookmarkStart w:id="2" w:name="_Toc230092155"/>
      <w:r>
        <w:rPr>
          <w:rFonts w:ascii="Times New Roman" w:hAnsi="Times New Roman"/>
          <w:kern w:val="0"/>
        </w:rPr>
        <w:lastRenderedPageBreak/>
        <w:t>重要提示</w:t>
      </w:r>
      <w:bookmarkEnd w:id="0"/>
      <w:bookmarkEnd w:id="1"/>
      <w:bookmarkEnd w:id="2"/>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交银施罗德定期支付月月丰债券型证券投资基金（以下简称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754</w:t>
      </w:r>
      <w:r>
        <w:rPr>
          <w:rFonts w:ascii="Times New Roman" w:hAnsi="Times New Roman"/>
          <w:kern w:val="0"/>
          <w:sz w:val="24"/>
        </w:rPr>
        <w:t>号文核准募集。本基金基金合同于</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日正式生效。</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市场风险、管理风险、流动性风险（包括实施侧袋机制时的特定风险）、信用风险、本基金投资策略所特有的风险、本基金定期支付相关的特定风险，例如定期支付不等同于收益分配、年化现金支付比率不代表基金实际投资收益率、定期支付被确认失败的风险、年化现金支付比率发生调整的风险等等。本基金是一只债券型基金，属于证券投资基金中中等风险的品种，其长期平均的预期收益和预期风险高于货币市场基金，低于混合型基金和股票型基金。</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本基金按照基金合同的约定，每月定期按照年化现金支付比率计算现金支付</w:t>
      </w:r>
      <w:r>
        <w:rPr>
          <w:rFonts w:ascii="Times New Roman" w:hAnsi="Times New Roman"/>
          <w:kern w:val="0"/>
          <w:sz w:val="24"/>
        </w:rPr>
        <w:lastRenderedPageBreak/>
        <w:t>金额并通过自动赎回基金份额向基金份额持有人支付一定现金，但基金管理人不保证本基金一定盈利，也不保证最低收益，定期支付不等同于收益分配，年化现金支付比率也不代表本基金的实际投资收益率。根据基金合同的约定，特定情形下并存在当期定期支付业务被确认失败的风险。基金管理人可以根据基金实际运作情况和市场环境的变化，在履行适当程序后对上述约定的年化现金支付比率进行调整，并至少在调整前一个月公告，上述调整不须召开份额持有人大会。</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投资有风险，投资人在投资本基金前应认真阅读本基金的招募说明书、基金合同、基金产品资料概要。基金的过往业绩并不代表未来表现。基金管理人管理的其他基金的业绩并不构成对本基金业绩表现的保证。</w:t>
      </w:r>
    </w:p>
    <w:p w:rsidR="00D50B26" w:rsidRDefault="00BB431D">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16</w:t>
      </w:r>
      <w:r>
        <w:rPr>
          <w:rFonts w:ascii="Times New Roman" w:hAnsi="Times New Roman"/>
          <w:kern w:val="0"/>
          <w:sz w:val="24"/>
        </w:rPr>
        <w:t>日，投资范围增加存托凭证、修改基金转换的相关事项的更新截止日为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02</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D50B26" w:rsidRDefault="00D50B26">
      <w:pPr>
        <w:autoSpaceDE w:val="0"/>
        <w:autoSpaceDN w:val="0"/>
        <w:adjustRightInd w:val="0"/>
        <w:snapToGrid w:val="0"/>
        <w:spacing w:before="51" w:line="360" w:lineRule="auto"/>
        <w:ind w:left="120" w:rightChars="6" w:right="13" w:firstLine="480"/>
        <w:rPr>
          <w:rFonts w:ascii="宋体" w:hAnsi="宋体"/>
          <w:kern w:val="0"/>
          <w:szCs w:val="24"/>
        </w:rPr>
        <w:sectPr w:rsidR="00D50B26">
          <w:headerReference w:type="default" r:id="rId14"/>
          <w:pgSz w:w="11920" w:h="16840"/>
          <w:pgMar w:top="1440" w:right="1680" w:bottom="280" w:left="1680" w:header="0" w:footer="1073" w:gutter="0"/>
          <w:pgNumType w:start="1"/>
          <w:cols w:space="720"/>
        </w:sectPr>
      </w:pPr>
    </w:p>
    <w:p w:rsidR="001A3543" w:rsidRPr="001A3543" w:rsidRDefault="00BB431D" w:rsidP="001A3543">
      <w:pPr>
        <w:pStyle w:val="ad"/>
        <w:snapToGrid w:val="0"/>
        <w:spacing w:after="240" w:line="360" w:lineRule="auto"/>
        <w:jc w:val="center"/>
        <w:rPr>
          <w:rFonts w:ascii="宋体" w:hAnsi="宋体"/>
          <w:noProof/>
          <w:sz w:val="24"/>
        </w:rPr>
      </w:pPr>
      <w:r w:rsidRPr="001A3543">
        <w:rPr>
          <w:rFonts w:ascii="宋体" w:hAnsi="宋体"/>
          <w:color w:val="000000"/>
          <w:position w:val="-4"/>
          <w:sz w:val="24"/>
          <w:szCs w:val="30"/>
        </w:rPr>
        <w:lastRenderedPageBreak/>
        <w:t>目</w:t>
      </w:r>
      <w:r w:rsidRPr="001A3543">
        <w:rPr>
          <w:rFonts w:ascii="宋体" w:hAnsi="宋体"/>
          <w:color w:val="000000"/>
          <w:position w:val="-4"/>
          <w:sz w:val="24"/>
          <w:szCs w:val="30"/>
        </w:rPr>
        <w:tab/>
        <w:t>录</w:t>
      </w:r>
      <w:r w:rsidR="001A3543" w:rsidRPr="001A3543">
        <w:rPr>
          <w:rFonts w:ascii="宋体" w:hAnsi="宋体"/>
          <w:color w:val="000000"/>
          <w:position w:val="-4"/>
          <w:sz w:val="24"/>
          <w:szCs w:val="30"/>
        </w:rPr>
        <w:fldChar w:fldCharType="begin"/>
      </w:r>
      <w:r w:rsidR="001A3543" w:rsidRPr="001A3543">
        <w:rPr>
          <w:rFonts w:ascii="宋体" w:hAnsi="宋体"/>
          <w:color w:val="000000"/>
          <w:position w:val="-4"/>
          <w:sz w:val="24"/>
          <w:szCs w:val="30"/>
        </w:rPr>
        <w:instrText xml:space="preserve"> TOC \o "1-3" \f - \h \t "-1" </w:instrText>
      </w:r>
      <w:r w:rsidR="001A3543" w:rsidRPr="001A3543">
        <w:rPr>
          <w:rFonts w:ascii="宋体" w:hAnsi="宋体"/>
          <w:color w:val="000000"/>
          <w:position w:val="-4"/>
          <w:sz w:val="24"/>
          <w:szCs w:val="30"/>
        </w:rPr>
        <w:fldChar w:fldCharType="separate"/>
      </w:r>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55" w:history="1">
        <w:r w:rsidRPr="001A3543">
          <w:rPr>
            <w:rStyle w:val="aa"/>
            <w:rFonts w:ascii="宋体" w:hAnsi="宋体" w:hint="eastAsia"/>
            <w:noProof/>
            <w:kern w:val="0"/>
            <w:sz w:val="24"/>
          </w:rPr>
          <w:t>重要提示</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_Toc230092155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56" w:history="1">
        <w:r w:rsidRPr="001A3543">
          <w:rPr>
            <w:rStyle w:val="aa"/>
            <w:rFonts w:ascii="宋体" w:hAnsi="宋体" w:hint="eastAsia"/>
            <w:noProof/>
            <w:sz w:val="24"/>
          </w:rPr>
          <w:t>一、绪言</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_Toc230092156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4</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57" w:history="1">
        <w:r w:rsidRPr="001A3543">
          <w:rPr>
            <w:rStyle w:val="aa"/>
            <w:rFonts w:ascii="宋体" w:hAnsi="宋体" w:hint="eastAsia"/>
            <w:noProof/>
            <w:sz w:val="24"/>
          </w:rPr>
          <w:t>二、释义</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_Toc230092157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5</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58" w:history="1">
        <w:r w:rsidRPr="001A3543">
          <w:rPr>
            <w:rStyle w:val="aa"/>
            <w:rFonts w:ascii="宋体" w:hAnsi="宋体" w:hint="eastAsia"/>
            <w:noProof/>
            <w:sz w:val="24"/>
          </w:rPr>
          <w:t>三、基金管理人</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_Toc230092158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10</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59" w:history="1">
        <w:r w:rsidRPr="001A3543">
          <w:rPr>
            <w:rStyle w:val="aa"/>
            <w:rFonts w:ascii="宋体" w:hAnsi="宋体" w:hint="eastAsia"/>
            <w:noProof/>
            <w:sz w:val="24"/>
          </w:rPr>
          <w:t>四、基金托管人</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_Toc230092159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0" w:history="1">
        <w:r w:rsidRPr="001A3543">
          <w:rPr>
            <w:rStyle w:val="aa"/>
            <w:rFonts w:ascii="宋体" w:hAnsi="宋体" w:hint="eastAsia"/>
            <w:noProof/>
            <w:sz w:val="24"/>
          </w:rPr>
          <w:t>五、相关服务机构</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_Toc230092160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21</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1" w:history="1">
        <w:r w:rsidRPr="001A3543">
          <w:rPr>
            <w:rStyle w:val="aa"/>
            <w:rFonts w:ascii="宋体" w:hAnsi="宋体" w:hint="eastAsia"/>
            <w:noProof/>
            <w:sz w:val="24"/>
          </w:rPr>
          <w:t>六、基金的募集</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_Toc230092161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47</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2" w:history="1">
        <w:r w:rsidRPr="001A3543">
          <w:rPr>
            <w:rStyle w:val="aa"/>
            <w:rFonts w:ascii="宋体" w:hAnsi="宋体" w:hint="eastAsia"/>
            <w:noProof/>
            <w:sz w:val="24"/>
          </w:rPr>
          <w:t>七、基金合同的生效</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_Toc230092162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48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3" w:history="1">
        <w:r w:rsidRPr="001A3543">
          <w:rPr>
            <w:rStyle w:val="aa"/>
            <w:rFonts w:ascii="宋体" w:hAnsi="宋体" w:hint="eastAsia"/>
            <w:noProof/>
            <w:sz w:val="24"/>
          </w:rPr>
          <w:t>八、基金份额的申购与赎回</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_Toc230092163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49</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4" w:history="1">
        <w:r w:rsidRPr="001A3543">
          <w:rPr>
            <w:rStyle w:val="aa"/>
            <w:rFonts w:ascii="宋体" w:hAnsi="宋体" w:hint="eastAsia"/>
            <w:noProof/>
            <w:sz w:val="24"/>
          </w:rPr>
          <w:t>九、基金的转换</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_Toc230092164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61</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5" w:history="1">
        <w:r w:rsidRPr="001A3543">
          <w:rPr>
            <w:rStyle w:val="aa"/>
            <w:rFonts w:ascii="宋体" w:hAnsi="宋体" w:hint="eastAsia"/>
            <w:noProof/>
            <w:sz w:val="24"/>
          </w:rPr>
          <w:t>十、基金的定期支付</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_Toc230092165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68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6" w:history="1">
        <w:r w:rsidRPr="001A3543">
          <w:rPr>
            <w:rStyle w:val="aa"/>
            <w:rFonts w:ascii="宋体" w:hAnsi="宋体" w:hint="eastAsia"/>
            <w:noProof/>
            <w:sz w:val="24"/>
          </w:rPr>
          <w:t>十一、基金的投资</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_Toc230092166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72</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7" w:history="1">
        <w:r w:rsidRPr="001A3543">
          <w:rPr>
            <w:rStyle w:val="aa"/>
            <w:rFonts w:ascii="宋体" w:hAnsi="宋体" w:hint="eastAsia"/>
            <w:noProof/>
            <w:sz w:val="24"/>
          </w:rPr>
          <w:t>十二、基金的业绩</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_Toc230092167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85</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8" w:history="1">
        <w:r w:rsidRPr="001A3543">
          <w:rPr>
            <w:rStyle w:val="aa"/>
            <w:rFonts w:ascii="宋体" w:hAnsi="宋体" w:hint="eastAsia"/>
            <w:noProof/>
            <w:sz w:val="24"/>
          </w:rPr>
          <w:t>十三、基金的财产</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_Toc230092168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88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69" w:history="1">
        <w:r w:rsidRPr="001A3543">
          <w:rPr>
            <w:rStyle w:val="aa"/>
            <w:rFonts w:ascii="宋体" w:hAnsi="宋体" w:hint="eastAsia"/>
            <w:noProof/>
            <w:sz w:val="24"/>
          </w:rPr>
          <w:t>十四、基金资产的估值</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_Toc230092169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89</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0" w:history="1">
        <w:r w:rsidRPr="001A3543">
          <w:rPr>
            <w:rStyle w:val="aa"/>
            <w:rFonts w:ascii="宋体" w:hAnsi="宋体" w:hint="eastAsia"/>
            <w:noProof/>
            <w:sz w:val="24"/>
          </w:rPr>
          <w:t>十五、基金收益与分配</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_Toc230092170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94</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1" w:history="1">
        <w:r w:rsidRPr="001A3543">
          <w:rPr>
            <w:rStyle w:val="aa"/>
            <w:rFonts w:ascii="宋体" w:hAnsi="宋体" w:hint="eastAsia"/>
            <w:noProof/>
            <w:sz w:val="24"/>
          </w:rPr>
          <w:t>十六、基金的费用与税收</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_Toc230092171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95</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2" w:history="1">
        <w:r w:rsidRPr="001A3543">
          <w:rPr>
            <w:rStyle w:val="aa"/>
            <w:rFonts w:ascii="宋体" w:hAnsi="宋体" w:hint="eastAsia"/>
            <w:noProof/>
            <w:sz w:val="24"/>
          </w:rPr>
          <w:t>十七、基金的会计与审计</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_Toc230092172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98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3" w:history="1">
        <w:r w:rsidRPr="001A3543">
          <w:rPr>
            <w:rStyle w:val="aa"/>
            <w:rFonts w:ascii="宋体" w:hAnsi="宋体" w:hint="eastAsia"/>
            <w:noProof/>
            <w:sz w:val="24"/>
          </w:rPr>
          <w:t>十八、基金的信息披露</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_Toc230092173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99</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4" w:history="1">
        <w:r w:rsidRPr="001A3543">
          <w:rPr>
            <w:rStyle w:val="aa"/>
            <w:rFonts w:ascii="宋体" w:hAnsi="宋体" w:hint="eastAsia"/>
            <w:noProof/>
            <w:sz w:val="24"/>
          </w:rPr>
          <w:t>十九、侧袋机制</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_Toc230092174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105</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5" w:history="1">
        <w:r w:rsidRPr="001A3543">
          <w:rPr>
            <w:rStyle w:val="aa"/>
            <w:rFonts w:ascii="宋体" w:hAnsi="宋体" w:hint="eastAsia"/>
            <w:noProof/>
            <w:sz w:val="24"/>
          </w:rPr>
          <w:t>二十、风险揭示</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_Toc230092175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108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6" w:history="1">
        <w:r w:rsidRPr="001A3543">
          <w:rPr>
            <w:rStyle w:val="aa"/>
            <w:rFonts w:ascii="宋体" w:hAnsi="宋体" w:hint="eastAsia"/>
            <w:noProof/>
            <w:sz w:val="24"/>
          </w:rPr>
          <w:t>二十一、基金合同的变更、终止与基金财产的清算</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_Toc230092176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115</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7" w:history="1">
        <w:r w:rsidRPr="001A3543">
          <w:rPr>
            <w:rStyle w:val="aa"/>
            <w:rFonts w:ascii="宋体" w:hAnsi="宋体" w:hint="eastAsia"/>
            <w:noProof/>
            <w:sz w:val="24"/>
          </w:rPr>
          <w:t>二十二、基金合同内容摘要</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_Toc230092177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117</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8" w:history="1">
        <w:r w:rsidRPr="001A3543">
          <w:rPr>
            <w:rStyle w:val="aa"/>
            <w:rFonts w:ascii="宋体" w:hAnsi="宋体" w:hint="eastAsia"/>
            <w:noProof/>
            <w:sz w:val="24"/>
          </w:rPr>
          <w:t>二十三、托管协议的内容摘要</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_Toc230092178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132</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79" w:history="1">
        <w:r w:rsidRPr="001A3543">
          <w:rPr>
            <w:rStyle w:val="aa"/>
            <w:rFonts w:ascii="宋体" w:hAnsi="宋体" w:hint="eastAsia"/>
            <w:noProof/>
            <w:sz w:val="24"/>
          </w:rPr>
          <w:t>二十四、对基金份额持有人的服务</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_Toc230092179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148</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80" w:history="1">
        <w:r w:rsidRPr="001A3543">
          <w:rPr>
            <w:rStyle w:val="aa"/>
            <w:rFonts w:ascii="宋体" w:hAnsi="宋体" w:hint="eastAsia"/>
            <w:noProof/>
            <w:sz w:val="24"/>
          </w:rPr>
          <w:t>二十五、其他应披露事项</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_Toc230092180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150</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81" w:history="1">
        <w:r w:rsidRPr="001A3543">
          <w:rPr>
            <w:rStyle w:val="aa"/>
            <w:rFonts w:ascii="宋体" w:hAnsi="宋体" w:hint="eastAsia"/>
            <w:noProof/>
            <w:sz w:val="24"/>
          </w:rPr>
          <w:t>二十六、招募说明书的存放及查阅方式</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_Toc230092181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153</w:t>
        </w:r>
        <w:r w:rsidRPr="001A3543">
          <w:rPr>
            <w:rFonts w:ascii="宋体" w:hAnsi="宋体"/>
            <w:noProof/>
            <w:sz w:val="24"/>
          </w:rPr>
          <w:fldChar w:fldCharType="end"/>
        </w:r>
      </w:hyperlink>
    </w:p>
    <w:p w:rsidR="001A3543" w:rsidRPr="001A3543" w:rsidRDefault="001A3543" w:rsidP="001A3543">
      <w:pPr>
        <w:pStyle w:val="10"/>
        <w:tabs>
          <w:tab w:val="right" w:leader="dot" w:pos="8550"/>
        </w:tabs>
        <w:spacing w:line="360" w:lineRule="auto"/>
        <w:rPr>
          <w:rFonts w:ascii="宋体" w:hAnsi="宋体" w:cstheme="minorBidi"/>
          <w:noProof/>
          <w:sz w:val="24"/>
        </w:rPr>
      </w:pPr>
      <w:hyperlink w:anchor="_Toc230092182" w:history="1">
        <w:r w:rsidRPr="001A3543">
          <w:rPr>
            <w:rStyle w:val="aa"/>
            <w:rFonts w:ascii="宋体" w:hAnsi="宋体" w:hint="eastAsia"/>
            <w:noProof/>
            <w:sz w:val="24"/>
          </w:rPr>
          <w:t>二十七、备查文件</w:t>
        </w:r>
        <w:r w:rsidRPr="001A3543">
          <w:rPr>
            <w:rFonts w:ascii="宋体" w:hAnsi="宋体"/>
            <w:noProof/>
            <w:sz w:val="24"/>
          </w:rPr>
          <w:tab/>
        </w:r>
        <w:r w:rsidRPr="001A3543">
          <w:rPr>
            <w:rFonts w:ascii="宋体" w:hAnsi="宋体"/>
            <w:noProof/>
            <w:sz w:val="24"/>
          </w:rPr>
          <w:fldChar w:fldCharType="begin"/>
        </w:r>
        <w:r w:rsidRPr="001A3543">
          <w:rPr>
            <w:rFonts w:ascii="宋体" w:hAnsi="宋体"/>
            <w:noProof/>
            <w:sz w:val="24"/>
          </w:rPr>
          <w:instrText xml:space="preserve"> PAGEREF _Toc230092182 \h </w:instrText>
        </w:r>
        <w:r w:rsidRPr="001A3543">
          <w:rPr>
            <w:rFonts w:ascii="宋体" w:hAnsi="宋体"/>
            <w:noProof/>
            <w:sz w:val="24"/>
          </w:rPr>
        </w:r>
        <w:r w:rsidRPr="001A3543">
          <w:rPr>
            <w:rFonts w:ascii="宋体" w:hAnsi="宋体"/>
            <w:noProof/>
            <w:sz w:val="24"/>
          </w:rPr>
          <w:fldChar w:fldCharType="separate"/>
        </w:r>
        <w:r w:rsidRPr="001A3543">
          <w:rPr>
            <w:rFonts w:ascii="宋体" w:hAnsi="宋体"/>
            <w:noProof/>
            <w:sz w:val="24"/>
          </w:rPr>
          <w:t>154</w:t>
        </w:r>
        <w:r w:rsidRPr="001A3543">
          <w:rPr>
            <w:rFonts w:ascii="宋体" w:hAnsi="宋体"/>
            <w:noProof/>
            <w:sz w:val="24"/>
          </w:rPr>
          <w:fldChar w:fldCharType="end"/>
        </w:r>
      </w:hyperlink>
    </w:p>
    <w:p w:rsidR="00D50B26" w:rsidRPr="001A3543" w:rsidRDefault="001A3543" w:rsidP="001A3543">
      <w:pPr>
        <w:pStyle w:val="ad"/>
        <w:snapToGrid w:val="0"/>
        <w:spacing w:after="240" w:line="360" w:lineRule="auto"/>
        <w:jc w:val="center"/>
        <w:rPr>
          <w:rFonts w:ascii="宋体" w:hAnsi="宋体"/>
          <w:color w:val="000000"/>
          <w:sz w:val="24"/>
        </w:rPr>
      </w:pPr>
      <w:r w:rsidRPr="001A3543">
        <w:rPr>
          <w:rFonts w:ascii="宋体" w:hAnsi="宋体"/>
          <w:color w:val="000000"/>
          <w:position w:val="-4"/>
          <w:sz w:val="24"/>
          <w:szCs w:val="30"/>
        </w:rPr>
        <w:fldChar w:fldCharType="end"/>
      </w:r>
      <w:bookmarkStart w:id="3" w:name="_GoBack"/>
      <w:bookmarkEnd w:id="3"/>
    </w:p>
    <w:p w:rsidR="00D50B26" w:rsidRDefault="00D50B26">
      <w:pPr>
        <w:autoSpaceDE w:val="0"/>
        <w:autoSpaceDN w:val="0"/>
        <w:adjustRightInd w:val="0"/>
        <w:snapToGrid w:val="0"/>
        <w:spacing w:line="360" w:lineRule="auto"/>
        <w:ind w:left="120" w:rightChars="6" w:right="13"/>
        <w:rPr>
          <w:rFonts w:ascii="宋体" w:hAnsi="宋体"/>
          <w:kern w:val="0"/>
          <w:szCs w:val="24"/>
        </w:rPr>
        <w:sectPr w:rsidR="00D50B26">
          <w:pgSz w:w="11920" w:h="16840"/>
          <w:pgMar w:top="1480" w:right="1680" w:bottom="280" w:left="1680" w:header="0" w:footer="1073" w:gutter="0"/>
          <w:cols w:space="720"/>
        </w:sectPr>
      </w:pPr>
    </w:p>
    <w:p w:rsidR="00D50B26" w:rsidRDefault="00BB431D">
      <w:pPr>
        <w:pStyle w:val="1"/>
        <w:snapToGrid w:val="0"/>
        <w:spacing w:beforeLines="0" w:before="240" w:after="240"/>
        <w:rPr>
          <w:rFonts w:ascii="宋体" w:hAnsi="宋体"/>
          <w:szCs w:val="30"/>
        </w:rPr>
      </w:pPr>
      <w:bookmarkStart w:id="4" w:name="_Toc230092156"/>
      <w:r>
        <w:rPr>
          <w:rFonts w:ascii="Times New Roman" w:hAnsi="Times New Roman"/>
          <w:sz w:val="30"/>
        </w:rPr>
        <w:lastRenderedPageBreak/>
        <w:t>一、绪言</w:t>
      </w:r>
      <w:bookmarkEnd w:id="4"/>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定期支付月月丰债券型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定期支付月月丰债券型证券投资基金基金合同》（以下简称“基金合同”）编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5" w:name="_Toc230092157"/>
      <w:r>
        <w:rPr>
          <w:rFonts w:ascii="Times New Roman" w:hAnsi="Times New Roman"/>
          <w:sz w:val="30"/>
        </w:rPr>
        <w:lastRenderedPageBreak/>
        <w:t>二、释义</w:t>
      </w:r>
      <w:bookmarkEnd w:id="5"/>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1、基金或本基金：指交银施罗德定期支付月月丰债券型证券投资基金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3、基金托管人或本基金托管人：指中国建设银行股份有限公司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4、基金合同：指《交银施罗德定期支付月月丰债券型证券投资基金基金合同》及对该基金合同的任何有效修订和补充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5、托管协议：指基金管理人与基金托管人就本基金签订之《交银施罗德定期支付月月丰债券型证券投资基金托管协议》及对该托管协议的任何有效修订和补充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6、招募说明书或本招募说明书：指《交银施罗德定期支付月月丰债券型证券投资基金招募说明书》及其更新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7、基金份额发售公告：指《交银施罗德定期支付月月丰债券型证券投资基金基金份额发售公告》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8、基金产品资料概要：指《交银施罗德定期支付月月丰债券型证券投资基金基金产品资料概要》及其更新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10、中国：指中华人民共和国（仅为基金合同之目的，不包括香港特别行政区、澳门特别行政区及台湾地区）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12、《销售办法》：指中国证监会2013年3月15日颁布、同年6月1日实施的《证券投资基金销售管理办法》及颁布机关对其不时做出的修订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15、《流动性规定》：指中国证监会2017年8月31日颁布、同年10月1日实施的</w:t>
      </w:r>
      <w:r>
        <w:rPr>
          <w:rFonts w:ascii="宋体" w:hAnsi="宋体"/>
          <w:sz w:val="24"/>
        </w:rPr>
        <w:lastRenderedPageBreak/>
        <w:t>《公开募集开放式证券投资基金流动性风险管理规定》及颁布机关对其不时做出的修订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17、银行业监督管理机构：指中国人民银行和/或中国银行业监督管理委员会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20、机构投资者：指依法可以投资证券投资基金的、在中国境内合法登记并存续或经有关政府部门批准设立并存续的企业法人、事业法人、社会团体或其他组织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22、投资人或投资者：指个人投资者、机构投资者和合格境外机构投资者以及法律法规或中国证监会允许购买证券投资基金的其他投资人的合称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25、直销机构：指交银施罗德基金管理有限公司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26、代销机构：指符合《销售办法》和中国证监会规定的其他条件，取得基金销售业务资格并与基金管理人签订了基金销售服务代理协议，代为办理基金销售业务的机构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30、开放式基金账户：指登记机构为投资人开立的、记录其持有的、基金管理人所管理的基金份额余额及其变动情况的账户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45、销售服务费：指从基金资产中计提的，用于本基金市场推广、销售以及基金份额持有人服务的费用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份额类别：指本基金根据认购/申购费用、赎回费用、销售服务费收取方式的不同，将基金份额分为不同的类别。在投资者认购/申购时收取前端认购/申购费用、赎回时收取赎回费用的，称为A类基金份额；在投资者认购/申购时不收</w:t>
      </w:r>
      <w:r>
        <w:rPr>
          <w:rFonts w:ascii="宋体" w:hAnsi="宋体"/>
          <w:sz w:val="24"/>
        </w:rPr>
        <w:lastRenderedPageBreak/>
        <w:t>取认购/申购费用、赎回时收取赎回费用，并从本类别基金资产中计提销售服务费的，称为C类基金份额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本基金合同和基金管理人届时有效公告规定的条件，申请将其持有基金管理人管理的、某一基金的基金份额转换为该基金其他份额（如有）或基金管理人管理的其他基金基金份额的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提交基金申购申请的一种投资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定期支付时的自动赎回份额不纳入以上赎回份额计算）超过上一开放日基金总份额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53、基金资产总值：指基金拥有的各类有价证券、银行存款本息、基金应收申购款及其他资产的价值总和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57、定期支付：指本基金按照基金合同的约定，每月定期向基金份额持有人支付一定现金的业务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59、指定媒介：指中国证监会指定的用以进行信息披露的全国性报刊及指定互联网网站（包括基金管理人网站、基金托管人网站、中国证监会基金电子披露网站）等媒介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62、不可抗力：指本基金合同当事人不能预见、不能避免且不能克服的客观事件。</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6" w:name="_Toc230092158"/>
      <w:r>
        <w:rPr>
          <w:rFonts w:ascii="Times New Roman" w:hAnsi="Times New Roman"/>
          <w:sz w:val="30"/>
        </w:rPr>
        <w:lastRenderedPageBreak/>
        <w:t>三、基金管理人</w:t>
      </w:r>
      <w:bookmarkEnd w:id="6"/>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纯债债券型发起式证券投资基金(2018年08月29日至2025年01月15日)、交银施罗德裕如纯债债券型证券投资基金(2018年08月29日至2023年09月11日)、交银施罗德丰晟收益债券型证券投资基金(2018年08月29日至2020年10月16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扬先生: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w:t>
      </w:r>
      <w:r>
        <w:rPr>
          <w:rFonts w:ascii="宋体" w:hAnsi="宋体"/>
          <w:sz w:val="24"/>
        </w:rPr>
        <w:lastRenderedPageBreak/>
        <w:t>型证券投资基金(2024年06月18日至今)、交银施罗德启合混合型证券投资基金(2024年11月27日至今)、交银施罗德定期支付月月丰债券型证券投资基金(2026年05月16日至今)的基金经理。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李家春先生(2013年08月13日至2014年08月20日)；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赵凌琦女士(2013年09月03日至2015年08月14日)；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孙超先生(2014年08月26日至2017年06月21日)；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于海颖女士(2017年06月10日至2019年03月14日)；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凌超先生(2018年02月13日至2020年07月22日)；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唐赟先生(2020年07月14日至2024年12月27日)；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邵文婷女士(2022年11月30日至2024年12月27日)。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内部控制应当包括公司的各项业务、各个部门或机构和各级人员，并涵盖到决</w:t>
      </w:r>
      <w:r>
        <w:rPr>
          <w:rFonts w:ascii="宋体" w:hAnsi="宋体"/>
          <w:sz w:val="24"/>
        </w:rPr>
        <w:lastRenderedPageBreak/>
        <w:t>策、执行、监督、反馈等各个环节。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独立行使督察权利；直接对董事会负责；就内部控制制度和执行情况独立地履行检查、评价、报告、建议职能；定期和不定期地向董事会报告公司内部控制执行情况。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（4）建立风险分类、识别、评估、报告、提示程序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7" w:name="_Toc230092159"/>
      <w:r>
        <w:rPr>
          <w:rFonts w:ascii="Times New Roman" w:hAnsi="Times New Roman"/>
          <w:sz w:val="30"/>
        </w:rPr>
        <w:lastRenderedPageBreak/>
        <w:t>四、基金托管人</w:t>
      </w:r>
      <w:bookmarkEnd w:id="7"/>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w:t>
      </w:r>
      <w:r>
        <w:rPr>
          <w:rFonts w:ascii="宋体" w:hAnsi="宋体"/>
          <w:sz w:val="24"/>
        </w:rPr>
        <w:lastRenderedPageBreak/>
        <w:t>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8" w:name="_Toc230092160"/>
      <w:r>
        <w:rPr>
          <w:rFonts w:ascii="Times New Roman" w:hAnsi="Times New Roman"/>
          <w:sz w:val="30"/>
        </w:rPr>
        <w:lastRenderedPageBreak/>
        <w:t>五、相关服务机构</w:t>
      </w:r>
      <w:bookmarkEnd w:id="8"/>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（2）名称：平安银行股份有限公司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注册地址：深圳市罗湖区深南东路5047号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办公地址：北京市西城区金融大街25号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（6）名称：上海银行股份有限公司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（8）名称：江苏常熟农村商业银行股份有限公司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网址：www.csrcbank.com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（9）名称：东莞农村商业银行股份有限公司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（11）名称：光大证券股份有限公司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（12）名称：中国银河证券股份有限公司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法定代表人：陈共炎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（13）名称：申万宏源证券有限公司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（14）名称：国都证券股份有限公司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（16）名称：中信证券（山东）有限责任公司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办公地址：青岛市市南区东海西路28号龙翔广场东座5层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（17）名称：申万宏源西部证券有限公司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（18）名称：中泰证券股份有限公司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（19）名称：江海证券有限公司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（20）名称：中国国际金融股份有限公司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（21）名称：瑞银证券有限责任公司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（22）名称：长城证券有限责任公司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（23）名称：国金证券股份有限公司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办公地址：成都市东城根上街95号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（24）名称：渤海证券股份有限公司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（25）名称：信达证券股份有限公司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（26）名称：西南证券股份有限公司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传真：（023）63786212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（27）名称：国新证券股份有限公司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（28）名称：粤开证券股份有限公司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法定代表人：崔洪军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（29）名称：华西证券股份有限公司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（30）名称：第一创业证券股份有限公司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办公地址：深圳市罗湖区笋岗路12号中民时代广场 B 座25、26层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（31）名称：中信证券华南股份有限公司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（32）名称：中信建投证券股份有限公司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（33）名称：国投证券股份有限公司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法定代表人：段文务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传真：（0755）82558355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联系人：陈剑虹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网址：http://www.essence.com.cn/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（34）名称：中国中金财富证券有限公司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（36）名称：深圳市新兰德证券投资咨询有限公司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（37）名称：大连网金基金销售有限公司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辽宁省大连市沙河口区体坛路22号诺德大厦2层202室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（38）名称：阳光人寿保险股份有限公司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（39）名称：玄元保险代理有限公司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（40）名称：京东肯特瑞基金销售有限公司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电话：95118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（41）名称：上海大智慧基金销售有限公司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（42）名称：珠海盈米基金销售有限公司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（43）名称：上海华夏财富投资管理有限公司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客户服务电话：400-817-5666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（44）名称：北京度小满基金销售有限公司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（45）名称：南京苏宁基金销售有限公司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（46）名称：嘉实财富管理有限公司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（47）名称：北京汇成基金销售有限公司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住所：北京市西城区宣武门外大街甲1号4层401-2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客户服务电话：400-619-9059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（48）名称：上海利得基金销售有限公司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（49）名称：北京虹点基金销售有限公司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（50）名称：上海陆金所基金销售有限公司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电话：（021）20665952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（51）名称：上海挖财基金销售有限公司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（52）名称：万家财富基金销售（天津）有限公司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（53）名称：上海万得基金销售有限公司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马烨莹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（54）名称：格上富信投资顾问有限公司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（55）名称：深圳市金斧子基金销售有限公司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（56）名称：北京雪球基金销售有限公司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（57）名称：北京新浪仓石基金销售有限公司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（58）名称：中证金牛（北京）基金销售有限公司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（59）名称：上海证达通基金销售有限公司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（60）名称：北京创金启富基金销售有限公司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北京市西城区白纸坊东街2号院6号楼712室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（61）名称：奕丰基金销售有限公司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（62）名称：上海天天基金销售有限公司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（63）名称：和讯信息科技有限公司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电话：（021）20835789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（64）名称：诺亚正行基金销售有限公司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（65）名称：上海好买基金销售有限公司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（66）名称：上海长量基金销售有限公司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网址：www.erichfund.com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（67）名称：深圳众禄基金销售股份有限公司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（68）名称：蚂蚁（杭州）基金销售有限公司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（69）名称：中信期货有限公司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（70）名称：天相投资顾问有限公司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（71）名称：上海基煜基金销售有限公司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（72）名称：浙江同花顺基金销售有限公司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（73）名称：宜信普泽（北京）基金销售有限公司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办公地址：北京市朝阳区建国路乙118号12层01D、02A—02F、03A—03C</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电话：400-6099-200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（74）名称：上海联泰基金销售有限公司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（75）名称：泛华普益基金销售有限公司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（76）名称：北京展恒基金销售股份有限公司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传真：（010）62020355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（77）名称：和耕传承基金销售有限公司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（78）名称：济安财富（北京）基金销售有限公司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（79）名称：博时财富基金销售有限公司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客户服务电话：400-610-5568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（80）名称：腾安基金销售（深圳）有限公司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（81）名称：上海中欧财富基金销售有限公司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（三）出具法律意见书的律师事务所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9" w:name="_Toc230092161"/>
      <w:r>
        <w:rPr>
          <w:rFonts w:ascii="Times New Roman" w:hAnsi="Times New Roman"/>
          <w:sz w:val="30"/>
        </w:rPr>
        <w:lastRenderedPageBreak/>
        <w:t>六、基金的募集</w:t>
      </w:r>
      <w:bookmarkEnd w:id="9"/>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本基金由基金管理人依照《基金法》、《运作办法》、基金合同及其他有关规定，并经中国证监会证监许可[2013]754号文核准募集发售。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本基金自2013年7月19日至2013年8月8日进行发售。本基金设立募集期共募集344,340,245.54份基金份额，有效认购户数为2,061户。</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0" w:name="_Toc230092162"/>
      <w:r>
        <w:rPr>
          <w:rFonts w:ascii="Times New Roman" w:hAnsi="Times New Roman"/>
          <w:sz w:val="30"/>
        </w:rPr>
        <w:lastRenderedPageBreak/>
        <w:t>七、基金合同的生效</w:t>
      </w:r>
      <w:bookmarkEnd w:id="10"/>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根据有关规定，本基金满足基金合同生效条件，基金合同已于2013年8月13日正式生效。自基金合同生效之日起，本基金管理人正式开始管理本基金。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1" w:name="_Toc230092163"/>
      <w:r>
        <w:rPr>
          <w:rFonts w:ascii="Times New Roman" w:hAnsi="Times New Roman"/>
          <w:sz w:val="30"/>
        </w:rPr>
        <w:lastRenderedPageBreak/>
        <w:t>八、基金份额的申购与赎回</w:t>
      </w:r>
      <w:bookmarkEnd w:id="11"/>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由投资人主动申请办理的申购、赎回等业务适用本部分的约定。本基金定期支付发起的自动赎回适用本招募说明书第十部分“基金的定期支付”的约定。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个人投资者可以通过本公司网上直销交易平台办理开户、本基金的申购、赎回、定期定额投资、转换等业务，具体交易细则请参阅本公司网站。网上直销交易平台网址：www.fund001.com。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本基金的代销机构参见本招募说明书“五、相关服务机构”章节或拨打本公司客户服务电话进行咨询。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投资人可通过上述销售机构办理基金申购、赎回业务的营业场所或按上述销售机构提供的其他方式进行申购或赎回。本基金管理人可根据情况变更或增减基金代销机构，并在管理人网站公示。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w:t>
      </w:r>
      <w:r>
        <w:rPr>
          <w:rFonts w:ascii="宋体" w:hAnsi="宋体"/>
          <w:sz w:val="24"/>
        </w:rPr>
        <w:lastRenderedPageBreak/>
        <w:t>所、深圳证券交易所的正常交易日的交易时间，但基金管理人根据法律法规、中国证监会的要求或本基金合同的规定公告暂停申购、赎回时除外。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本基金已于2013年11月12日起开放申购业务。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本基金已于2013年11月12日起开放赎回业务。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本公司网上直销交易平台办理基</w:t>
      </w:r>
      <w:r>
        <w:rPr>
          <w:rFonts w:ascii="宋体" w:hAnsi="宋体"/>
          <w:sz w:val="24"/>
        </w:rPr>
        <w:lastRenderedPageBreak/>
        <w:t>金申购业务的不受直销机构单笔申购最低金额的限制，申购最低金额为单笔1元。本基金直销机构单笔申购最低金额可由基金管理人酌情调整。各代销机构接受申购申请的最低金额为单笔1元，如果代销机构业务规则规定的最低单笔申购金额高于1元，以代销机构的规定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定期支付发起的自动赎回等）被确认，则基金管理人有权将投资人在该账户保留的本基金份额一次性全部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前依照《信息披露办法》的有关规定在指定的媒体上刊登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当月进行定期支付，当月自动赎回用以定期支付的基金份额从当月定期支付基准日（T日）的下一工作日起（含该日）从投资人的基金交易账户中扣减，基金交易账户中扣减后的基金份额余额自T+2日起（含该日）方可查询，可能会导致基金份额持有人在定期支付基准日（T日）的下一工作日（T+1日）提交的赎回或转换出申请因提交申请的份额余额大于实际的份额余额而被确认失败。对于发生基金份额持有人在T+1日提交的赎回申请因提交申请的份额余额大于实际的份额余额而被确认失败的情形，基金管理人有权对该基金份额持有人全部的可用剩余份额发起强制赎回，强制赎回的确认结果以注册登记机构确认结果为准；对于确认失败的转换申请，基金管理人不进行上述强制赎回的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w:t>
      </w:r>
      <w:r>
        <w:rPr>
          <w:rFonts w:ascii="宋体" w:hAnsi="宋体"/>
          <w:sz w:val="24"/>
        </w:rPr>
        <w:lastRenderedPageBreak/>
        <w:t>购或赎回的申请。投资人在提交申购申请时须按销售机构规定的方式备足申购资金，投资人在提交赎回申请时须持有足够的基金份额余额，否则所提交的申购、赎回申请无效。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到销售网点柜台或以销售机构规定的其他方式查询申请的确认情况。若申购不成功，则申购款项退还给投资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投资人申购基金份额时，必须全额交付申购款项，若申购资金在规定时间内未全额到账则申购不成功。</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投资人赎回申请成功后，基金管理人将在T＋7日（包括该日）内支付赎回款项。在发生巨额赎回时，款项的支付办法参照本基金合同有关条款处理。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4、申购和赎回的注册登记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（1）投资人T日申购基金成功后，正常情况下，登记机构在T＋1日为投资人增加权益并办理注册登记手续，投资人自T＋2日起（包括该日）有权赎回该部分基金份额。投资人应及时查询有关申请的确认情况。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（2）投资人T日赎回基金成功后，正常情况下，登记机构在T＋1日为投资人扣除权益并办理相应的注册登记手续。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（3）基金管理人可在法律法规允许的范围内，对上述注册登记办理时间进行调整，并于开始实施前按照《信息披露办法》的有关规定在指定媒介上公告并报中国证监会备案。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投资人可以多次申购本基金，申购费率按每笔申购申请单独计算。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持有A类基金份额的投资人因红利自动再投资而产生的基金份额，不收取相应的申购费用。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份额收取赎回费用，该费用随基金份额的持有时间递减。本基金基金份额的赎回费用由基金份额赎回人承担，在基金份额持有人赎回基金份额时收取，不低于赎回费总额的25%应归基金财产，其余用于支付注册登记费和其他必要的手续费。其中，对持续持有期少于7日的基金份额持有人收取不低于1.5%的赎回费并全额计入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按实际确认的申购金额在扣除相应的费用（如有）后，以当日基金份额净值为基准计算，申购份额计算结果保留到小数点后2位，小数点后两位以后的部分四舍五入，由此误差产生的收益或损失由基金财产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计算结果保留到小数点后2位，小数点后两位以后的部分四舍五入，由此误差产生的收益或损失由基金财产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（注：对于适用固定金额申购费用的申购，申购费用＝固定申购费用金额）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例一：某投资人投资40,000元申购本基金的A类基金份额，假设申购当日A类基金份额净值为1.0400元，申购费率为0.8%，则其可得到的申购份额为：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净申购金额=40,000/（1+0.8%）=39,682.54元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申购费用=40,000-39,682.54=317.46元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申购份额=（40,000-317.46）/1.0400=38,156.29份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投资人选择申购C类基金份额，则申购份额的计算方法如下：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例二：某投资人投资100,000元申购本基金的C类基金份额，假设申购当日C类基金份额净值为1.0400元，则其可得到的申购份额为：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例三：某投资人赎回认购（申购）持有的10,000份A类基金份额，对应的赎回费率为0.1%，假设赎回当日A类基金份额净值是1.0160元，则其可得到的赎回金额为：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10,000×1.0160×0.1% ＝ 10.16元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10,000×1.0160-10.16 ＝ 10,149.84元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即：投资人赎回本基金10,000份A类基金份额，假设赎回当日A类基金份额净值是1.0160元，则其可得到的赎回金额为10,149.84元。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投资人赎回C类基金份额，赎回金额的计算方法如下：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赎回费用=赎回份额×T日C类基金份额净值×赎回费率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例四：某投资人赎回100,000份C类基金份额，对应的赎回费率为0，假设赎回当日C类基金份额净值是1.2500元，则其可得到的赎回金额为：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 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 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即：投资人赎回100,000份C类基金份额，对应的赎回费率为0，假设赎回当日C类基金份额净值是1.2500元，则其可得到的赎回金额为125,000元。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的基金份额T日的基金份额净值在当天收市后计算，并在T＋1日内公告。遇特殊情况，经中国证监会同意，可以适当延迟计算或公告。本基金基金份额净值的计算，保留到小数点后4位，小数点后第5位四舍五入，由此误差产生的收益或损失由基金财产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基金管理人应当暂停接受基金申购申请。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3、证券交易所交易时间临时停市，导致基金管理人无法计算当日基金资产净值。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1、巨额赎回的认定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3、巨额赎回的公告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2、暂停结束，基金重新开放申购或赎回时，基金管理人应依照《信息披露管理办法》的有关规定，不迟于重新开放日在指定媒介上刊登基金重新开放申购或赎回公告，并公告最近1个开放日的基金份额净值。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如果基金管理人、登记机构、办理转托管的销售机构出现技术系统性能限制或出于其它合理原因，可以暂停该业务或者拒绝基金份额持有人的转托管申请。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w:t>
      </w:r>
      <w:r>
        <w:rPr>
          <w:rFonts w:ascii="宋体" w:hAnsi="宋体"/>
          <w:sz w:val="24"/>
        </w:rPr>
        <w:lastRenderedPageBreak/>
        <w:t>额投资计划的同时，仍然可以进行日常申购、赎回业务。本基金2013年11月7日刊登公告自2013年11月12日起开通定期定额投资计划业务，具体开通销售机构名单和业务规则参见相关公告。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（十六）实施侧袋机制期间本基金的申购与赎回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（十七）基金份额的折算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基金合同生效后，本基金可以进行份额折算。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1、基金份额折算的时间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基金管理人应事先确定基金份额折算日，并依照《信息披露办法》的有关规定提前公告。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2、基金份额折算的原则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基金份额折算由基金管理人向登记机构申请办理，并由登记机构进行基金份额的变更登记。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如果基金份额折算过程中发生不可抗力，基金管理人可延迟办理基金份额折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3、基金份额折算的方法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基金份额折算的具体方法在基金份额折算公告中列示。</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2" w:name="_Toc230092164"/>
      <w:r>
        <w:rPr>
          <w:rFonts w:ascii="Times New Roman" w:hAnsi="Times New Roman"/>
          <w:sz w:val="30"/>
        </w:rPr>
        <w:lastRenderedPageBreak/>
        <w:t>九、基金的转换</w:t>
      </w:r>
      <w:bookmarkEnd w:id="12"/>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本基金2013年11月7日刊登公告自2013年11月12日起开放日常转换业务。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个人投资者通过本基金管理人网上直销交易平台的单笔转换份额不得低于1份，投资者可将其全部或部分基金份额转换成其它基金，单笔转换申请不受转入基金最低申购限额限制。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3" w:name="_Toc230092165"/>
      <w:r>
        <w:rPr>
          <w:rFonts w:ascii="Times New Roman" w:hAnsi="Times New Roman"/>
          <w:sz w:val="30"/>
        </w:rPr>
        <w:lastRenderedPageBreak/>
        <w:t>十、基金的定期支付</w:t>
      </w:r>
      <w:bookmarkEnd w:id="13"/>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照基金合同的约定，每月定期通过自动赎回基金份额向基金份额持有人支付一定现金，具体而言，本基金按照本招募说明书约定的年化现金支付比率，以约定的定期支付基准日的基金份额净值为基础，计算当期基金份额持有人可获得支付的现金，并自动赎回基金份额持有人所持的对应金额的基金份额，以该自动赎回的资金向基金份额持有人进行现金支付。上述自动赎回基金份额由基金管理人发起而无需基金份额持有人另行提交赎回申请。基金份额持有人并无需就此类自动赎回支付赎回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在法律法规允许的前提下，基金管理人可在履行适当程序后采用除自动赎回基金份额以外的其他方式进行定期支付，并在新的方式开始实施前依照《信息披露办法》的有关规定在指定媒介上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（一）定期支付的时间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基金每月对投资人进行1次定期支付，若基金合同生效不满3个月可不进行支付。发生下列情形时，基金管理人可暂停当月的定期支付：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1、因不可抗力导致基金管理人不能支付定期支付的款项。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2、定期支付基准日发生基金合同规定的暂停基金资产估值情况。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3、定期支付基准日证券交易所交易时间临时停市，导致基金管理人无法计算当日基金资产净值。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4、定期支付基准日发生基金合同第六部分约定的暂停赎回或者延缓支付赎回款项的情形且基金管理人决定暂停接受投资人的赎回申请或者延缓支付赎回款项。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发生上述情形之一且基金管理人决定暂停当月的定期支付时，基金管理人应当根据有关规定在指定媒介上刊登暂停定期支付业务公告并报中国证监会备案。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（二）定期支付的支付基准日、权益登记日及款项支付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进行定期支付的，当月的第一个工作日（T日）为本基金的定期支付基准日，该月的现金支付金额以该日的基金资产净值为基础计算得出。当月的第一个工作日（T日）也是该月定期支付的权益登记日，即该日登记在册的基金份额持有人为该月定期支付的对象。对于T日登记在册的基金份额持有人，登记机构在T＋1日确定自动赎回用于现金支付的基金份额数并将上述用于现金支付的基金份额从基金份额持有人账户中进行扣减。基金管理人将通过登记机构及其相关销售机构在T＋7</w:t>
      </w:r>
      <w:r>
        <w:rPr>
          <w:rFonts w:ascii="宋体" w:hAnsi="宋体"/>
          <w:sz w:val="24"/>
        </w:rPr>
        <w:lastRenderedPageBreak/>
        <w:t>日（包括该日）内将支付款项划往基金份额持有人账户。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基金管理人可在法律法规允许的范围内，依法对上述定期支付的时间安排进行调整，并必须在调整实施日前按照《信息披露办法》的有关规定在指定媒介上公告并报中国证监会备案。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（三）定期支付金额的计算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次定期支付按照年化现金支付比率计算现金支付金额并自动赎回对应金额的基金份额数以用于向基金份额持有人进行现金支付，现金支付金额和自动赎回用于现金支付的基金份额按照单个基金交易账户进行计算，具体计算公式如下：</w:t>
      </w:r>
    </w:p>
    <w:p w:rsidR="00D50B26" w:rsidRDefault="001A354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39.75pt">
            <v:imagedata r:id="rId15" o:title="1521256610242020828"/>
          </v:shape>
        </w:pict>
      </w:r>
    </w:p>
    <w:p w:rsidR="00D50B26" w:rsidRDefault="001A354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78pt;height:14.25pt">
            <v:imagedata r:id="rId16" o:title="1521256610242020828"/>
          </v:shape>
        </w:pict>
      </w:r>
    </w:p>
    <w:p w:rsidR="00D50B26" w:rsidRDefault="001A354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57.75pt;height:14.25pt">
            <v:imagedata r:id="rId17" o:title="1521256610242020828"/>
          </v:shape>
        </w:pic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Di为第i次定期支付权益登记日登记在册的每份基金份额对应的现金支付金额；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ni为第i次定期支付该基金交易账户对应的自动赎回用于现金支付的份额数，计算结果四舍五入保留到小数点后两位；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Ci为第i次定期支付该基金交易账户实际可获得的现金支付金额，计算结果四舍五入保留到小数点后两位；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Pi为第i次定期支付权益登记日的基金份额净值；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R为年化现金支付比率；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ti（i&gt;1）为第i-1次定期支付权益登记日（不含该日）至第i次定期支付权益登记日（含该日）之间的天数，t1为基金合同生效日（含该日）至第1次定期支付权益登记日（含该日）之间的天数；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T为365天；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Mi为第i次定期支付权益登记日基金份额持有人在该基金交易账户确认持有的份额数。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由于计算过程尾差的处理，投资人实际可获得的现金支付金额（即Ci），与按照每份基金份额对应的现金支付金额乘以其权益登记日持有的份额数（即Di×Mi）计算得到的结果可能存在一定尾差。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当前的年化现金支付比率为4%，基金管理人可以根据基金实际运作情况和市场环境的变化，在履行适当程序后对上述约定的年化现金支付比率进行调整，并至少在调整前一个月公告，上述调整不须召开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假设本基金合同生效日为2013年1月8日，于2013年3月进行了第一次定期支付，2013年3月1日为当月定期支付基准日和权益登记日，假设该日的基金份额净值为1.010元，2013年1月8（含）至2013年3月1日（含）之间的天数为53天，则该次定期支付每份基金份额对应的现金支付金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D1= 1.010×(4%×53/365)=0.005866元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若某基金份额持有人的基金交易账户在2013年3月1日确认持有的份额数为1,000份，则第一次定期支付该基金交易账户对应的自动赎回用于现金支付的份额数为：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n1=1,000×1.010×(4%×53/365)/ 1.010=5.81份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第一次定期支付该基金交易账户实际可获得的现金支付金额为：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C1=5.81×1.010=5.87元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例八：延续例四的假设条件，假设本基金于2013年4月进行了第二次定期支付， 2013年5月因为发生了基金合同约定暂停定期支付的情形且基金管理人决定暂停了当月的定期支付，本基金又于2013年6月进行第三次定期支付。2013年4月1日和6月3日分别为第二次和第三次定期支付的基准日和权益登记日，假设2013年4月1日的基金份额净值为0.996元，2013年6月3日的基金份额净值为1.018元， 2013年3月1（不含）至2013年4月1日（含）之间的天数为31天，2013年4月1（不含）至2013年6月3日（含）之间的天数为63天，则第二次和第三次定期支付每份基金份额对应的现金支付金额分别为：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D2=0.996×(4%×31/365)=0.003384元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D3=1.018×(4%×63/365)=0.007028元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若某基金份额持有人的基金交易账户在2013年4月1日和6月3日确认持有的份额数仍为1,000份，则第二次和第三次定期支付该基金交易账户对应的自动赎回用于现金支付的份额数分别为：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n2=1000×0.996×(4%×31/365)/0.996=3.40份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n3=1000×1.018×(4%×63/365)/1.018=6.90份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第二次和第三次定期支付该基金交易账户实际可获得的现金支付金额分别为：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C2=3.40×0.996=3.39元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C3=6.90×1.018=7.02元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（四）定期支付的确认原则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1、定期支付每期自动赎回用以现金支付的基金份额时，按“先进先出”的原则进行处理，即先自动赎回登记确认日期在先的基金份额；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机构办理登记业务时，基金份额持有人主动发起的份额减少业务（包括赎回、转换出及转托管出）或者登记机构发起的其他非定期支付份额减少业务的确认原则上优先于定期支付业务的确认；每期自动赎回用以定期支付的基金份额时，若因当日该账户同时有其他的份额减少业务被确认而导致基金份额余额不足时，当期的定期支付业务将被确认失败，即该账户当期不进行现金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九：假设本基金于2013年7月进行了定期支付，2013年7月1日为当月定期支付的基准日和权益登记日。假设某基金份额持有人的基金交易账户在2013年7月1日确认持有的份额数为10,000份，根据计算公式计算当月该基金交易账户对应的自动赎回用于现金支付的份额数为65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该基金份额持有人于2013年7月1日提交申请赎回份额9,500份，该赎回申请将优先于定期支付自动赎回业务被确认，确认后该基金账户的剩余份额为500份，高于定期支付自动赎回的份额，则该次定期支付业务也被确认成功，即该份额持有人除获得申请赎回份额的赎回款，还将获得该次定期支付的现金支付金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该基金份额持有人于2013年7月1日提交申请赎回份额9,940份，该赎回申请将优先于定期支付自动赎回业务被确认，确认后该基金账户的剩余份额为60份，低于定期支付自动赎回的份额，则该次定期支付业务将被确认失败，即该账户当月不再进行现金支付，该份额持有人只获得申请赎回份额的赎回款。</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（五）实施侧袋机制期间的收益分配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4" w:name="_Toc230092166"/>
      <w:r>
        <w:rPr>
          <w:rFonts w:ascii="Times New Roman" w:hAnsi="Times New Roman"/>
          <w:sz w:val="30"/>
        </w:rPr>
        <w:lastRenderedPageBreak/>
        <w:t>十一、基金的投资</w:t>
      </w:r>
      <w:bookmarkEnd w:id="14"/>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本基金精选具有较高息票率的债券，以获取稳定的债息收入，并通过适当参与股票市场，力争实现基金资产的长期增值。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本基金在分析和判断国内外宏观经济形势的基础上，并在基金合同约定的资产配置范围内以投资时钟理论为指导，通过对经济周期所处的发展阶段及其趋势的分</w:t>
      </w:r>
      <w:r>
        <w:rPr>
          <w:rFonts w:ascii="宋体" w:hAnsi="宋体"/>
          <w:sz w:val="24"/>
        </w:rPr>
        <w:lastRenderedPageBreak/>
        <w:t>析和判断以及不同资产类别的预期表现，对基金资产配置进行动态调整，在有效控制投资组合风险的基础上，提高基金资产风险调整后收益。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考察收益率曲线的基础上，本基金将确定采用子弹策略、哑铃策略或梯形策略等，以从收益率曲线的形变中获利。一般而言，当收益率曲线变陡时，将采用子弹策略；当收益率曲线变平时，将采用哑铃策略；在预期收益率曲线不变或平行移动时，则采用梯形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信用债券同时承载了利率风险与信用风险，而信用风险对信用债券表现的影响胜于利率风险。具体而言，本基金信用债券的投资遵循以下流程：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本基金从信用债券池中精选债券构建信用债券投资组合，主要考虑以下因素：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具体而言，本基金股票投资策略包括新股投资策略和股票二级市场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（1）股票二级市场投资策略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有效提升基金的整体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（2）新股投资策略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分析影响股票一级市场资金面的相关市场风险收益特征的变化、股票发行政策取向，预测新股一级市场供求关系的变化。同时在研究建议的基础上，本基金预测拟申购新股的中签率和收益率，确定合理规模的资金后精选个股，在控制组合波动性风险的前提下提升基金的收益水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（1）本基金固定收益类资产的比例不低于基金资产净值的80%，股票（含存托凭证）、权证等权益类资产的投资比例不高于基金资产净值的20%；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（6）本基金持有的全部权证，其市值不得超过基金资产净值的3%；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（7）本基金管理人管理的全部基金持有的同一权证，不得超过该权证的 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（8）本基金在任何交易日买入权证的总金额，不得超过上一交易日基金资产净值的0.5%；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（9）本基金投资于同一原始权益人的各类资产支持证券的比例，不得超过基金资产净值的10%；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（10）本基金持有的全部资产支持证券，其市值不得超过基金资产净值的20%；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（11）本基金持有的同一(指同一信用级别)资产支持证券的比例，不得超过该资产支持证券规模的10%；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（12）本基金管理人管理的全部基金投资于同一原始权益人的各类资产支持证券，不得超过其各类资产支持证券合计规模的10%；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（13）本基金应投资于信用级别评级为BBB以上(含BBB)的资产支持证券。基金持有资产支持证券期间，如果其信用等级下降、不再符合投资标准，应在评级报告发布之日起3个月内予以全部卖出；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（14）基金财产参与股票发行申购，本基金所申报的金额不超过本基金的总资产，本基金所申报的股票数量不超过拟发行股票公司本次发行股票的总量；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（15）本基金进入全国银行间同业市场进行债券回购的资金余额不得超过基金资产净值的40%；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13）、（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w:t>
      </w:r>
      <w:r>
        <w:rPr>
          <w:rFonts w:ascii="宋体" w:hAnsi="宋体"/>
          <w:sz w:val="24"/>
        </w:rPr>
        <w:lastRenderedPageBreak/>
        <w:t>起开始。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法律法规或监管部门取消或修改上述限制，如适用于本基金，基金管理人在履行适当程序后，则本基金投资所受限制相应调整。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90%×中债综合全价指数收益率+10%×沪深300指数收益率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14类券种，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沪深300指数由中证指数有限公司编制并发布，指数样本覆盖了沪深两地大部分流通市值，成分股均为A股市场中代表性强且流动性高的主流投资股票, 能够反映中国证券市场股票价格变动的概貌和运行状况，适合作为本基金权益类资产投资的业绩比较基准。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考虑到本基金的投资比例及各投资对象价格的变动对基金净值的不同影响，本基金对上述两个基准指数按照目标资产配置比例分配权重，作为综合衡量本基金投</w:t>
      </w:r>
      <w:r>
        <w:rPr>
          <w:rFonts w:ascii="宋体" w:hAnsi="宋体"/>
          <w:sz w:val="24"/>
        </w:rPr>
        <w:lastRenderedPageBreak/>
        <w:t>资业绩的比较基准。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（八）基金管理人代表基金行使股东及债权人权利的处理原则及方法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（十）基金投资组合报告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本基金托管人中国建设银行根据本基金合同规定，于2025年04月18日复核了本报告中的财务指标、净值表现和投资组合报告等内容，保证复核内容不存在虚假记载、误导性陈述或者重大遗漏。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本报告期为2025年01月01日起至03月31日。本报告财务资料未经审计师审计。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373,973.00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373,973.00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9,558,480.46</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9,558,480.46</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80.15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1,991,526.31</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16.70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1,788.31</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11,925,768.08</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10,388.00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319,026.00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2.68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G</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39,414.00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5,145.00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373,973.00</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59,878.00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000423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东阿阿胶</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54,405.00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麦加芯彩</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40,280.00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37,490.00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002624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完美世界</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34,410.00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圣邦股份</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26,178.00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000651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格力电器</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22,730.00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宏达电子</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18,965.00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600562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国睿科技</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16,288.00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300666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江丰电子</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14,990.00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6,496,199.73</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54.59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3,062,280.73</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25.73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9,558,480.46</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80.32</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65,000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6,496,199.73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54.59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4,010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483,791.67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4.07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2,430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270,950.99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2,480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269,994.88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2,260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227,461.51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2024年06月07日,国家金融监督管理总局上海监管局公示沪金罚决字[2024]43号行政处罚决定书,给予上海银行股份有限公司80万元人民币的行政处罚。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2025年01月02日,国家金融监督管理总局上海监管局公示沪金罚决字[2024]236号行政处罚决定书,给予上海银行股份有限公司200万元人民币的行政处罚。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2025年03月28日,央行公示银罚决字[2025]2号行政处罚决定书,给予上海银行股份有限公司110万元人民币的行政处罚。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1,678.32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109.99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1,788.31</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483,791.67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4.07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270,950.99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110059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浦发转债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269,994.88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227,461.51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1.91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嘉元转债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154,594.93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148,716.96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r>
              <w:rPr>
                <w:rFonts w:ascii="Times New Roman" w:hAnsi="Times New Roman"/>
                <w:color w:val="000000"/>
                <w:kern w:val="0"/>
                <w:sz w:val="25"/>
                <w:szCs w:val="24"/>
              </w:rPr>
              <w:t>三峡</w:t>
            </w:r>
            <w:r>
              <w:rPr>
                <w:rFonts w:ascii="Times New Roman" w:hAnsi="Times New Roman"/>
                <w:color w:val="000000"/>
                <w:kern w:val="0"/>
                <w:sz w:val="25"/>
                <w:szCs w:val="24"/>
              </w:rPr>
              <w:t>EB2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135,976.63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134,935.68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123,054.16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122,739.21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120,712.39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首华转债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111,044.01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双良转债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104,175.55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94,447.15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0.79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92,376.84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113542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好客转债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87,006.31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58,964.23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豪鹏转债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55,186.02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48,958.81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42,626.46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35,035.08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家联转债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31,414.39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立高转债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30,160.04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晓鸣转债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23,098.90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冠盛转债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13,319.06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美诺转债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11,620.38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11,317.14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5,657.99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信服转债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5,407.10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4,174.06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128097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奥佳转债</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3,362.20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由于四舍五入的原因，分项之和与合计项之间可能存在尾差。</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5" w:name="_Toc230092167"/>
      <w:r>
        <w:rPr>
          <w:rFonts w:ascii="Times New Roman" w:hAnsi="Times New Roman"/>
          <w:sz w:val="30"/>
        </w:rPr>
        <w:lastRenderedPageBreak/>
        <w:t>十二、基金的业绩</w:t>
      </w:r>
      <w:bookmarkEnd w:id="15"/>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基金业绩截止日为2025年03月31日，所载财务数据未经审计师审计。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（1）交银定期支付月月丰债券A：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-5.28%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-6.21%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-4.43%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10.64%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6.11%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1.66%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14.41%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9.37%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16.95%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6.40%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（2）交银定期支付月月丰债券C：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-4.82%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2.65%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4.53%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5.69%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-2.54%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3.84%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13.91%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5.04%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8.87%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16.27%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10.55%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rsidR="00D50B2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注：本基金的业绩比较基准为90%×中债综合全价指数收益率+10%×沪深300指数收益率，每日进行再平衡过程。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50B26" w:rsidRDefault="00BB431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交银施罗德定期支付月月丰债券型证券投资基金</w:t>
      </w:r>
    </w:p>
    <w:p w:rsidR="00D50B26" w:rsidRDefault="00BB431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D50B26" w:rsidRDefault="00BB431D">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（2013年8月13日至2025年03月31日）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（1）交银定期支付月月丰债券A</w:t>
      </w:r>
    </w:p>
    <w:p w:rsidR="00D50B26" w:rsidRDefault="001A354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（2）交银定期支付月月丰债券C</w:t>
      </w:r>
    </w:p>
    <w:p w:rsidR="00D50B26" w:rsidRDefault="001A3543">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9" type="#_x0000_t75" style="width:439.5pt;height:268.5pt">
            <v:imagedata r:id="rId19" o:title="1521256610242020828"/>
          </v:shape>
        </w:pic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6" w:name="_Toc230092168"/>
      <w:r>
        <w:rPr>
          <w:rFonts w:ascii="Times New Roman" w:hAnsi="Times New Roman"/>
          <w:sz w:val="30"/>
        </w:rPr>
        <w:lastRenderedPageBreak/>
        <w:t>十三、基金的财产</w:t>
      </w:r>
      <w:bookmarkEnd w:id="16"/>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7" w:name="_Toc230092169"/>
      <w:r>
        <w:rPr>
          <w:rFonts w:ascii="Times New Roman" w:hAnsi="Times New Roman"/>
          <w:sz w:val="30"/>
        </w:rPr>
        <w:lastRenderedPageBreak/>
        <w:t>十四、基金资产的估值</w:t>
      </w:r>
      <w:bookmarkEnd w:id="17"/>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7、相关法律法规以及监管部门有强制规定的，从其规定。如有新增事项，按国家最新规定估值。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（五）估值错误的处理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基金管理人和基金托管人将采取必要、适当、合理的措施确保基金资产估值的准确性、及时性。当基金份额净值小数点后第3位以内（含第3位）发生估值错误时，视为基金份额净值错误。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本基金基金合同的当事人应按照以下约定处理：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w:t>
      </w:r>
      <w:r>
        <w:rPr>
          <w:rFonts w:ascii="宋体" w:hAnsi="宋体"/>
          <w:sz w:val="24"/>
        </w:rPr>
        <w:lastRenderedPageBreak/>
        <w:t>还给受损方，则受损方应当将其已经获得的赔偿额加上已经获得的不当得利返还的总和超过其实际损失的差额部分支付给估值错误责任方。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（六）暂停估值的情形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（七）基金净值的确认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（八）特殊情形的处理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（九）实施侧袋机制期间的基金资产估值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8" w:name="_Toc230092170"/>
      <w:r>
        <w:rPr>
          <w:rFonts w:ascii="Times New Roman" w:hAnsi="Times New Roman"/>
          <w:sz w:val="30"/>
        </w:rPr>
        <w:lastRenderedPageBreak/>
        <w:t>十五、基金收益与分配</w:t>
      </w:r>
      <w:bookmarkEnd w:id="18"/>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在存续期内，本基金按照基金合同的约定每月定期向基金份额持有人支付一定的现金，除上述定期支付外，本基金不另外进行收益分配。关于定期支付的相关规定见本招募说明书第十部分“基金的定期支付”。</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19" w:name="_Toc230092171"/>
      <w:r>
        <w:rPr>
          <w:rFonts w:ascii="Times New Roman" w:hAnsi="Times New Roman"/>
          <w:sz w:val="30"/>
        </w:rPr>
        <w:lastRenderedPageBreak/>
        <w:t>十六、基金的费用与税收</w:t>
      </w:r>
      <w:bookmarkEnd w:id="19"/>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本基金的管理费按前一日基金资产净值的0.7%年费率计提。管理费的计算方法如下：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H＝E×0.7%÷当年天数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托管人根据与基金管理人核对一致的财务数据，自动在月初5个工作日内、按照指定的账户路径进行资金支付，基金管理人无需再出具资金划拨指令。若遇不可抗力致使无法按时支付的，支付日期顺延至最近可支付日。费用自动扣划后，基金管理人应进行核对，如发现数据不符，及时联系托管人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w:t>
      </w:r>
      <w:r>
        <w:rPr>
          <w:rFonts w:ascii="宋体" w:hAnsi="宋体"/>
          <w:sz w:val="24"/>
        </w:rPr>
        <w:lastRenderedPageBreak/>
        <w:t>相应协议规定，按费用实际支出金额列入当期费用，由基金托管人从基金财产中支付。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和基金管理人网站上刊登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0" w:name="_Toc230092172"/>
      <w:r>
        <w:rPr>
          <w:rFonts w:ascii="Times New Roman" w:hAnsi="Times New Roman"/>
          <w:sz w:val="30"/>
        </w:rPr>
        <w:lastRenderedPageBreak/>
        <w:t>十七、基金的会计与审计</w:t>
      </w:r>
      <w:bookmarkEnd w:id="20"/>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1" w:name="_Toc230092173"/>
      <w:r>
        <w:rPr>
          <w:rFonts w:ascii="Times New Roman" w:hAnsi="Times New Roman"/>
          <w:sz w:val="30"/>
        </w:rPr>
        <w:lastRenderedPageBreak/>
        <w:t>十八、基金的信息披露</w:t>
      </w:r>
      <w:bookmarkEnd w:id="21"/>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次日，通过指定网站、基金销售机构网站或者营业网点披露开放日的A类基金份额和C类基金份额所对应的基金份额净值和基金份额累计净值。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2" w:name="_Toc230092174"/>
      <w:r>
        <w:rPr>
          <w:rFonts w:ascii="Times New Roman" w:hAnsi="Times New Roman"/>
          <w:sz w:val="30"/>
        </w:rPr>
        <w:lastRenderedPageBreak/>
        <w:t>十九、侧袋机制</w:t>
      </w:r>
      <w:bookmarkEnd w:id="22"/>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50B26" w:rsidRDefault="00BB431D">
      <w:pPr>
        <w:pStyle w:val="1"/>
        <w:snapToGrid w:val="0"/>
        <w:spacing w:beforeLines="0" w:before="240" w:after="240"/>
        <w:rPr>
          <w:rFonts w:ascii="宋体" w:hAnsi="宋体"/>
          <w:szCs w:val="30"/>
        </w:rPr>
      </w:pPr>
      <w:bookmarkStart w:id="23" w:name="_Toc230092175"/>
      <w:r>
        <w:rPr>
          <w:rFonts w:ascii="Times New Roman" w:hAnsi="Times New Roman"/>
          <w:sz w:val="30"/>
        </w:rPr>
        <w:lastRenderedPageBreak/>
        <w:t>二十、风险揭示</w:t>
      </w:r>
      <w:bookmarkEnd w:id="23"/>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定期支付时的自动赎回份额不纳入以上赎回份额计算）超过基金总份额的百分之十时，投资人将可能无法及时赎回持有的全部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定期支付时的自动赎回份额不纳入以上赎回份额计算）超过前一开放日的基金总份额的10%，即认为是发生了巨额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w:t>
      </w:r>
      <w:r>
        <w:rPr>
          <w:rFonts w:ascii="宋体" w:hAnsi="宋体"/>
          <w:sz w:val="24"/>
        </w:rPr>
        <w:lastRenderedPageBreak/>
        <w:t>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本基金为债券型基金，固定收益类资产的比例不低于基金资产净值的80%，因投资固定收益类资产而面临的固定收益类资产市场的系统性风险和个券风险；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本基金可投资科创板股票和创业板股票，科创板和创业板个股上市后的前五个交易日不设价格涨跌幅限制，第六个交易日开始涨跌幅限制比例为20%。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（六）本基金定期支付相关的特定风险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1、定期支付不等同于收益分配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定期支付并不等同于收益分配。按照目前法律法规的规定，基金的收益分配以基金具有可供分配利润为前提，且分配金额不得超过可供分配利润；而定期支付不以本基金具有可供分配利润为前提，且定期支付金额按照招募说明书约定</w:t>
      </w:r>
      <w:r>
        <w:rPr>
          <w:rFonts w:ascii="宋体" w:hAnsi="宋体"/>
          <w:sz w:val="24"/>
        </w:rPr>
        <w:lastRenderedPageBreak/>
        <w:t>的年化现金支付比率计算，不以基金的可供分配利润为上限，其实质是按基金合同的约定定期自动赎回持有人的部分基金份额进行现金支付。在基金投资亏损的情况下，除非发生基金合同约定的暂停定期支付的事由，本基金仍将进行定期支付。因此，即便投资者对于本基金的投资未取得收益甚至发生亏损，仍可能发生部分份额的自动赎回，由此投资者就该部分被赎回的份额将失去取得预期收益或者通过未来净值上涨而弥补亏损的机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基金收益分配时，对基金份额净值进行除息（即扣减每份收益分配金额）处理；而定期支付不对基金份额净值进行除息处理，但因自动赎回部分基金份额进行现金支付，会造成投资者所持有基金份额的缩减，为此，基金管理人未来将视基金实际运作情况对基金实施份额拆分，份额拆分不会对基金份额持有人的权益造成实质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2、年化现金支付比率不代表基金实际投资收益率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本基金招募说明书约定的年化现金支付比率用以计算定期支付金额，不代表基金实际投资收益率。按照约定的年化现金支付比率计算的定期支付金额可能大于也可能小于当期基金的实际投资收益。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3、定期支付被确认失败的风险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每期定期支付时，由于基金份额持有人主动发起的份额减少业务（包括赎回、转换出及转托管出）或者登记机构发起的其他非定期支付份额减少业务的确认原则上优先于定期支付业务的确认，若因当日该账户同时有其他的份额减少业务被确认而导致基金份额余额不足时，当期的定期支付业务将被确认失败，即该账户当期不进行现金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4、年化现金支付比率发生调整的风险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有权根据基金实际运作情况和市场环境的变化调整年化现金支付比率。因此未来年化现金支付比率可能会发生变化，可能高于也可能低于当前的年化现金支付比率。年化现金支付比率的变化会影响定期支付数额，并将会对投资者的实际投资收益产生正面或负面的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w:t>
      </w:r>
      <w:r>
        <w:rPr>
          <w:rFonts w:ascii="宋体" w:hAnsi="宋体"/>
          <w:sz w:val="24"/>
        </w:rPr>
        <w:lastRenderedPageBreak/>
        <w:t>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（九）其他风险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4" w:name="_Toc230092176"/>
      <w:r>
        <w:rPr>
          <w:rFonts w:ascii="Times New Roman" w:hAnsi="Times New Roman"/>
          <w:sz w:val="30"/>
        </w:rPr>
        <w:lastRenderedPageBreak/>
        <w:t>二十一、基金合同的变更、终止与基金财产的清算</w:t>
      </w:r>
      <w:bookmarkEnd w:id="24"/>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5、基金财产清算的期限为6个月，若遇基金持有的股票或其他有价证券出现长期休市、停牌或其他流通受限的情形除外。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5" w:name="_Toc230092177"/>
      <w:r>
        <w:rPr>
          <w:rFonts w:ascii="Times New Roman" w:hAnsi="Times New Roman"/>
          <w:sz w:val="30"/>
        </w:rPr>
        <w:lastRenderedPageBreak/>
        <w:t>二十二、基金合同内容摘要</w:t>
      </w:r>
      <w:bookmarkEnd w:id="25"/>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（一）基金合同当事人及权利义务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3）依照基金合同收取基金管理费以及法律法规规定或中国证监会批准的其他收入；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回、转换和非交易过户等的业务规则；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w:t>
      </w:r>
      <w:r>
        <w:rPr>
          <w:rFonts w:ascii="宋体" w:hAnsi="宋体"/>
          <w:sz w:val="24"/>
        </w:rPr>
        <w:lastRenderedPageBreak/>
        <w:t>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8）复核、审查基金管理人计算的基金资产净值、基金份额净值、基金份额申购、赎回价格、基金业绩数据等；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4）缴纳基金认购、申购、赎回款项及法律法规和基金合同所规定的费用；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w:t>
      </w:r>
      <w:r>
        <w:rPr>
          <w:rFonts w:ascii="宋体" w:hAnsi="宋体"/>
          <w:sz w:val="24"/>
        </w:rPr>
        <w:lastRenderedPageBreak/>
        <w:t>有平等的投票权。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6）在法律法规和基金合同规定的范围内调整本基金份额类别的设置；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7）基金管理人根据基金实际运作情况和市场环境的变化，对年化现金支付比率进行调整；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（1）召开基金份额持有人大会，召集人应于会议召开前30日，在指定媒介公告。基金份额持有人大会通知应至少载明以下内容：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w:t>
      </w:r>
      <w:r>
        <w:rPr>
          <w:rFonts w:ascii="宋体" w:hAnsi="宋体"/>
          <w:sz w:val="24"/>
        </w:rPr>
        <w:lastRenderedPageBreak/>
        <w:t>的基金份额不少于本基金在权益登记日基金总份额的50%（含50%）。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3）本人直接出具书面意见或授权他人代表出具书面意见的，基金份额持有人所持有的基金份额不小于在权益登记日基金总份额的50%（含50%）；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（3）在法律法规或监管机关允许的情况下，本基金亦可采用网络、电话等其他非书面方式由基金份额持有人向其授权代表进行授权。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（4）在法律法规和监管机关允许的情况下，本基金亦可采用网络、电话等其他非现场方式或者以非现场方式与现场方式结合的方式召开基金份额持有人大会，会议程序比照现场开会和通讯方式开会的程序进行。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基金份额持有人大会的召集人发出召集会议的通知后，对原有提案的修改应当在基金份额持有人大会召开前及时公告。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（1）一般决议，一般决议须经参加大会的基金份额持有人或其代理人所持表决权的50%以上（含50%）通过方为有效；除下列第（2）项所规定的须以特别决议通过事项以外的其他事项均以一般决议的方式通过。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2/3以上（含2/3）通过方可做出。转换基金运作方式、更换基金管理人或者基金托管人、终止基金合同以特别决议通过方为有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基金份额持有人大会的决议，召集人应当自通过之日起5日内报中国证监会核准或者备案。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基金份额持有人大会的决议自中国证监会依法核准或者出具无异议意见之日起生效。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（7）特别决议应当经参加大会的基金份额持有人或其代理人所持表决权的三分之二以上（含三分之二）通过。</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10、法律法规或监管部门对基金份额持有人大会另有规定的，从其规定。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（2）关于基金合同变更的基金份额持有人大会决议经中国证监会核准或出具无异议意见后方可执行，自决议生效后依照《信息披露办法》的规定在指定媒介公告。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（四）争议的处理和适用的法律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w:t>
      </w:r>
      <w:r>
        <w:rPr>
          <w:rFonts w:ascii="宋体" w:hAnsi="宋体"/>
          <w:sz w:val="24"/>
        </w:rPr>
        <w:lastRenderedPageBreak/>
        <w:t>场所和营业场所查阅，但应以基金合同正本为准。</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6" w:name="_Toc230092178"/>
      <w:r>
        <w:rPr>
          <w:rFonts w:ascii="Times New Roman" w:hAnsi="Times New Roman"/>
          <w:sz w:val="30"/>
        </w:rPr>
        <w:lastRenderedPageBreak/>
        <w:t>二十三、托管协议的内容摘要</w:t>
      </w:r>
      <w:bookmarkEnd w:id="26"/>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（1）本基金固定收益类资产的比例不低于基金资产净值的80%，股票（含存托凭证）、权证等权益类资产的投资比例不高于基金资产净值的20%；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（4）本基金管理人管理且由本基金托管人托管的全部开放式基金（包括开放式基金以及处于开放期的定期开放基金）持有一家上市公司发行的可流通股票，不</w:t>
      </w:r>
      <w:r>
        <w:rPr>
          <w:rFonts w:ascii="宋体" w:hAnsi="宋体"/>
          <w:sz w:val="24"/>
        </w:rPr>
        <w:lastRenderedPageBreak/>
        <w:t>得超过该上市公司可流通股票的15%；本基金管理人管理且由本基金托管人托管的全部投资组合持有一家上市公司发行的可流通股票，不得超过该上市公司可流通股票的30%；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（6）本基金在任何交易日买入权证的总金额，不得超过上一交易日基金资产净值的0.5%；</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（8）本基金持有的全部资产支持证券，其市值不得超过基金资产净值的20%；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（9）本基金持有的同一(指同一信用级别)资产支持证券的比例，不得超过该资产支持证券规模的10%；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（12）本基金进入全国银行间同业市场进行债券回购的资金余额不得超过基金资产净值的40%；</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（13）本基金持有的所有流通受限证券，其公允价值不得超过本基金资产净值的15%；本基金持有的同一流通受限证券，其公允价值不得超过本基金资产净值的2%；</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如果法律法规对上述投资组合比例限制进行变更的，以变更后的规定为准。法</w:t>
      </w:r>
      <w:r>
        <w:rPr>
          <w:rFonts w:ascii="宋体" w:hAnsi="宋体"/>
          <w:sz w:val="24"/>
        </w:rPr>
        <w:lastRenderedPageBreak/>
        <w:t>律法规或监管部门取消上述限制，如适用于本基金，则本基金投资不再受相关限制。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10）、（14）、（15）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w:t>
      </w:r>
      <w:r>
        <w:rPr>
          <w:rFonts w:ascii="宋体" w:hAnsi="宋体"/>
          <w:sz w:val="24"/>
        </w:rPr>
        <w:lastRenderedPageBreak/>
        <w:t>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本基金投资的受限证券限于可由中国证券登记结算有限责任公司或中央国债登记结算有限责任公司负责登记和存管，并可在证券交易所或全国银行间债券市场交易的证券。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受限证券应保证登记存管在本基金名下，基金管理人负责相关工作的落实和协调，并确保基金托管人能够正常查询。因基金管理人原因产生的受限证券登记存管问题，造成基金托管人无法安全保管本基金资产的责任与损失，及因受限证券存管直接影响本基金安全的责任及损失，由基金管理人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本基金投资受限证券，不得预付任何形式的保证金。</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投资非公开发行股票，应制订流动性风险处置预案并经其董事会批准。风险处置预案应包括但不限于因投资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规定承担所有损失。对本基金因投资受限证券导致的流动性风险，基金托管人不承担任何责任。如因基金管理人原因导致本基金出现损失致使基金托管人承担连带赔偿责任的，基金管理人应赔偿基金托管人由此遭受的损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本基金有关投资受限证券比例如违反有关限制规定，在合理期限内未能进行及时调整，基金管理人应在两个工作日内编制临时报告书，予以公告。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1）本基金投资受限证券时的法律法规遵守情况。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2）在基金投资受限证券管理工作方面有关制度、流动性风险处置预案的建立与完善情况。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3）有关比例限制的执行情况。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（6）相关法律法规对基金投资受限证券有新规定的，从其规定。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w:t>
      </w:r>
      <w:r>
        <w:rPr>
          <w:rFonts w:ascii="宋体" w:hAnsi="宋体"/>
          <w:sz w:val="24"/>
        </w:rPr>
        <w:lastRenderedPageBreak/>
        <w:t>托管人安全保管基金财产、开设基金财产的资金账户和证券账户、复核基金管理人计算的基金资产净值和基金份额净值、根据基金管理人指令办理清算交收、相关信息披露和监督基金投资运作等行为。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w:t>
      </w:r>
      <w:r>
        <w:rPr>
          <w:rFonts w:ascii="宋体" w:hAnsi="宋体"/>
          <w:sz w:val="24"/>
        </w:rPr>
        <w:lastRenderedPageBreak/>
        <w:t>人应及时通知基金管理人采取措施进行催收。由此给基金财产造成损失的，基金管理人应负责向有关当事人追偿基金财产的损失，基金托管人对此不承担任何责任。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w:t>
      </w:r>
      <w:r>
        <w:rPr>
          <w:rFonts w:ascii="宋体" w:hAnsi="宋体"/>
          <w:sz w:val="24"/>
        </w:rPr>
        <w:lastRenderedPageBreak/>
        <w:t>得使用基金的任何账户进行本基金业务以外的活动。</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本基金签署的与基金财产有关的重大合</w:t>
      </w:r>
      <w:r>
        <w:rPr>
          <w:rFonts w:ascii="宋体" w:hAnsi="宋体"/>
          <w:sz w:val="24"/>
        </w:rPr>
        <w:lastRenderedPageBreak/>
        <w:t>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d、交易所上市不存在活跃市场的有价证券，采用估值技术确定公允价值。交易所上市的资产支持证券，采用估值技术确定公允价值，在估值技术难以可靠计量公允价值的情况下，按成本估值。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b、首次公开发行未上市的股票、债券和权证，采用估值技术确定公允价值，在估值技术难以可靠计量公允价值的情况下，按成本估值；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c、首次公开发行有明确锁定期的股票，同一股票在交易所上市后，按交易所上市的同一股票的估值方法估值；非公开发行有明确锁定期的股票，按监管机构或行业协会有关规定确定公允价值。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题，如经相关各方在平等基础上充分讨论后，仍无法达成一致意见的，基金管理人向基金托管人出具加盖公章的书面说明后，按照基金管理人对基金资产净值的计算结果对外予以公布。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基金管理人、基金托管人按估值方法的第5）项进行估值时，所造成的误差不作为基金份额净值错误处理。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3、基金估值错误的处理方式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当发生净值计算错误时，由基金管理人负责处理，由此给基金份额持有人和基金造成损失的，应由基金管理人先行赔付，基金管理人按差错情形，有权向其他当事人追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（2）当基金份额净值计算差错给基金和基金份额持有人造成损失需要进行赔偿时，基金管理人和基金托管人应根据实际情况界定双方承担的责任，经确认后按以下条款进行赔偿：</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人或基金支付赔偿金，就实际向投资人或基金支付的赔偿金额，基金管理人与基金托管人按照管理费和托管费的比例各自承担相应的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4）由于基金管理人提供的信息错误（包括但不限于基金申购或赎回金额等），进而导致基金份额净值计算错误而引起的基金份额持有人和基金财产的损失，由基金管理人负责赔付。</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消除由此造成的影响。</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（5）前述内容如法律法规或者监管部门另有规定的，从其规定。如果行业另有通行做法，双方当事人应本着平等和保护基金份额持有人利益的原则进行协商。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（3）占基金相当比例的投资品种的估值出现重大转变，而基金管理人为保障投资人的利益，决定延迟估值；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5、实施侧袋机制期间的基金资产估值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6、基金会计制度</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按国家有关部门规定的会计制度执行。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7、基金账册的建立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8、基金财务报表与报告的编制和复核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1）报表的编制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月结束后5个工作日内完成月度报表的编制；在每个季度结束之日起15个工作日内完成基金季度报告的编制；在上半年结束之日起60日内完成基金半年度报告的编制；在每年结束之日起90日内完成基金年度报告的编制。基金年度报告的财务会计报告应当经过审计。《基金合同》生效不足两个月的，基金管理人可以不编制当期季度报告、半年度报告或者年度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2）报表的复核</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基金管理人应留足充分的时间，便于基金托管人复核相关报表及报告。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9、基金管理人应在编制季度报告、半年度报告或者年度报告之前及时向基金托管人提供基金业绩比较基准的基础数据和编制结果。</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w:t>
      </w:r>
      <w:r>
        <w:rPr>
          <w:rFonts w:ascii="宋体" w:hAnsi="宋体"/>
          <w:sz w:val="24"/>
        </w:rPr>
        <w:lastRenderedPageBreak/>
        <w:t>金份额持有人名册由基金登记机构根据基金管理人的指令编制和保管，基金管理人和基金托管人应分别保管基金份额持有人名册，保存期不少于15年。如不能妥善保管，则按相关法规承担责任。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7" w:name="_Toc230092179"/>
      <w:r>
        <w:rPr>
          <w:rFonts w:ascii="Times New Roman" w:hAnsi="Times New Roman"/>
          <w:sz w:val="30"/>
        </w:rPr>
        <w:lastRenderedPageBreak/>
        <w:t>二十四、对基金份额持有人的服务</w:t>
      </w:r>
      <w:bookmarkEnd w:id="27"/>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www.fund001.com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8" w:name="_Toc230092180"/>
      <w:r>
        <w:rPr>
          <w:rFonts w:ascii="Times New Roman" w:hAnsi="Times New Roman"/>
          <w:sz w:val="30"/>
        </w:rPr>
        <w:lastRenderedPageBreak/>
        <w:t>二十五、其他应披露事项</w:t>
      </w:r>
      <w:bookmarkEnd w:id="28"/>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年第二季度报告提示性公告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w:t>
            </w:r>
            <w:r>
              <w:rPr>
                <w:rFonts w:ascii="Times New Roman" w:hAnsi="Times New Roman"/>
                <w:color w:val="000000"/>
                <w:kern w:val="0"/>
                <w:sz w:val="25"/>
                <w:szCs w:val="24"/>
              </w:rPr>
              <w:t>2024</w:t>
            </w:r>
            <w:r>
              <w:rPr>
                <w:rFonts w:ascii="Times New Roman" w:hAnsi="Times New Roman"/>
                <w:color w:val="000000"/>
                <w:kern w:val="0"/>
                <w:sz w:val="25"/>
                <w:szCs w:val="24"/>
              </w:rPr>
              <w:t>年中期报告提示性公告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交银施罗德基金管理有限公司关于以通讯方式召开交银施罗德定期支付月月丰债券型证券投资基金基金份额持有人大会的公告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交银施罗德基金管理有限公司关于以通讯方式召开交银施罗德定期支付月月丰债券型证券投资基金基金份额持有人大会的第一次提示性公告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2024-09-12</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交银施罗德基金管理有限公司关于以通讯方式召开交银施罗德定期支付月月丰债券型证券投资基金基金份额持有人大会的第二次提示性公告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2024-09-13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交银施罗德基金管理有限公司关于交银施罗德定期支付月月丰债券型证券投资基金基金份额持有人大会会议情况的公告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交银施罗德基金管理有限公司关于交银施罗德定期支付月月丰债券型证券投资基金调整年化现金支付比率的公告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2024-11-30</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交银施罗德基金管理有限公司关于交银施罗德定期支付月月丰债券型证券投资基金基金经理变更公告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2024-12-31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关于交银施罗德定期支付月月丰债券型证券投资基金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年度支付比率的公告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2025-01-06</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交银施罗德定期支付月月丰债券型证券投资基金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D50B2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50B26" w:rsidRDefault="00BB43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bl>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29" w:name="_Toc230092181"/>
      <w:r>
        <w:rPr>
          <w:rFonts w:ascii="Times New Roman" w:hAnsi="Times New Roman"/>
          <w:sz w:val="30"/>
        </w:rPr>
        <w:lastRenderedPageBreak/>
        <w:t>二十六、招募说明书的存放及查阅方式</w:t>
      </w:r>
      <w:bookmarkEnd w:id="29"/>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BB431D"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50B26" w:rsidRDefault="00BB431D">
      <w:pPr>
        <w:pStyle w:val="1"/>
        <w:snapToGrid w:val="0"/>
        <w:spacing w:beforeLines="0" w:before="240" w:after="240"/>
        <w:rPr>
          <w:rFonts w:ascii="宋体" w:hAnsi="宋体"/>
          <w:szCs w:val="30"/>
        </w:rPr>
      </w:pPr>
      <w:bookmarkStart w:id="30" w:name="_Toc230092182"/>
      <w:r>
        <w:rPr>
          <w:rFonts w:ascii="Times New Roman" w:hAnsi="Times New Roman"/>
          <w:sz w:val="30"/>
        </w:rPr>
        <w:lastRenderedPageBreak/>
        <w:t>二十七、备查文件</w:t>
      </w:r>
      <w:bookmarkEnd w:id="30"/>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（一）中国证监会批准交银施罗德定期支付月月丰债券型证券投资基金募集的文件</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（二）《交银施罗德定期支付月月丰债券型证券投资基金基金合同》</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（三）《交银施罗德定期支付月月丰债券型证券投资基金托管协议》</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50B26" w:rsidRDefault="00BB431D">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（六）关于申请募集交银施罗德定期支付月月丰债券型证券投资基金之法律意见书</w:t>
      </w:r>
    </w:p>
    <w:sectPr w:rsidR="00D50B26">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30E" w:rsidRDefault="00BB431D">
      <w:r>
        <w:separator/>
      </w:r>
    </w:p>
  </w:endnote>
  <w:endnote w:type="continuationSeparator" w:id="0">
    <w:p w:rsidR="0058430E" w:rsidRDefault="00BB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D50B2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1A354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50B26" w:rsidRDefault="00BB431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A3543">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D50B2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1A3543">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50B26" w:rsidRDefault="00BB431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1A3543">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30E" w:rsidRDefault="00BB431D">
      <w:r>
        <w:separator/>
      </w:r>
    </w:p>
  </w:footnote>
  <w:footnote w:type="continuationSeparator" w:id="0">
    <w:p w:rsidR="0058430E" w:rsidRDefault="00BB4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D50B2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BB431D">
    <w:pPr>
      <w:pStyle w:val="a3"/>
      <w:jc w:val="right"/>
      <w:rPr>
        <w:rFonts w:ascii="宋体" w:hAnsi="宋体"/>
      </w:rPr>
    </w:pPr>
    <w:r>
      <w:rPr>
        <w:rFonts w:ascii="宋体" w:hAnsi="宋体" w:hint="eastAsia"/>
      </w:rPr>
      <w:t>交银施罗德定期支付月月丰债券型证券投资基金招募说明书更新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D50B26">
    <w:pPr>
      <w:pStyle w:val="10"/>
      <w:jc w:val="right"/>
    </w:pPr>
  </w:p>
  <w:p w:rsidR="00D50B26" w:rsidRDefault="00D50B26">
    <w:pPr>
      <w:pStyle w:val="10"/>
      <w:jc w:val="right"/>
    </w:pPr>
  </w:p>
  <w:p w:rsidR="00D50B26" w:rsidRDefault="00D50B26">
    <w:pPr>
      <w:pStyle w:val="a3"/>
      <w:jc w:val="right"/>
    </w:pPr>
  </w:p>
  <w:p w:rsidR="00D50B26" w:rsidRDefault="00BB431D">
    <w:pPr>
      <w:pStyle w:val="a3"/>
      <w:jc w:val="right"/>
      <w:rPr>
        <w:rFonts w:ascii="宋体" w:hAnsi="宋体"/>
      </w:rPr>
    </w:pPr>
    <w:r>
      <w:rPr>
        <w:rFonts w:ascii="宋体" w:hAnsi="宋体" w:hint="eastAsia"/>
      </w:rPr>
      <w:t>交银施罗德定期支付月月丰债券型证券投资基金招募说明书更新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B26" w:rsidRDefault="00D50B26">
    <w:pPr>
      <w:pStyle w:val="a3"/>
      <w:jc w:val="right"/>
    </w:pPr>
  </w:p>
  <w:p w:rsidR="00D50B26" w:rsidRDefault="00D50B26">
    <w:pPr>
      <w:pStyle w:val="a3"/>
      <w:jc w:val="right"/>
    </w:pPr>
  </w:p>
  <w:p w:rsidR="00D50B26" w:rsidRDefault="00D50B26">
    <w:pPr>
      <w:pStyle w:val="a3"/>
      <w:jc w:val="right"/>
    </w:pPr>
  </w:p>
  <w:p w:rsidR="00D50B26" w:rsidRDefault="00BB431D">
    <w:pPr>
      <w:pStyle w:val="a3"/>
      <w:jc w:val="right"/>
      <w:rPr>
        <w:rFonts w:ascii="宋体" w:hAnsi="宋体"/>
      </w:rPr>
    </w:pPr>
    <w:r>
      <w:rPr>
        <w:rFonts w:ascii="宋体" w:hAnsi="宋体" w:hint="eastAsia"/>
      </w:rPr>
      <w:t>交银施罗德定期支付月月丰债券型证券投资基金招募说明书更新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A354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430E"/>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431D"/>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0B26"/>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AA570B56-7676-4602-AF31-34F788605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155</Pages>
  <Words>16170</Words>
  <Characters>92175</Characters>
  <Application>Microsoft Office Word</Application>
  <DocSecurity>0</DocSecurity>
  <Lines>768</Lines>
  <Paragraphs>216</Paragraphs>
  <ScaleCrop>false</ScaleCrop>
  <Company>Microsoft</Company>
  <LinksUpToDate>false</LinksUpToDate>
  <CharactersWithSpaces>108129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2026-05-19T06:08:00Z</dcterms:created>
  <dcterms:modified xsi:type="dcterms:W3CDTF">2026-05-19T06:09:00Z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