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交银施罗德定期支付月月丰债券型证券投资基金（A类份额）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2026-05-16</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2026-05-20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交银定期支付月月丰债券A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2013-08-13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本基金精选具有较高息票率的债券，以获取稳定的债息收入，并通过适当参与股票市场，力争实现基金资产的长期增值。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货币市场工具、权证以及法律法规或中国证监会允许基金投资的其他金融工具(但须符合中国证监会的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固定收益类资产的比例不低于基金资产净值的80%，固定收益类资产包括国债、金融债、央行票据、地方政府债、企业债、公司债、短期融资券、中期票据、可转换债券及可分离转债、资产支持证券、次级债、债券回购等金融工具；对股票（含存托凭证）、权证等权益类资产的投资比例不高于基金资产的20%；其中现金或到期日在一年以内的政府债券的投资比例合计不低于基金资产净值的5%，现金不包括结算备付金、存出保证金和应收申购款等；本基金持有的全部权证，其市值不得超过基金资产净值的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自上而下决定债券组合久期、期限结构配置及债券类别配置；同时在严谨深入的信用分析基础上，综合考量企业债券的信用评级以及各类债券的流动性、供求关系和收益率水平等，自下而上地精选具有较高息票率的个券。同时，本基金深度关注股票、权证一级市场和二级市场的运行状况与相应风险收益特征，在严格控制基金资产运作风险的基础上，把握投资机会。</w:t>
            </w:r>
          </w:p>
          <w:p>
            <w:pPr>
              <w:ind w:firstLine="420"/>
              <w:jc w:val="left"/>
              <w:rPr>
                <w:rFonts w:ascii="仿宋_GB2312" w:eastAsia="仿宋_GB2312"/>
                <w:szCs w:val="21"/>
              </w:rPr>
            </w:pPr>
            <w:r>
              <w:rPr>
                <w:rFonts w:hint="eastAsia" w:ascii="仿宋_GB2312" w:eastAsia="仿宋_GB2312"/>
                <w:szCs w:val="21"/>
              </w:rPr>
              <w:t>1、资产配置策略；2、债券投资策略；3、股票投资策略。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90%×中债综合全价指数收益率+10%×沪深300指数收益率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详见《交银施罗德定期支付月月丰债券型证券投资基金招募说明书》“基金的投资”。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2、本基金合同于2013年8月13日生效，合同生效当年净值增长率按实际存续期计算。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0.70%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4958.90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39671.23</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本基金可投资科创板股票和创业板股票，科创板和创业板个股上市后的前五个交易日不设价格涨跌幅限制，第六个交易日开始涨跌幅限制比例为20%。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6、本基金定期支付相关的特定风险</w:t>
      </w:r>
    </w:p>
    <w:p>
      <w:pPr>
        <w:ind w:firstLine="420"/>
        <w:jc w:val="left"/>
        <w:rPr>
          <w:rFonts w:ascii="仿宋_GB2312" w:eastAsia="仿宋_GB2312"/>
          <w:szCs w:val="21"/>
        </w:rPr>
      </w:pPr>
      <w:r>
        <w:rPr>
          <w:rFonts w:hint="eastAsia" w:ascii="仿宋_GB2312" w:eastAsia="仿宋_GB2312"/>
          <w:szCs w:val="21"/>
        </w:rPr>
        <w:t>（1）定期支付不等同于收益分配、（2）年化现金支付比率不代表基金实际投资收益率、（3）定期支付被确认失败的风险、（4）年化现金支付比率发生调整的风险</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●《交银施罗德定期支付月月丰债券型证券投资基金基金合同》、</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《交银施罗德定期支付月月丰债券型证券投资基金托管协议》、</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5571F"/>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8A65E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676</Words>
  <Characters>3859</Characters>
  <Lines>32</Lines>
  <Paragraphs>9</Paragraphs>
  <TotalTime>112</TotalTime>
  <ScaleCrop>false</ScaleCrop>
  <LinksUpToDate>false</LinksUpToDate>
  <CharactersWithSpaces>4526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2026-05-19T01:51:00Z</dcterms:created>
  <dc:creator>Cc</dc:creator>
  <cp:lastModifiedBy>haotingting</cp:lastModifiedBy>
  <dcterms:modified xsi:type="dcterms:W3CDTF">2026-05-19T05:42:42Z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2E81236106174806B8F5237D51AD0C43</vt:lpwstr>
  </property>
</Properties>
</file>