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交银施罗德可转债债券型证券投资基金（A类份额）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2026-05-08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2026-05-13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交银可转债债券A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007316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本基金主要利用可转债品种兼具债券和股票的特性，在合理控制风险、保持适当流动性的基础上，力争取得超越基金业绩比较基准的收益。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包括国债、金融债、央行票据、地方政府债、政府支持机构债、企业债、公司债、短期融资券、超短期融资券、中期票据、可转换债券(含可交换债券、可分离交易可转债)、次级债等)、资产支持证券、债券回购、银行存款(包括定期存款、协议存款等)、同业存单、货币市场工具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可转换债券(含可交换债券、可分离交易可转债)的比例不低于非现金基金资产的80%；本基金持有的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本基金的投资策略主要包括：</w:t>
            </w:r>
          </w:p>
          <w:p>
            <w:pPr>
              <w:ind w:firstLine="420"/>
              <w:jc w:val="left"/>
              <w:rPr>
                <w:rFonts w:ascii="仿宋_GB2312" w:eastAsia="仿宋_GB2312"/>
                <w:szCs w:val="21"/>
              </w:rPr>
            </w:pPr>
            <w:r>
              <w:rPr>
                <w:rFonts w:hint="eastAsia" w:ascii="仿宋_GB2312" w:eastAsia="仿宋_GB2312"/>
                <w:szCs w:val="21"/>
              </w:rPr>
              <w:t>1、大类资产配置；2、债券投资策略；3、股票投资策略；4、资产支持证券投资策略。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中证可转换债券指数收益率*70%+中债综合全价指数收益率*20%+沪深300指数收益率*10%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详见《交银施罗德可转债债券型证券投资基金招募说明书》第十部分“基金的投资”。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2、本基金合同于2019年7月11日生效，合同生效当年净值增长率按实际存续期计算。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0.70%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投资于可转换债券（含可交换债券、可分离交易可转债）的比例不低于非现金基金资产的80%，需要承担可转换债券和可交换债券市场的流动性风险、债券价格受所对应股票价格波动影响而波动的风险以及在转股期或换股期不能转股或换股的风险等。</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●《交银施罗德可转债债券型证券投资基金基金合同》、</w:t>
      </w:r>
    </w:p>
    <w:p>
      <w:pPr>
        <w:ind w:firstLine="420"/>
        <w:jc w:val="left"/>
        <w:rPr>
          <w:rFonts w:ascii="仿宋_GB2312" w:eastAsia="仿宋_GB2312"/>
          <w:szCs w:val="21"/>
        </w:rPr>
      </w:pPr>
      <w:r>
        <w:rPr>
          <w:rFonts w:hint="eastAsia" w:ascii="仿宋_GB2312" w:eastAsia="仿宋_GB2312"/>
          <w:szCs w:val="21"/>
        </w:rPr>
        <w:t>《交银施罗德可转债债券型证券投资基金托管协议》、</w:t>
      </w:r>
    </w:p>
    <w:p>
      <w:pPr>
        <w:ind w:firstLine="420"/>
        <w:jc w:val="left"/>
        <w:rPr>
          <w:rFonts w:ascii="仿宋_GB2312" w:eastAsia="仿宋_GB2312"/>
          <w:szCs w:val="21"/>
        </w:rPr>
      </w:pPr>
      <w:r>
        <w:rPr>
          <w:rFonts w:hint="eastAsia" w:ascii="仿宋_GB2312" w:eastAsia="仿宋_GB2312"/>
          <w:szCs w:val="21"/>
        </w:rPr>
        <w:t>《交银施罗德可转债债券型证券投资基金招募说明书》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47A20"/>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7B8066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700</Words>
  <Characters>3995</Characters>
  <Lines>33</Lines>
  <Paragraphs>9</Paragraphs>
  <TotalTime>1</TotalTime>
  <ScaleCrop>false</ScaleCrop>
  <LinksUpToDate>false</LinksUpToDate>
  <CharactersWithSpaces>4686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2026-05-12T06:16:00Z</dcterms:created>
  <dc:creator>Cc</dc:creator>
  <cp:lastModifiedBy>haotingting</cp:lastModifiedBy>
  <dcterms:modified xsi:type="dcterms:W3CDTF">2026-05-12T06:44:21Z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3EFD51F0B4C8469DB6E5EB7C25B59DDA</vt:lpwstr>
  </property>
</Properties>
</file>