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0D1E6F">
      <w:pPr>
        <w:rPr>
          <w:sz w:val="32"/>
        </w:rPr>
      </w:pPr>
    </w:p>
    <w:p w:rsidR="00C92FC0" w:rsidRPr="00EB07BC" w:rsidRDefault="000D1E6F">
      <w:pPr>
        <w:rPr>
          <w:sz w:val="32"/>
        </w:rPr>
      </w:pPr>
    </w:p>
    <w:p w:rsidR="00C92FC0" w:rsidRPr="00EB07BC" w:rsidRDefault="000D1E6F">
      <w:pPr>
        <w:rPr>
          <w:sz w:val="32"/>
        </w:rPr>
      </w:pPr>
    </w:p>
    <w:p w:rsidR="0067468D" w:rsidRDefault="0067468D">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67468D" w:rsidRDefault="0067468D">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67468D" w:rsidRDefault="0067468D">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67468D" w:rsidRDefault="001874F8">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交银施罗德鸿福六个月持有期混合型证券投资基金</w:t>
      </w:r>
    </w:p>
    <w:p w:rsidR="0067468D" w:rsidRDefault="001874F8">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67468D" w:rsidRDefault="0067468D">
      <w:pPr>
        <w:snapToGrid w:val="0"/>
        <w:spacing w:line="360" w:lineRule="auto"/>
        <w:jc w:val="center"/>
        <w:rPr>
          <w:rFonts w:ascii="宋体" w:hAnsi="宋体"/>
          <w:b/>
          <w:sz w:val="30"/>
          <w:szCs w:val="30"/>
        </w:rPr>
      </w:pPr>
    </w:p>
    <w:p w:rsidR="0067468D" w:rsidRDefault="0067468D">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7468D" w:rsidRDefault="0067468D">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7468D" w:rsidRDefault="0067468D">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7468D" w:rsidRDefault="0067468D">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7468D" w:rsidRDefault="0067468D">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7468D" w:rsidRDefault="0067468D">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7468D" w:rsidRDefault="001874F8">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67468D" w:rsidRDefault="001874F8">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基金托管人：中国农业银行股份有限公司</w:t>
      </w:r>
    </w:p>
    <w:p w:rsidR="0067468D" w:rsidRDefault="0067468D">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7468D" w:rsidRDefault="0067468D">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7468D" w:rsidRDefault="001874F8">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二〇二六年五月</w:t>
      </w:r>
    </w:p>
    <w:p w:rsidR="0067468D" w:rsidRDefault="0067468D">
      <w:pPr>
        <w:autoSpaceDE w:val="0"/>
        <w:autoSpaceDN w:val="0"/>
        <w:adjustRightInd w:val="0"/>
        <w:snapToGrid w:val="0"/>
        <w:spacing w:line="360" w:lineRule="auto"/>
        <w:ind w:left="1347" w:rightChars="6" w:right="13"/>
        <w:rPr>
          <w:rFonts w:ascii="宋体" w:hAnsi="宋体"/>
          <w:kern w:val="0"/>
          <w:sz w:val="32"/>
          <w:szCs w:val="32"/>
        </w:rPr>
        <w:sectPr w:rsidR="0067468D">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67468D" w:rsidRDefault="001874F8">
      <w:pPr>
        <w:pStyle w:val="1"/>
        <w:snapToGrid w:val="0"/>
        <w:spacing w:beforeLines="0" w:before="240" w:after="240"/>
        <w:rPr>
          <w:rFonts w:ascii="宋体" w:hAnsi="宋体"/>
          <w:kern w:val="0"/>
        </w:rPr>
      </w:pPr>
      <w:bookmarkStart w:id="0" w:name="_Toc324920538"/>
      <w:bookmarkStart w:id="1" w:name="_Toc496884613"/>
      <w:bookmarkStart w:id="2" w:name="_Toc229473172"/>
      <w:r>
        <w:rPr>
          <w:rFonts w:ascii="Times New Roman" w:hAnsi="Times New Roman"/>
          <w:kern w:val="0"/>
        </w:rPr>
        <w:lastRenderedPageBreak/>
        <w:t>重要提示</w:t>
      </w:r>
      <w:bookmarkEnd w:id="0"/>
      <w:bookmarkEnd w:id="1"/>
      <w:bookmarkEnd w:id="2"/>
    </w:p>
    <w:p w:rsidR="0067468D" w:rsidRDefault="001874F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交银施罗德鸿福六个月持有期混合型证券投资基金（以下简称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2020</w:t>
      </w:r>
      <w:r>
        <w:rPr>
          <w:rFonts w:ascii="Times New Roman" w:hAnsi="Times New Roman"/>
          <w:kern w:val="0"/>
          <w:sz w:val="24"/>
        </w:rPr>
        <w:t>年</w:t>
      </w:r>
      <w:r>
        <w:rPr>
          <w:rFonts w:ascii="Times New Roman" w:hAnsi="Times New Roman"/>
          <w:kern w:val="0"/>
          <w:sz w:val="24"/>
        </w:rPr>
        <w:t>11</w:t>
      </w:r>
      <w:r>
        <w:rPr>
          <w:rFonts w:ascii="Times New Roman" w:hAnsi="Times New Roman"/>
          <w:kern w:val="0"/>
          <w:sz w:val="24"/>
        </w:rPr>
        <w:t>月</w:t>
      </w:r>
      <w:r>
        <w:rPr>
          <w:rFonts w:ascii="Times New Roman" w:hAnsi="Times New Roman"/>
          <w:kern w:val="0"/>
          <w:sz w:val="24"/>
        </w:rPr>
        <w:t>12</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2020</w:t>
      </w:r>
      <w:r>
        <w:rPr>
          <w:rFonts w:ascii="Times New Roman" w:hAnsi="Times New Roman"/>
          <w:kern w:val="0"/>
          <w:sz w:val="24"/>
        </w:rPr>
        <w:t>】</w:t>
      </w:r>
      <w:r>
        <w:rPr>
          <w:rFonts w:ascii="Times New Roman" w:hAnsi="Times New Roman"/>
          <w:kern w:val="0"/>
          <w:sz w:val="24"/>
        </w:rPr>
        <w:t>3032</w:t>
      </w:r>
      <w:r>
        <w:rPr>
          <w:rFonts w:ascii="Times New Roman" w:hAnsi="Times New Roman"/>
          <w:kern w:val="0"/>
          <w:sz w:val="24"/>
        </w:rPr>
        <w:t>号文准予募集注册。本基金基金合同于</w:t>
      </w:r>
      <w:r>
        <w:rPr>
          <w:rFonts w:ascii="Times New Roman" w:hAnsi="Times New Roman"/>
          <w:kern w:val="0"/>
          <w:sz w:val="24"/>
        </w:rPr>
        <w:t>2021</w:t>
      </w:r>
      <w:r>
        <w:rPr>
          <w:rFonts w:ascii="Times New Roman" w:hAnsi="Times New Roman"/>
          <w:kern w:val="0"/>
          <w:sz w:val="24"/>
        </w:rPr>
        <w:t>年</w:t>
      </w:r>
      <w:r>
        <w:rPr>
          <w:rFonts w:ascii="Times New Roman" w:hAnsi="Times New Roman"/>
          <w:kern w:val="0"/>
          <w:sz w:val="24"/>
        </w:rPr>
        <w:t>3</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日正式生效。</w:t>
      </w:r>
    </w:p>
    <w:p w:rsidR="0067468D" w:rsidRDefault="001874F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中国证监会不对基金的投资价值及市场前景等作出实质性判断或者保证。</w:t>
      </w:r>
    </w:p>
    <w:p w:rsidR="0067468D" w:rsidRDefault="001874F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67468D" w:rsidRDefault="001874F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投资股指期货的特定风险；投资资产支持证券的特定风险；投资流通受限证券的特定风险；投资科创板股票的特定风险；连续</w:t>
      </w:r>
      <w:r>
        <w:rPr>
          <w:rFonts w:ascii="Times New Roman" w:hAnsi="Times New Roman"/>
          <w:kern w:val="0"/>
          <w:sz w:val="24"/>
        </w:rPr>
        <w:t>50</w:t>
      </w:r>
      <w:r>
        <w:rPr>
          <w:rFonts w:ascii="Times New Roman" w:hAnsi="Times New Roman"/>
          <w:kern w:val="0"/>
          <w:sz w:val="24"/>
        </w:rPr>
        <w:t>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万元情形时基金管理人可依基金合同约定提前终止基金合同的风险；投资本基金的其他风险等等。本基金是一只混合型基金，其预期风险和预期收益高于债券型基金和货币市场基金，低于股票型基金。</w:t>
      </w:r>
    </w:p>
    <w:p w:rsidR="0067468D" w:rsidRDefault="001874F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rsidR="0067468D" w:rsidRDefault="001874F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w:t>
      </w:r>
      <w:r>
        <w:rPr>
          <w:rFonts w:ascii="Times New Roman" w:hAnsi="Times New Roman"/>
          <w:kern w:val="0"/>
          <w:sz w:val="24"/>
        </w:rPr>
        <w:lastRenderedPageBreak/>
        <w:t>性风险、信用风险等风险，基金管理人将本着谨慎和控制风险的原则进行资产支持证券投资，请基金份额持有人关注包括投资资产支持证券可能导致的基金净值波动在内的各项风险。</w:t>
      </w:r>
    </w:p>
    <w:p w:rsidR="0067468D" w:rsidRDefault="001874F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67468D" w:rsidRDefault="001874F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本基金投资内地与香港股票市场交易互联互通机制允许买卖的规定范围内的香港联合交易所有限公司（以下简称</w:t>
      </w:r>
      <w:r>
        <w:rPr>
          <w:rFonts w:ascii="Times New Roman" w:hAnsi="Times New Roman"/>
          <w:kern w:val="0"/>
          <w:sz w:val="24"/>
        </w:rPr>
        <w:t>“</w:t>
      </w:r>
      <w:r>
        <w:rPr>
          <w:rFonts w:ascii="Times New Roman" w:hAnsi="Times New Roman"/>
          <w:kern w:val="0"/>
          <w:sz w:val="24"/>
        </w:rPr>
        <w:t>香港联合交易所</w:t>
      </w:r>
      <w:r>
        <w:rPr>
          <w:rFonts w:ascii="Times New Roman" w:hAnsi="Times New Roman"/>
          <w:kern w:val="0"/>
          <w:sz w:val="24"/>
        </w:rPr>
        <w:t>”</w:t>
      </w:r>
      <w:r>
        <w:rPr>
          <w:rFonts w:ascii="Times New Roman" w:hAnsi="Times New Roman"/>
          <w:kern w:val="0"/>
          <w:sz w:val="24"/>
        </w:rPr>
        <w:t>）上市的股票（以下简称</w:t>
      </w:r>
      <w:r>
        <w:rPr>
          <w:rFonts w:ascii="Times New Roman" w:hAnsi="Times New Roman"/>
          <w:kern w:val="0"/>
          <w:sz w:val="24"/>
        </w:rPr>
        <w:t>“</w:t>
      </w:r>
      <w:r>
        <w:rPr>
          <w:rFonts w:ascii="Times New Roman" w:hAnsi="Times New Roman"/>
          <w:kern w:val="0"/>
          <w:sz w:val="24"/>
        </w:rPr>
        <w:t>港股通标的股票</w:t>
      </w:r>
      <w:r>
        <w:rPr>
          <w:rFonts w:ascii="Times New Roman" w:hAnsi="Times New Roman"/>
          <w:kern w:val="0"/>
          <w:sz w:val="24"/>
        </w:rPr>
        <w:t>”</w:t>
      </w:r>
      <w:r>
        <w:rPr>
          <w:rFonts w:ascii="Times New Roman" w:hAnsi="Times New Roman"/>
          <w:kern w:val="0"/>
          <w:sz w:val="24"/>
        </w:rPr>
        <w:t>）的，会面临港股通机制下因投资环境、投资标的、市场制度以及交易规则等差异带来的特有风险，包括港股市场股价波动较大的风险（港股市场实行</w:t>
      </w:r>
      <w:r>
        <w:rPr>
          <w:rFonts w:ascii="Times New Roman" w:hAnsi="Times New Roman"/>
          <w:kern w:val="0"/>
          <w:sz w:val="24"/>
        </w:rPr>
        <w:t>T+0</w:t>
      </w:r>
      <w:r>
        <w:rPr>
          <w:rFonts w:ascii="Times New Roman" w:hAnsi="Times New Roman"/>
          <w:kern w:val="0"/>
          <w:sz w:val="24"/>
        </w:rPr>
        <w:t>回转交易，且对个股不设涨跌幅限制，港股股价可能表现出比</w:t>
      </w:r>
      <w:r>
        <w:rPr>
          <w:rFonts w:ascii="Times New Roman" w:hAnsi="Times New Roman"/>
          <w:kern w:val="0"/>
          <w:sz w:val="24"/>
        </w:rPr>
        <w:t>A</w:t>
      </w:r>
      <w:r>
        <w:rPr>
          <w:rFonts w:ascii="Times New Roman" w:hAnsi="Times New Roman"/>
          <w:kern w:val="0"/>
          <w:sz w:val="24"/>
        </w:rPr>
        <w:t>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烦请查阅本基金招募说明书的</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67468D" w:rsidRDefault="001874F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基金可根据投资策略需要或不同配置地市场环境的变化，选择将部分基金资产投资于港股或选择不将基金资产投资于港股，基金资产并非必然投资港股。</w:t>
      </w:r>
    </w:p>
    <w:p w:rsidR="0067468D" w:rsidRDefault="001874F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本基金每份基金份额的最短持有期限为</w:t>
      </w:r>
      <w:r>
        <w:rPr>
          <w:rFonts w:ascii="Times New Roman" w:hAnsi="Times New Roman"/>
          <w:kern w:val="0"/>
          <w:sz w:val="24"/>
        </w:rPr>
        <w:t>6</w:t>
      </w:r>
      <w:r>
        <w:rPr>
          <w:rFonts w:ascii="Times New Roman" w:hAnsi="Times New Roman"/>
          <w:kern w:val="0"/>
          <w:sz w:val="24"/>
        </w:rPr>
        <w:t>个月，在最短持有期限内该份基金份额不可赎回，自最短持有期限届满的下一工作日起（含该日）可赎回。对于每笔认购的基金份额而言，最短持有期限自基金合同生效之日起（含该日）至</w:t>
      </w:r>
      <w:r>
        <w:rPr>
          <w:rFonts w:ascii="Times New Roman" w:hAnsi="Times New Roman"/>
          <w:kern w:val="0"/>
          <w:sz w:val="24"/>
        </w:rPr>
        <w:t>6</w:t>
      </w:r>
      <w:r>
        <w:rPr>
          <w:rFonts w:ascii="Times New Roman" w:hAnsi="Times New Roman"/>
          <w:kern w:val="0"/>
          <w:sz w:val="24"/>
        </w:rPr>
        <w:t>个月后月度对日的前一日；对于每笔申购的基金份额而言，最短持有期限自该笔申购份额确认日（含该日）至</w:t>
      </w:r>
      <w:r>
        <w:rPr>
          <w:rFonts w:ascii="Times New Roman" w:hAnsi="Times New Roman"/>
          <w:kern w:val="0"/>
          <w:sz w:val="24"/>
        </w:rPr>
        <w:t>6</w:t>
      </w:r>
      <w:r>
        <w:rPr>
          <w:rFonts w:ascii="Times New Roman" w:hAnsi="Times New Roman"/>
          <w:kern w:val="0"/>
          <w:sz w:val="24"/>
        </w:rPr>
        <w:t>个月后月度对日的前一日。因此，对于基金份额持有人而言，存在投资本基金后</w:t>
      </w:r>
      <w:r>
        <w:rPr>
          <w:rFonts w:ascii="Times New Roman" w:hAnsi="Times New Roman"/>
          <w:kern w:val="0"/>
          <w:sz w:val="24"/>
        </w:rPr>
        <w:t>6</w:t>
      </w:r>
      <w:r>
        <w:rPr>
          <w:rFonts w:ascii="Times New Roman" w:hAnsi="Times New Roman"/>
          <w:kern w:val="0"/>
          <w:sz w:val="24"/>
        </w:rPr>
        <w:t>个月内无法赎回的风险。</w:t>
      </w:r>
    </w:p>
    <w:p w:rsidR="0067468D" w:rsidRDefault="001874F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67468D" w:rsidRDefault="001874F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w:t>
      </w:r>
      <w:r>
        <w:rPr>
          <w:rFonts w:ascii="Times New Roman" w:hAnsi="Times New Roman"/>
          <w:kern w:val="0"/>
          <w:sz w:val="24"/>
        </w:rPr>
        <w:lastRenderedPageBreak/>
        <w:t>证。</w:t>
      </w:r>
    </w:p>
    <w:p w:rsidR="0067468D" w:rsidRDefault="001874F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67468D" w:rsidRDefault="001874F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67468D" w:rsidRDefault="001874F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本次更新招募说明书主要对基金经理变更的相关信息进行更新，更新截止日为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05</w:t>
      </w:r>
      <w:r>
        <w:rPr>
          <w:rFonts w:ascii="Times New Roman" w:hAnsi="Times New Roman"/>
          <w:kern w:val="0"/>
          <w:sz w:val="24"/>
        </w:rPr>
        <w:t>月</w:t>
      </w:r>
      <w:r>
        <w:rPr>
          <w:rFonts w:ascii="Times New Roman" w:hAnsi="Times New Roman"/>
          <w:kern w:val="0"/>
          <w:sz w:val="24"/>
        </w:rPr>
        <w:t>08</w:t>
      </w:r>
      <w:r>
        <w:rPr>
          <w:rFonts w:ascii="Times New Roman" w:hAnsi="Times New Roman"/>
          <w:kern w:val="0"/>
          <w:sz w:val="24"/>
        </w:rPr>
        <w:t>日，除非另有说明，本招募说明书其他所载内容截止日为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12</w:t>
      </w:r>
      <w:r>
        <w:rPr>
          <w:rFonts w:ascii="Times New Roman" w:hAnsi="Times New Roman"/>
          <w:kern w:val="0"/>
          <w:sz w:val="24"/>
        </w:rPr>
        <w:t>月</w:t>
      </w:r>
      <w:r>
        <w:rPr>
          <w:rFonts w:ascii="Times New Roman" w:hAnsi="Times New Roman"/>
          <w:kern w:val="0"/>
          <w:sz w:val="24"/>
        </w:rPr>
        <w:t>01</w:t>
      </w:r>
      <w:r>
        <w:rPr>
          <w:rFonts w:ascii="Times New Roman" w:hAnsi="Times New Roman"/>
          <w:kern w:val="0"/>
          <w:sz w:val="24"/>
        </w:rPr>
        <w:t>日，有关财务数据和净值表现截止日为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日。本招募说明书所载的财务数据未经审计。</w:t>
      </w:r>
    </w:p>
    <w:p w:rsidR="0067468D" w:rsidRDefault="0067468D">
      <w:pPr>
        <w:autoSpaceDE w:val="0"/>
        <w:autoSpaceDN w:val="0"/>
        <w:adjustRightInd w:val="0"/>
        <w:snapToGrid w:val="0"/>
        <w:spacing w:before="51" w:line="360" w:lineRule="auto"/>
        <w:ind w:left="120" w:rightChars="6" w:right="13" w:firstLine="480"/>
        <w:rPr>
          <w:rFonts w:ascii="宋体" w:hAnsi="宋体"/>
          <w:kern w:val="0"/>
          <w:szCs w:val="24"/>
        </w:rPr>
        <w:sectPr w:rsidR="0067468D">
          <w:headerReference w:type="default" r:id="rId14"/>
          <w:pgSz w:w="11920" w:h="16840"/>
          <w:pgMar w:top="1440" w:right="1680" w:bottom="280" w:left="1680" w:header="0" w:footer="1073" w:gutter="0"/>
          <w:pgNumType w:start="1"/>
          <w:cols w:space="720"/>
        </w:sectPr>
      </w:pPr>
    </w:p>
    <w:p w:rsidR="000D1E6F" w:rsidRPr="000D1E6F" w:rsidRDefault="001874F8" w:rsidP="000D1E6F">
      <w:pPr>
        <w:pStyle w:val="ad"/>
        <w:snapToGrid w:val="0"/>
        <w:spacing w:after="240" w:line="360" w:lineRule="auto"/>
        <w:jc w:val="center"/>
        <w:rPr>
          <w:rFonts w:ascii="宋体" w:hAnsi="宋体"/>
          <w:noProof/>
          <w:sz w:val="24"/>
        </w:rPr>
      </w:pPr>
      <w:r w:rsidRPr="000D1E6F">
        <w:rPr>
          <w:rFonts w:ascii="宋体" w:hAnsi="宋体"/>
          <w:color w:val="000000"/>
          <w:position w:val="-4"/>
          <w:sz w:val="24"/>
          <w:szCs w:val="30"/>
        </w:rPr>
        <w:lastRenderedPageBreak/>
        <w:t>目</w:t>
      </w:r>
      <w:r w:rsidRPr="000D1E6F">
        <w:rPr>
          <w:rFonts w:ascii="宋体" w:hAnsi="宋体"/>
          <w:color w:val="000000"/>
          <w:position w:val="-4"/>
          <w:sz w:val="24"/>
          <w:szCs w:val="30"/>
        </w:rPr>
        <w:tab/>
        <w:t>录</w:t>
      </w:r>
      <w:r w:rsidR="000D1E6F" w:rsidRPr="000D1E6F">
        <w:rPr>
          <w:rFonts w:ascii="宋体" w:hAnsi="宋体"/>
          <w:color w:val="000000"/>
          <w:position w:val="-4"/>
          <w:sz w:val="24"/>
          <w:szCs w:val="30"/>
        </w:rPr>
        <w:fldChar w:fldCharType="begin"/>
      </w:r>
      <w:r w:rsidR="000D1E6F" w:rsidRPr="000D1E6F">
        <w:rPr>
          <w:rFonts w:ascii="宋体" w:hAnsi="宋体"/>
          <w:color w:val="000000"/>
          <w:position w:val="-4"/>
          <w:sz w:val="24"/>
          <w:szCs w:val="30"/>
        </w:rPr>
        <w:instrText xml:space="preserve"> TOC \o "1-3" \f - \h \t "-1" </w:instrText>
      </w:r>
      <w:r w:rsidR="000D1E6F" w:rsidRPr="000D1E6F">
        <w:rPr>
          <w:rFonts w:ascii="宋体" w:hAnsi="宋体"/>
          <w:color w:val="000000"/>
          <w:position w:val="-4"/>
          <w:sz w:val="24"/>
          <w:szCs w:val="30"/>
        </w:rPr>
        <w:fldChar w:fldCharType="separate"/>
      </w:r>
    </w:p>
    <w:p w:rsidR="000D1E6F" w:rsidRPr="000D1E6F" w:rsidRDefault="000D1E6F" w:rsidP="000D1E6F">
      <w:pPr>
        <w:pStyle w:val="10"/>
        <w:tabs>
          <w:tab w:val="right" w:leader="dot" w:pos="8550"/>
        </w:tabs>
        <w:spacing w:line="360" w:lineRule="auto"/>
        <w:rPr>
          <w:rFonts w:ascii="宋体" w:hAnsi="宋体" w:cstheme="minorBidi"/>
          <w:noProof/>
          <w:sz w:val="24"/>
        </w:rPr>
      </w:pPr>
      <w:hyperlink w:anchor="_Toc229473172" w:history="1">
        <w:r w:rsidRPr="000D1E6F">
          <w:rPr>
            <w:rStyle w:val="aa"/>
            <w:rFonts w:ascii="宋体" w:hAnsi="宋体" w:hint="eastAsia"/>
            <w:noProof/>
            <w:kern w:val="0"/>
            <w:sz w:val="24"/>
          </w:rPr>
          <w:t>重要提示</w:t>
        </w:r>
        <w:r w:rsidRPr="000D1E6F">
          <w:rPr>
            <w:rFonts w:ascii="宋体" w:hAnsi="宋体"/>
            <w:noProof/>
            <w:sz w:val="24"/>
          </w:rPr>
          <w:tab/>
        </w:r>
        <w:r w:rsidRPr="000D1E6F">
          <w:rPr>
            <w:rFonts w:ascii="宋体" w:hAnsi="宋体"/>
            <w:noProof/>
            <w:sz w:val="24"/>
          </w:rPr>
          <w:fldChar w:fldCharType="begin"/>
        </w:r>
        <w:r w:rsidRPr="000D1E6F">
          <w:rPr>
            <w:rFonts w:ascii="宋体" w:hAnsi="宋体"/>
            <w:noProof/>
            <w:sz w:val="24"/>
          </w:rPr>
          <w:instrText xml:space="preserve"> PAGEREF _Toc229473172 \h </w:instrText>
        </w:r>
        <w:r w:rsidRPr="000D1E6F">
          <w:rPr>
            <w:rFonts w:ascii="宋体" w:hAnsi="宋体"/>
            <w:noProof/>
            <w:sz w:val="24"/>
          </w:rPr>
        </w:r>
        <w:r w:rsidRPr="000D1E6F">
          <w:rPr>
            <w:rFonts w:ascii="宋体" w:hAnsi="宋体"/>
            <w:noProof/>
            <w:sz w:val="24"/>
          </w:rPr>
          <w:fldChar w:fldCharType="separate"/>
        </w:r>
        <w:r w:rsidRPr="000D1E6F">
          <w:rPr>
            <w:rFonts w:ascii="宋体" w:hAnsi="宋体"/>
            <w:noProof/>
            <w:sz w:val="24"/>
          </w:rPr>
          <w:t>1</w:t>
        </w:r>
        <w:r w:rsidRPr="000D1E6F">
          <w:rPr>
            <w:rFonts w:ascii="宋体" w:hAnsi="宋体"/>
            <w:noProof/>
            <w:sz w:val="24"/>
          </w:rPr>
          <w:fldChar w:fldCharType="end"/>
        </w:r>
      </w:hyperlink>
    </w:p>
    <w:p w:rsidR="000D1E6F" w:rsidRPr="000D1E6F" w:rsidRDefault="000D1E6F" w:rsidP="000D1E6F">
      <w:pPr>
        <w:pStyle w:val="10"/>
        <w:tabs>
          <w:tab w:val="right" w:leader="dot" w:pos="8550"/>
        </w:tabs>
        <w:spacing w:line="360" w:lineRule="auto"/>
        <w:rPr>
          <w:rFonts w:ascii="宋体" w:hAnsi="宋体" w:cstheme="minorBidi"/>
          <w:noProof/>
          <w:sz w:val="24"/>
        </w:rPr>
      </w:pPr>
      <w:hyperlink w:anchor="_Toc229473173" w:history="1">
        <w:r w:rsidRPr="000D1E6F">
          <w:rPr>
            <w:rStyle w:val="aa"/>
            <w:rFonts w:ascii="宋体" w:hAnsi="宋体" w:hint="eastAsia"/>
            <w:noProof/>
            <w:sz w:val="24"/>
          </w:rPr>
          <w:t>一、绪言</w:t>
        </w:r>
        <w:r w:rsidRPr="000D1E6F">
          <w:rPr>
            <w:rFonts w:ascii="宋体" w:hAnsi="宋体"/>
            <w:noProof/>
            <w:sz w:val="24"/>
          </w:rPr>
          <w:tab/>
        </w:r>
        <w:r w:rsidRPr="000D1E6F">
          <w:rPr>
            <w:rFonts w:ascii="宋体" w:hAnsi="宋体"/>
            <w:noProof/>
            <w:sz w:val="24"/>
          </w:rPr>
          <w:fldChar w:fldCharType="begin"/>
        </w:r>
        <w:r w:rsidRPr="000D1E6F">
          <w:rPr>
            <w:rFonts w:ascii="宋体" w:hAnsi="宋体"/>
            <w:noProof/>
            <w:sz w:val="24"/>
          </w:rPr>
          <w:instrText xml:space="preserve"> PAGEREF _Toc229473173 \h </w:instrText>
        </w:r>
        <w:r w:rsidRPr="000D1E6F">
          <w:rPr>
            <w:rFonts w:ascii="宋体" w:hAnsi="宋体"/>
            <w:noProof/>
            <w:sz w:val="24"/>
          </w:rPr>
        </w:r>
        <w:r w:rsidRPr="000D1E6F">
          <w:rPr>
            <w:rFonts w:ascii="宋体" w:hAnsi="宋体"/>
            <w:noProof/>
            <w:sz w:val="24"/>
          </w:rPr>
          <w:fldChar w:fldCharType="separate"/>
        </w:r>
        <w:r w:rsidRPr="000D1E6F">
          <w:rPr>
            <w:rFonts w:ascii="宋体" w:hAnsi="宋体"/>
            <w:noProof/>
            <w:sz w:val="24"/>
          </w:rPr>
          <w:t>5</w:t>
        </w:r>
        <w:r w:rsidRPr="000D1E6F">
          <w:rPr>
            <w:rFonts w:ascii="宋体" w:hAnsi="宋体"/>
            <w:noProof/>
            <w:sz w:val="24"/>
          </w:rPr>
          <w:fldChar w:fldCharType="end"/>
        </w:r>
      </w:hyperlink>
    </w:p>
    <w:p w:rsidR="000D1E6F" w:rsidRPr="000D1E6F" w:rsidRDefault="000D1E6F" w:rsidP="000D1E6F">
      <w:pPr>
        <w:pStyle w:val="10"/>
        <w:tabs>
          <w:tab w:val="right" w:leader="dot" w:pos="8550"/>
        </w:tabs>
        <w:spacing w:line="360" w:lineRule="auto"/>
        <w:rPr>
          <w:rFonts w:ascii="宋体" w:hAnsi="宋体" w:cstheme="minorBidi"/>
          <w:noProof/>
          <w:sz w:val="24"/>
        </w:rPr>
      </w:pPr>
      <w:hyperlink w:anchor="_Toc229473174" w:history="1">
        <w:r w:rsidRPr="000D1E6F">
          <w:rPr>
            <w:rStyle w:val="aa"/>
            <w:rFonts w:ascii="宋体" w:hAnsi="宋体" w:hint="eastAsia"/>
            <w:noProof/>
            <w:sz w:val="24"/>
          </w:rPr>
          <w:t>二、释义</w:t>
        </w:r>
        <w:r w:rsidRPr="000D1E6F">
          <w:rPr>
            <w:rFonts w:ascii="宋体" w:hAnsi="宋体"/>
            <w:noProof/>
            <w:sz w:val="24"/>
          </w:rPr>
          <w:tab/>
        </w:r>
        <w:r w:rsidRPr="000D1E6F">
          <w:rPr>
            <w:rFonts w:ascii="宋体" w:hAnsi="宋体"/>
            <w:noProof/>
            <w:sz w:val="24"/>
          </w:rPr>
          <w:fldChar w:fldCharType="begin"/>
        </w:r>
        <w:r w:rsidRPr="000D1E6F">
          <w:rPr>
            <w:rFonts w:ascii="宋体" w:hAnsi="宋体"/>
            <w:noProof/>
            <w:sz w:val="24"/>
          </w:rPr>
          <w:instrText xml:space="preserve"> PAGEREF _Toc229473174 \h </w:instrText>
        </w:r>
        <w:r w:rsidRPr="000D1E6F">
          <w:rPr>
            <w:rFonts w:ascii="宋体" w:hAnsi="宋体"/>
            <w:noProof/>
            <w:sz w:val="24"/>
          </w:rPr>
        </w:r>
        <w:r w:rsidRPr="000D1E6F">
          <w:rPr>
            <w:rFonts w:ascii="宋体" w:hAnsi="宋体"/>
            <w:noProof/>
            <w:sz w:val="24"/>
          </w:rPr>
          <w:fldChar w:fldCharType="separate"/>
        </w:r>
        <w:r w:rsidRPr="000D1E6F">
          <w:rPr>
            <w:rFonts w:ascii="宋体" w:hAnsi="宋体"/>
            <w:noProof/>
            <w:sz w:val="24"/>
          </w:rPr>
          <w:t>6</w:t>
        </w:r>
        <w:r w:rsidRPr="000D1E6F">
          <w:rPr>
            <w:rFonts w:ascii="宋体" w:hAnsi="宋体"/>
            <w:noProof/>
            <w:sz w:val="24"/>
          </w:rPr>
          <w:fldChar w:fldCharType="end"/>
        </w:r>
      </w:hyperlink>
    </w:p>
    <w:p w:rsidR="000D1E6F" w:rsidRPr="000D1E6F" w:rsidRDefault="000D1E6F" w:rsidP="000D1E6F">
      <w:pPr>
        <w:pStyle w:val="10"/>
        <w:tabs>
          <w:tab w:val="right" w:leader="dot" w:pos="8550"/>
        </w:tabs>
        <w:spacing w:line="360" w:lineRule="auto"/>
        <w:rPr>
          <w:rFonts w:ascii="宋体" w:hAnsi="宋体" w:cstheme="minorBidi"/>
          <w:noProof/>
          <w:sz w:val="24"/>
        </w:rPr>
      </w:pPr>
      <w:hyperlink w:anchor="_Toc229473175" w:history="1">
        <w:r w:rsidRPr="000D1E6F">
          <w:rPr>
            <w:rStyle w:val="aa"/>
            <w:rFonts w:ascii="宋体" w:hAnsi="宋体" w:hint="eastAsia"/>
            <w:noProof/>
            <w:sz w:val="24"/>
          </w:rPr>
          <w:t>三、基金管理人</w:t>
        </w:r>
        <w:r w:rsidRPr="000D1E6F">
          <w:rPr>
            <w:rFonts w:ascii="宋体" w:hAnsi="宋体"/>
            <w:noProof/>
            <w:sz w:val="24"/>
          </w:rPr>
          <w:tab/>
        </w:r>
        <w:r w:rsidRPr="000D1E6F">
          <w:rPr>
            <w:rFonts w:ascii="宋体" w:hAnsi="宋体"/>
            <w:noProof/>
            <w:sz w:val="24"/>
          </w:rPr>
          <w:fldChar w:fldCharType="begin"/>
        </w:r>
        <w:r w:rsidRPr="000D1E6F">
          <w:rPr>
            <w:rFonts w:ascii="宋体" w:hAnsi="宋体"/>
            <w:noProof/>
            <w:sz w:val="24"/>
          </w:rPr>
          <w:instrText xml:space="preserve"> PAGEREF _Toc229473175 \h </w:instrText>
        </w:r>
        <w:r w:rsidRPr="000D1E6F">
          <w:rPr>
            <w:rFonts w:ascii="宋体" w:hAnsi="宋体"/>
            <w:noProof/>
            <w:sz w:val="24"/>
          </w:rPr>
        </w:r>
        <w:r w:rsidRPr="000D1E6F">
          <w:rPr>
            <w:rFonts w:ascii="宋体" w:hAnsi="宋体"/>
            <w:noProof/>
            <w:sz w:val="24"/>
          </w:rPr>
          <w:fldChar w:fldCharType="separate"/>
        </w:r>
        <w:r w:rsidRPr="000D1E6F">
          <w:rPr>
            <w:rFonts w:ascii="宋体" w:hAnsi="宋体"/>
            <w:noProof/>
            <w:sz w:val="24"/>
          </w:rPr>
          <w:t>11</w:t>
        </w:r>
        <w:r w:rsidRPr="000D1E6F">
          <w:rPr>
            <w:rFonts w:ascii="宋体" w:hAnsi="宋体"/>
            <w:noProof/>
            <w:sz w:val="24"/>
          </w:rPr>
          <w:fldChar w:fldCharType="end"/>
        </w:r>
      </w:hyperlink>
    </w:p>
    <w:p w:rsidR="000D1E6F" w:rsidRPr="000D1E6F" w:rsidRDefault="000D1E6F" w:rsidP="000D1E6F">
      <w:pPr>
        <w:pStyle w:val="10"/>
        <w:tabs>
          <w:tab w:val="right" w:leader="dot" w:pos="8550"/>
        </w:tabs>
        <w:spacing w:line="360" w:lineRule="auto"/>
        <w:rPr>
          <w:rFonts w:ascii="宋体" w:hAnsi="宋体" w:cstheme="minorBidi"/>
          <w:noProof/>
          <w:sz w:val="24"/>
        </w:rPr>
      </w:pPr>
      <w:hyperlink w:anchor="_Toc229473176" w:history="1">
        <w:r w:rsidRPr="000D1E6F">
          <w:rPr>
            <w:rStyle w:val="aa"/>
            <w:rFonts w:ascii="宋体" w:hAnsi="宋体" w:hint="eastAsia"/>
            <w:noProof/>
            <w:sz w:val="24"/>
          </w:rPr>
          <w:t>四、基金托管人</w:t>
        </w:r>
        <w:r w:rsidRPr="000D1E6F">
          <w:rPr>
            <w:rFonts w:ascii="宋体" w:hAnsi="宋体"/>
            <w:noProof/>
            <w:sz w:val="24"/>
          </w:rPr>
          <w:tab/>
        </w:r>
        <w:r w:rsidRPr="000D1E6F">
          <w:rPr>
            <w:rFonts w:ascii="宋体" w:hAnsi="宋体"/>
            <w:noProof/>
            <w:sz w:val="24"/>
          </w:rPr>
          <w:fldChar w:fldCharType="begin"/>
        </w:r>
        <w:r w:rsidRPr="000D1E6F">
          <w:rPr>
            <w:rFonts w:ascii="宋体" w:hAnsi="宋体"/>
            <w:noProof/>
            <w:sz w:val="24"/>
          </w:rPr>
          <w:instrText xml:space="preserve"> PAGEREF _Toc229473176 \h </w:instrText>
        </w:r>
        <w:r w:rsidRPr="000D1E6F">
          <w:rPr>
            <w:rFonts w:ascii="宋体" w:hAnsi="宋体"/>
            <w:noProof/>
            <w:sz w:val="24"/>
          </w:rPr>
        </w:r>
        <w:r w:rsidRPr="000D1E6F">
          <w:rPr>
            <w:rFonts w:ascii="宋体" w:hAnsi="宋体"/>
            <w:noProof/>
            <w:sz w:val="24"/>
          </w:rPr>
          <w:fldChar w:fldCharType="separate"/>
        </w:r>
        <w:r w:rsidRPr="000D1E6F">
          <w:rPr>
            <w:rFonts w:ascii="宋体" w:hAnsi="宋体"/>
            <w:noProof/>
            <w:sz w:val="24"/>
          </w:rPr>
          <w:t>19</w:t>
        </w:r>
        <w:r w:rsidRPr="000D1E6F">
          <w:rPr>
            <w:rFonts w:ascii="宋体" w:hAnsi="宋体"/>
            <w:noProof/>
            <w:sz w:val="24"/>
          </w:rPr>
          <w:fldChar w:fldCharType="end"/>
        </w:r>
      </w:hyperlink>
    </w:p>
    <w:p w:rsidR="000D1E6F" w:rsidRPr="000D1E6F" w:rsidRDefault="000D1E6F" w:rsidP="000D1E6F">
      <w:pPr>
        <w:pStyle w:val="10"/>
        <w:tabs>
          <w:tab w:val="right" w:leader="dot" w:pos="8550"/>
        </w:tabs>
        <w:spacing w:line="360" w:lineRule="auto"/>
        <w:rPr>
          <w:rFonts w:ascii="宋体" w:hAnsi="宋体" w:cstheme="minorBidi"/>
          <w:noProof/>
          <w:sz w:val="24"/>
        </w:rPr>
      </w:pPr>
      <w:hyperlink w:anchor="_Toc229473177" w:history="1">
        <w:r w:rsidRPr="000D1E6F">
          <w:rPr>
            <w:rStyle w:val="aa"/>
            <w:rFonts w:ascii="宋体" w:hAnsi="宋体" w:hint="eastAsia"/>
            <w:noProof/>
            <w:sz w:val="24"/>
          </w:rPr>
          <w:t>五、相关服务机构</w:t>
        </w:r>
        <w:r w:rsidRPr="000D1E6F">
          <w:rPr>
            <w:rFonts w:ascii="宋体" w:hAnsi="宋体"/>
            <w:noProof/>
            <w:sz w:val="24"/>
          </w:rPr>
          <w:tab/>
        </w:r>
        <w:r w:rsidRPr="000D1E6F">
          <w:rPr>
            <w:rFonts w:ascii="宋体" w:hAnsi="宋体"/>
            <w:noProof/>
            <w:sz w:val="24"/>
          </w:rPr>
          <w:fldChar w:fldCharType="begin"/>
        </w:r>
        <w:r w:rsidRPr="000D1E6F">
          <w:rPr>
            <w:rFonts w:ascii="宋体" w:hAnsi="宋体"/>
            <w:noProof/>
            <w:sz w:val="24"/>
          </w:rPr>
          <w:instrText xml:space="preserve"> PAGEREF _Toc229473177 \h </w:instrText>
        </w:r>
        <w:r w:rsidRPr="000D1E6F">
          <w:rPr>
            <w:rFonts w:ascii="宋体" w:hAnsi="宋体"/>
            <w:noProof/>
            <w:sz w:val="24"/>
          </w:rPr>
        </w:r>
        <w:r w:rsidRPr="000D1E6F">
          <w:rPr>
            <w:rFonts w:ascii="宋体" w:hAnsi="宋体"/>
            <w:noProof/>
            <w:sz w:val="24"/>
          </w:rPr>
          <w:fldChar w:fldCharType="separate"/>
        </w:r>
        <w:r w:rsidRPr="000D1E6F">
          <w:rPr>
            <w:rFonts w:ascii="宋体" w:hAnsi="宋体"/>
            <w:noProof/>
            <w:sz w:val="24"/>
          </w:rPr>
          <w:t>22</w:t>
        </w:r>
        <w:r w:rsidRPr="000D1E6F">
          <w:rPr>
            <w:rFonts w:ascii="宋体" w:hAnsi="宋体"/>
            <w:noProof/>
            <w:sz w:val="24"/>
          </w:rPr>
          <w:fldChar w:fldCharType="end"/>
        </w:r>
      </w:hyperlink>
    </w:p>
    <w:p w:rsidR="000D1E6F" w:rsidRPr="000D1E6F" w:rsidRDefault="000D1E6F" w:rsidP="000D1E6F">
      <w:pPr>
        <w:pStyle w:val="10"/>
        <w:tabs>
          <w:tab w:val="right" w:leader="dot" w:pos="8550"/>
        </w:tabs>
        <w:spacing w:line="360" w:lineRule="auto"/>
        <w:rPr>
          <w:rFonts w:ascii="宋体" w:hAnsi="宋体" w:cstheme="minorBidi"/>
          <w:noProof/>
          <w:sz w:val="24"/>
        </w:rPr>
      </w:pPr>
      <w:hyperlink w:anchor="_Toc229473178" w:history="1">
        <w:r w:rsidRPr="000D1E6F">
          <w:rPr>
            <w:rStyle w:val="aa"/>
            <w:rFonts w:ascii="宋体" w:hAnsi="宋体" w:hint="eastAsia"/>
            <w:noProof/>
            <w:sz w:val="24"/>
          </w:rPr>
          <w:t>六、基金的募集</w:t>
        </w:r>
        <w:r w:rsidRPr="000D1E6F">
          <w:rPr>
            <w:rFonts w:ascii="宋体" w:hAnsi="宋体"/>
            <w:noProof/>
            <w:sz w:val="24"/>
          </w:rPr>
          <w:tab/>
        </w:r>
        <w:r w:rsidRPr="000D1E6F">
          <w:rPr>
            <w:rFonts w:ascii="宋体" w:hAnsi="宋体"/>
            <w:noProof/>
            <w:sz w:val="24"/>
          </w:rPr>
          <w:fldChar w:fldCharType="begin"/>
        </w:r>
        <w:r w:rsidRPr="000D1E6F">
          <w:rPr>
            <w:rFonts w:ascii="宋体" w:hAnsi="宋体"/>
            <w:noProof/>
            <w:sz w:val="24"/>
          </w:rPr>
          <w:instrText xml:space="preserve"> PAGEREF _Toc229473178 \h </w:instrText>
        </w:r>
        <w:r w:rsidRPr="000D1E6F">
          <w:rPr>
            <w:rFonts w:ascii="宋体" w:hAnsi="宋体"/>
            <w:noProof/>
            <w:sz w:val="24"/>
          </w:rPr>
        </w:r>
        <w:r w:rsidRPr="000D1E6F">
          <w:rPr>
            <w:rFonts w:ascii="宋体" w:hAnsi="宋体"/>
            <w:noProof/>
            <w:sz w:val="24"/>
          </w:rPr>
          <w:fldChar w:fldCharType="separate"/>
        </w:r>
        <w:r w:rsidRPr="000D1E6F">
          <w:rPr>
            <w:rFonts w:ascii="宋体" w:hAnsi="宋体"/>
            <w:noProof/>
            <w:sz w:val="24"/>
          </w:rPr>
          <w:t>46</w:t>
        </w:r>
        <w:r w:rsidRPr="000D1E6F">
          <w:rPr>
            <w:rFonts w:ascii="宋体" w:hAnsi="宋体"/>
            <w:noProof/>
            <w:sz w:val="24"/>
          </w:rPr>
          <w:fldChar w:fldCharType="end"/>
        </w:r>
      </w:hyperlink>
    </w:p>
    <w:p w:rsidR="000D1E6F" w:rsidRPr="000D1E6F" w:rsidRDefault="000D1E6F" w:rsidP="000D1E6F">
      <w:pPr>
        <w:pStyle w:val="10"/>
        <w:tabs>
          <w:tab w:val="right" w:leader="dot" w:pos="8550"/>
        </w:tabs>
        <w:spacing w:line="360" w:lineRule="auto"/>
        <w:rPr>
          <w:rFonts w:ascii="宋体" w:hAnsi="宋体" w:cstheme="minorBidi"/>
          <w:noProof/>
          <w:sz w:val="24"/>
        </w:rPr>
      </w:pPr>
      <w:hyperlink w:anchor="_Toc229473179" w:history="1">
        <w:r w:rsidRPr="000D1E6F">
          <w:rPr>
            <w:rStyle w:val="aa"/>
            <w:rFonts w:ascii="宋体" w:hAnsi="宋体" w:hint="eastAsia"/>
            <w:noProof/>
            <w:sz w:val="24"/>
          </w:rPr>
          <w:t>七、基金合同的生效</w:t>
        </w:r>
        <w:r w:rsidRPr="000D1E6F">
          <w:rPr>
            <w:rFonts w:ascii="宋体" w:hAnsi="宋体"/>
            <w:noProof/>
            <w:sz w:val="24"/>
          </w:rPr>
          <w:tab/>
        </w:r>
        <w:r w:rsidRPr="000D1E6F">
          <w:rPr>
            <w:rFonts w:ascii="宋体" w:hAnsi="宋体"/>
            <w:noProof/>
            <w:sz w:val="24"/>
          </w:rPr>
          <w:fldChar w:fldCharType="begin"/>
        </w:r>
        <w:r w:rsidRPr="000D1E6F">
          <w:rPr>
            <w:rFonts w:ascii="宋体" w:hAnsi="宋体"/>
            <w:noProof/>
            <w:sz w:val="24"/>
          </w:rPr>
          <w:instrText xml:space="preserve"> PAGEREF _Toc229473179 \h </w:instrText>
        </w:r>
        <w:r w:rsidRPr="000D1E6F">
          <w:rPr>
            <w:rFonts w:ascii="宋体" w:hAnsi="宋体"/>
            <w:noProof/>
            <w:sz w:val="24"/>
          </w:rPr>
        </w:r>
        <w:r w:rsidRPr="000D1E6F">
          <w:rPr>
            <w:rFonts w:ascii="宋体" w:hAnsi="宋体"/>
            <w:noProof/>
            <w:sz w:val="24"/>
          </w:rPr>
          <w:fldChar w:fldCharType="separate"/>
        </w:r>
        <w:r w:rsidRPr="000D1E6F">
          <w:rPr>
            <w:rFonts w:ascii="宋体" w:hAnsi="宋体"/>
            <w:noProof/>
            <w:sz w:val="24"/>
          </w:rPr>
          <w:t>47</w:t>
        </w:r>
        <w:r w:rsidRPr="000D1E6F">
          <w:rPr>
            <w:rFonts w:ascii="宋体" w:hAnsi="宋体"/>
            <w:noProof/>
            <w:sz w:val="24"/>
          </w:rPr>
          <w:fldChar w:fldCharType="end"/>
        </w:r>
      </w:hyperlink>
    </w:p>
    <w:p w:rsidR="000D1E6F" w:rsidRPr="000D1E6F" w:rsidRDefault="000D1E6F" w:rsidP="000D1E6F">
      <w:pPr>
        <w:pStyle w:val="10"/>
        <w:tabs>
          <w:tab w:val="right" w:leader="dot" w:pos="8550"/>
        </w:tabs>
        <w:spacing w:line="360" w:lineRule="auto"/>
        <w:rPr>
          <w:rFonts w:ascii="宋体" w:hAnsi="宋体" w:cstheme="minorBidi"/>
          <w:noProof/>
          <w:sz w:val="24"/>
        </w:rPr>
      </w:pPr>
      <w:hyperlink w:anchor="_Toc229473180" w:history="1">
        <w:r w:rsidRPr="000D1E6F">
          <w:rPr>
            <w:rStyle w:val="aa"/>
            <w:rFonts w:ascii="宋体" w:hAnsi="宋体" w:hint="eastAsia"/>
            <w:noProof/>
            <w:sz w:val="24"/>
          </w:rPr>
          <w:t>八、基金份额的申购与赎回</w:t>
        </w:r>
        <w:r w:rsidRPr="000D1E6F">
          <w:rPr>
            <w:rFonts w:ascii="宋体" w:hAnsi="宋体"/>
            <w:noProof/>
            <w:sz w:val="24"/>
          </w:rPr>
          <w:tab/>
        </w:r>
        <w:r w:rsidRPr="000D1E6F">
          <w:rPr>
            <w:rFonts w:ascii="宋体" w:hAnsi="宋体"/>
            <w:noProof/>
            <w:sz w:val="24"/>
          </w:rPr>
          <w:fldChar w:fldCharType="begin"/>
        </w:r>
        <w:r w:rsidRPr="000D1E6F">
          <w:rPr>
            <w:rFonts w:ascii="宋体" w:hAnsi="宋体"/>
            <w:noProof/>
            <w:sz w:val="24"/>
          </w:rPr>
          <w:instrText xml:space="preserve"> PAGEREF _Toc229473180 \h </w:instrText>
        </w:r>
        <w:r w:rsidRPr="000D1E6F">
          <w:rPr>
            <w:rFonts w:ascii="宋体" w:hAnsi="宋体"/>
            <w:noProof/>
            <w:sz w:val="24"/>
          </w:rPr>
        </w:r>
        <w:r w:rsidRPr="000D1E6F">
          <w:rPr>
            <w:rFonts w:ascii="宋体" w:hAnsi="宋体"/>
            <w:noProof/>
            <w:sz w:val="24"/>
          </w:rPr>
          <w:fldChar w:fldCharType="separate"/>
        </w:r>
        <w:r w:rsidRPr="000D1E6F">
          <w:rPr>
            <w:rFonts w:ascii="宋体" w:hAnsi="宋体"/>
            <w:noProof/>
            <w:sz w:val="24"/>
          </w:rPr>
          <w:t>48</w:t>
        </w:r>
        <w:r w:rsidRPr="000D1E6F">
          <w:rPr>
            <w:rFonts w:ascii="宋体" w:hAnsi="宋体"/>
            <w:noProof/>
            <w:sz w:val="24"/>
          </w:rPr>
          <w:fldChar w:fldCharType="end"/>
        </w:r>
      </w:hyperlink>
    </w:p>
    <w:p w:rsidR="000D1E6F" w:rsidRPr="000D1E6F" w:rsidRDefault="000D1E6F" w:rsidP="000D1E6F">
      <w:pPr>
        <w:pStyle w:val="10"/>
        <w:tabs>
          <w:tab w:val="right" w:leader="dot" w:pos="8550"/>
        </w:tabs>
        <w:spacing w:line="360" w:lineRule="auto"/>
        <w:rPr>
          <w:rFonts w:ascii="宋体" w:hAnsi="宋体" w:cstheme="minorBidi"/>
          <w:noProof/>
          <w:sz w:val="24"/>
        </w:rPr>
      </w:pPr>
      <w:hyperlink w:anchor="_Toc229473181" w:history="1">
        <w:r w:rsidRPr="000D1E6F">
          <w:rPr>
            <w:rStyle w:val="aa"/>
            <w:rFonts w:ascii="宋体" w:hAnsi="宋体" w:hint="eastAsia"/>
            <w:noProof/>
            <w:sz w:val="24"/>
          </w:rPr>
          <w:t>九、基金的转换</w:t>
        </w:r>
        <w:r w:rsidRPr="000D1E6F">
          <w:rPr>
            <w:rFonts w:ascii="宋体" w:hAnsi="宋体"/>
            <w:noProof/>
            <w:sz w:val="24"/>
          </w:rPr>
          <w:tab/>
        </w:r>
        <w:r w:rsidRPr="000D1E6F">
          <w:rPr>
            <w:rFonts w:ascii="宋体" w:hAnsi="宋体"/>
            <w:noProof/>
            <w:sz w:val="24"/>
          </w:rPr>
          <w:fldChar w:fldCharType="begin"/>
        </w:r>
        <w:r w:rsidRPr="000D1E6F">
          <w:rPr>
            <w:rFonts w:ascii="宋体" w:hAnsi="宋体"/>
            <w:noProof/>
            <w:sz w:val="24"/>
          </w:rPr>
          <w:instrText xml:space="preserve"> PAGEREF _Toc229473181 \h </w:instrText>
        </w:r>
        <w:r w:rsidRPr="000D1E6F">
          <w:rPr>
            <w:rFonts w:ascii="宋体" w:hAnsi="宋体"/>
            <w:noProof/>
            <w:sz w:val="24"/>
          </w:rPr>
        </w:r>
        <w:r w:rsidRPr="000D1E6F">
          <w:rPr>
            <w:rFonts w:ascii="宋体" w:hAnsi="宋体"/>
            <w:noProof/>
            <w:sz w:val="24"/>
          </w:rPr>
          <w:fldChar w:fldCharType="separate"/>
        </w:r>
        <w:r w:rsidRPr="000D1E6F">
          <w:rPr>
            <w:rFonts w:ascii="宋体" w:hAnsi="宋体"/>
            <w:noProof/>
            <w:sz w:val="24"/>
          </w:rPr>
          <w:t>61</w:t>
        </w:r>
        <w:r w:rsidRPr="000D1E6F">
          <w:rPr>
            <w:rFonts w:ascii="宋体" w:hAnsi="宋体"/>
            <w:noProof/>
            <w:sz w:val="24"/>
          </w:rPr>
          <w:fldChar w:fldCharType="end"/>
        </w:r>
      </w:hyperlink>
    </w:p>
    <w:p w:rsidR="000D1E6F" w:rsidRPr="000D1E6F" w:rsidRDefault="000D1E6F" w:rsidP="000D1E6F">
      <w:pPr>
        <w:pStyle w:val="10"/>
        <w:tabs>
          <w:tab w:val="right" w:leader="dot" w:pos="8550"/>
        </w:tabs>
        <w:spacing w:line="360" w:lineRule="auto"/>
        <w:rPr>
          <w:rFonts w:ascii="宋体" w:hAnsi="宋体" w:cstheme="minorBidi"/>
          <w:noProof/>
          <w:sz w:val="24"/>
        </w:rPr>
      </w:pPr>
      <w:hyperlink w:anchor="_Toc229473182" w:history="1">
        <w:r w:rsidRPr="000D1E6F">
          <w:rPr>
            <w:rStyle w:val="aa"/>
            <w:rFonts w:ascii="宋体" w:hAnsi="宋体" w:hint="eastAsia"/>
            <w:noProof/>
            <w:sz w:val="24"/>
          </w:rPr>
          <w:t>十、基金的投资</w:t>
        </w:r>
        <w:r w:rsidRPr="000D1E6F">
          <w:rPr>
            <w:rFonts w:ascii="宋体" w:hAnsi="宋体"/>
            <w:noProof/>
            <w:sz w:val="24"/>
          </w:rPr>
          <w:tab/>
        </w:r>
        <w:r w:rsidRPr="000D1E6F">
          <w:rPr>
            <w:rFonts w:ascii="宋体" w:hAnsi="宋体"/>
            <w:noProof/>
            <w:sz w:val="24"/>
          </w:rPr>
          <w:fldChar w:fldCharType="begin"/>
        </w:r>
        <w:r w:rsidRPr="000D1E6F">
          <w:rPr>
            <w:rFonts w:ascii="宋体" w:hAnsi="宋体"/>
            <w:noProof/>
            <w:sz w:val="24"/>
          </w:rPr>
          <w:instrText xml:space="preserve"> PAGEREF _Toc229473182 \h </w:instrText>
        </w:r>
        <w:r w:rsidRPr="000D1E6F">
          <w:rPr>
            <w:rFonts w:ascii="宋体" w:hAnsi="宋体"/>
            <w:noProof/>
            <w:sz w:val="24"/>
          </w:rPr>
        </w:r>
        <w:r w:rsidRPr="000D1E6F">
          <w:rPr>
            <w:rFonts w:ascii="宋体" w:hAnsi="宋体"/>
            <w:noProof/>
            <w:sz w:val="24"/>
          </w:rPr>
          <w:fldChar w:fldCharType="separate"/>
        </w:r>
        <w:r w:rsidRPr="000D1E6F">
          <w:rPr>
            <w:rFonts w:ascii="宋体" w:hAnsi="宋体"/>
            <w:noProof/>
            <w:sz w:val="24"/>
          </w:rPr>
          <w:t>68</w:t>
        </w:r>
        <w:r w:rsidRPr="000D1E6F">
          <w:rPr>
            <w:rFonts w:ascii="宋体" w:hAnsi="宋体"/>
            <w:noProof/>
            <w:sz w:val="24"/>
          </w:rPr>
          <w:fldChar w:fldCharType="end"/>
        </w:r>
      </w:hyperlink>
    </w:p>
    <w:p w:rsidR="000D1E6F" w:rsidRPr="000D1E6F" w:rsidRDefault="000D1E6F" w:rsidP="000D1E6F">
      <w:pPr>
        <w:pStyle w:val="10"/>
        <w:tabs>
          <w:tab w:val="right" w:leader="dot" w:pos="8550"/>
        </w:tabs>
        <w:spacing w:line="360" w:lineRule="auto"/>
        <w:rPr>
          <w:rFonts w:ascii="宋体" w:hAnsi="宋体" w:cstheme="minorBidi"/>
          <w:noProof/>
          <w:sz w:val="24"/>
        </w:rPr>
      </w:pPr>
      <w:hyperlink w:anchor="_Toc229473183" w:history="1">
        <w:r w:rsidRPr="000D1E6F">
          <w:rPr>
            <w:rStyle w:val="aa"/>
            <w:rFonts w:ascii="宋体" w:hAnsi="宋体" w:hint="eastAsia"/>
            <w:noProof/>
            <w:sz w:val="24"/>
          </w:rPr>
          <w:t>十一、基金的业绩</w:t>
        </w:r>
        <w:r w:rsidRPr="000D1E6F">
          <w:rPr>
            <w:rFonts w:ascii="宋体" w:hAnsi="宋体"/>
            <w:noProof/>
            <w:sz w:val="24"/>
          </w:rPr>
          <w:tab/>
        </w:r>
        <w:r w:rsidRPr="000D1E6F">
          <w:rPr>
            <w:rFonts w:ascii="宋体" w:hAnsi="宋体"/>
            <w:noProof/>
            <w:sz w:val="24"/>
          </w:rPr>
          <w:fldChar w:fldCharType="begin"/>
        </w:r>
        <w:r w:rsidRPr="000D1E6F">
          <w:rPr>
            <w:rFonts w:ascii="宋体" w:hAnsi="宋体"/>
            <w:noProof/>
            <w:sz w:val="24"/>
          </w:rPr>
          <w:instrText xml:space="preserve"> PAGEREF _Toc229473183 \h </w:instrText>
        </w:r>
        <w:r w:rsidRPr="000D1E6F">
          <w:rPr>
            <w:rFonts w:ascii="宋体" w:hAnsi="宋体"/>
            <w:noProof/>
            <w:sz w:val="24"/>
          </w:rPr>
        </w:r>
        <w:r w:rsidRPr="000D1E6F">
          <w:rPr>
            <w:rFonts w:ascii="宋体" w:hAnsi="宋体"/>
            <w:noProof/>
            <w:sz w:val="24"/>
          </w:rPr>
          <w:fldChar w:fldCharType="separate"/>
        </w:r>
        <w:r w:rsidRPr="000D1E6F">
          <w:rPr>
            <w:rFonts w:ascii="宋体" w:hAnsi="宋体"/>
            <w:noProof/>
            <w:sz w:val="24"/>
          </w:rPr>
          <w:t>82</w:t>
        </w:r>
        <w:r w:rsidRPr="000D1E6F">
          <w:rPr>
            <w:rFonts w:ascii="宋体" w:hAnsi="宋体"/>
            <w:noProof/>
            <w:sz w:val="24"/>
          </w:rPr>
          <w:fldChar w:fldCharType="end"/>
        </w:r>
      </w:hyperlink>
    </w:p>
    <w:p w:rsidR="000D1E6F" w:rsidRPr="000D1E6F" w:rsidRDefault="000D1E6F" w:rsidP="000D1E6F">
      <w:pPr>
        <w:pStyle w:val="10"/>
        <w:tabs>
          <w:tab w:val="right" w:leader="dot" w:pos="8550"/>
        </w:tabs>
        <w:spacing w:line="360" w:lineRule="auto"/>
        <w:rPr>
          <w:rFonts w:ascii="宋体" w:hAnsi="宋体" w:cstheme="minorBidi"/>
          <w:noProof/>
          <w:sz w:val="24"/>
        </w:rPr>
      </w:pPr>
      <w:hyperlink w:anchor="_Toc229473184" w:history="1">
        <w:r w:rsidRPr="000D1E6F">
          <w:rPr>
            <w:rStyle w:val="aa"/>
            <w:rFonts w:ascii="宋体" w:hAnsi="宋体" w:hint="eastAsia"/>
            <w:noProof/>
            <w:sz w:val="24"/>
          </w:rPr>
          <w:t>十二、基金的财产</w:t>
        </w:r>
        <w:r w:rsidRPr="000D1E6F">
          <w:rPr>
            <w:rFonts w:ascii="宋体" w:hAnsi="宋体"/>
            <w:noProof/>
            <w:sz w:val="24"/>
          </w:rPr>
          <w:tab/>
        </w:r>
        <w:r w:rsidRPr="000D1E6F">
          <w:rPr>
            <w:rFonts w:ascii="宋体" w:hAnsi="宋体"/>
            <w:noProof/>
            <w:sz w:val="24"/>
          </w:rPr>
          <w:fldChar w:fldCharType="begin"/>
        </w:r>
        <w:r w:rsidRPr="000D1E6F">
          <w:rPr>
            <w:rFonts w:ascii="宋体" w:hAnsi="宋体"/>
            <w:noProof/>
            <w:sz w:val="24"/>
          </w:rPr>
          <w:instrText xml:space="preserve"> PAGEREF _Toc229473184 \h </w:instrText>
        </w:r>
        <w:r w:rsidRPr="000D1E6F">
          <w:rPr>
            <w:rFonts w:ascii="宋体" w:hAnsi="宋体"/>
            <w:noProof/>
            <w:sz w:val="24"/>
          </w:rPr>
        </w:r>
        <w:r w:rsidRPr="000D1E6F">
          <w:rPr>
            <w:rFonts w:ascii="宋体" w:hAnsi="宋体"/>
            <w:noProof/>
            <w:sz w:val="24"/>
          </w:rPr>
          <w:fldChar w:fldCharType="separate"/>
        </w:r>
        <w:r w:rsidRPr="000D1E6F">
          <w:rPr>
            <w:rFonts w:ascii="宋体" w:hAnsi="宋体"/>
            <w:noProof/>
            <w:sz w:val="24"/>
          </w:rPr>
          <w:t>85</w:t>
        </w:r>
        <w:r w:rsidRPr="000D1E6F">
          <w:rPr>
            <w:rFonts w:ascii="宋体" w:hAnsi="宋体"/>
            <w:noProof/>
            <w:sz w:val="24"/>
          </w:rPr>
          <w:fldChar w:fldCharType="end"/>
        </w:r>
      </w:hyperlink>
    </w:p>
    <w:p w:rsidR="000D1E6F" w:rsidRPr="000D1E6F" w:rsidRDefault="000D1E6F" w:rsidP="000D1E6F">
      <w:pPr>
        <w:pStyle w:val="10"/>
        <w:tabs>
          <w:tab w:val="right" w:leader="dot" w:pos="8550"/>
        </w:tabs>
        <w:spacing w:line="360" w:lineRule="auto"/>
        <w:rPr>
          <w:rFonts w:ascii="宋体" w:hAnsi="宋体" w:cstheme="minorBidi"/>
          <w:noProof/>
          <w:sz w:val="24"/>
        </w:rPr>
      </w:pPr>
      <w:hyperlink w:anchor="_Toc229473185" w:history="1">
        <w:r w:rsidRPr="000D1E6F">
          <w:rPr>
            <w:rStyle w:val="aa"/>
            <w:rFonts w:ascii="宋体" w:hAnsi="宋体" w:hint="eastAsia"/>
            <w:noProof/>
            <w:sz w:val="24"/>
          </w:rPr>
          <w:t>十三、基金资产的估值</w:t>
        </w:r>
        <w:r w:rsidRPr="000D1E6F">
          <w:rPr>
            <w:rFonts w:ascii="宋体" w:hAnsi="宋体"/>
            <w:noProof/>
            <w:sz w:val="24"/>
          </w:rPr>
          <w:tab/>
        </w:r>
        <w:r w:rsidRPr="000D1E6F">
          <w:rPr>
            <w:rFonts w:ascii="宋体" w:hAnsi="宋体"/>
            <w:noProof/>
            <w:sz w:val="24"/>
          </w:rPr>
          <w:fldChar w:fldCharType="begin"/>
        </w:r>
        <w:r w:rsidRPr="000D1E6F">
          <w:rPr>
            <w:rFonts w:ascii="宋体" w:hAnsi="宋体"/>
            <w:noProof/>
            <w:sz w:val="24"/>
          </w:rPr>
          <w:instrText xml:space="preserve"> PAGEREF _Toc229473185 \h </w:instrText>
        </w:r>
        <w:r w:rsidRPr="000D1E6F">
          <w:rPr>
            <w:rFonts w:ascii="宋体" w:hAnsi="宋体"/>
            <w:noProof/>
            <w:sz w:val="24"/>
          </w:rPr>
        </w:r>
        <w:r w:rsidRPr="000D1E6F">
          <w:rPr>
            <w:rFonts w:ascii="宋体" w:hAnsi="宋体"/>
            <w:noProof/>
            <w:sz w:val="24"/>
          </w:rPr>
          <w:fldChar w:fldCharType="separate"/>
        </w:r>
        <w:r w:rsidRPr="000D1E6F">
          <w:rPr>
            <w:rFonts w:ascii="宋体" w:hAnsi="宋体"/>
            <w:noProof/>
            <w:sz w:val="24"/>
          </w:rPr>
          <w:t>86</w:t>
        </w:r>
        <w:r w:rsidRPr="000D1E6F">
          <w:rPr>
            <w:rFonts w:ascii="宋体" w:hAnsi="宋体"/>
            <w:noProof/>
            <w:sz w:val="24"/>
          </w:rPr>
          <w:fldChar w:fldCharType="end"/>
        </w:r>
      </w:hyperlink>
    </w:p>
    <w:p w:rsidR="000D1E6F" w:rsidRPr="000D1E6F" w:rsidRDefault="000D1E6F" w:rsidP="000D1E6F">
      <w:pPr>
        <w:pStyle w:val="10"/>
        <w:tabs>
          <w:tab w:val="right" w:leader="dot" w:pos="8550"/>
        </w:tabs>
        <w:spacing w:line="360" w:lineRule="auto"/>
        <w:rPr>
          <w:rFonts w:ascii="宋体" w:hAnsi="宋体" w:cstheme="minorBidi"/>
          <w:noProof/>
          <w:sz w:val="24"/>
        </w:rPr>
      </w:pPr>
      <w:hyperlink w:anchor="_Toc229473186" w:history="1">
        <w:r w:rsidRPr="000D1E6F">
          <w:rPr>
            <w:rStyle w:val="aa"/>
            <w:rFonts w:ascii="宋体" w:hAnsi="宋体" w:hint="eastAsia"/>
            <w:noProof/>
            <w:sz w:val="24"/>
          </w:rPr>
          <w:t>十四、基金收益与分配</w:t>
        </w:r>
        <w:r w:rsidRPr="000D1E6F">
          <w:rPr>
            <w:rFonts w:ascii="宋体" w:hAnsi="宋体"/>
            <w:noProof/>
            <w:sz w:val="24"/>
          </w:rPr>
          <w:tab/>
        </w:r>
        <w:r w:rsidRPr="000D1E6F">
          <w:rPr>
            <w:rFonts w:ascii="宋体" w:hAnsi="宋体"/>
            <w:noProof/>
            <w:sz w:val="24"/>
          </w:rPr>
          <w:fldChar w:fldCharType="begin"/>
        </w:r>
        <w:r w:rsidRPr="000D1E6F">
          <w:rPr>
            <w:rFonts w:ascii="宋体" w:hAnsi="宋体"/>
            <w:noProof/>
            <w:sz w:val="24"/>
          </w:rPr>
          <w:instrText xml:space="preserve"> PAGEREF _Toc229473186 \h </w:instrText>
        </w:r>
        <w:r w:rsidRPr="000D1E6F">
          <w:rPr>
            <w:rFonts w:ascii="宋体" w:hAnsi="宋体"/>
            <w:noProof/>
            <w:sz w:val="24"/>
          </w:rPr>
        </w:r>
        <w:r w:rsidRPr="000D1E6F">
          <w:rPr>
            <w:rFonts w:ascii="宋体" w:hAnsi="宋体"/>
            <w:noProof/>
            <w:sz w:val="24"/>
          </w:rPr>
          <w:fldChar w:fldCharType="separate"/>
        </w:r>
        <w:r w:rsidRPr="000D1E6F">
          <w:rPr>
            <w:rFonts w:ascii="宋体" w:hAnsi="宋体"/>
            <w:noProof/>
            <w:sz w:val="24"/>
          </w:rPr>
          <w:t>93</w:t>
        </w:r>
        <w:r w:rsidRPr="000D1E6F">
          <w:rPr>
            <w:rFonts w:ascii="宋体" w:hAnsi="宋体"/>
            <w:noProof/>
            <w:sz w:val="24"/>
          </w:rPr>
          <w:fldChar w:fldCharType="end"/>
        </w:r>
      </w:hyperlink>
    </w:p>
    <w:p w:rsidR="000D1E6F" w:rsidRPr="000D1E6F" w:rsidRDefault="000D1E6F" w:rsidP="000D1E6F">
      <w:pPr>
        <w:pStyle w:val="10"/>
        <w:tabs>
          <w:tab w:val="right" w:leader="dot" w:pos="8550"/>
        </w:tabs>
        <w:spacing w:line="360" w:lineRule="auto"/>
        <w:rPr>
          <w:rFonts w:ascii="宋体" w:hAnsi="宋体" w:cstheme="minorBidi"/>
          <w:noProof/>
          <w:sz w:val="24"/>
        </w:rPr>
      </w:pPr>
      <w:hyperlink w:anchor="_Toc229473187" w:history="1">
        <w:r w:rsidRPr="000D1E6F">
          <w:rPr>
            <w:rStyle w:val="aa"/>
            <w:rFonts w:ascii="宋体" w:hAnsi="宋体" w:hint="eastAsia"/>
            <w:noProof/>
            <w:sz w:val="24"/>
          </w:rPr>
          <w:t>十五、基金的费用与税收</w:t>
        </w:r>
        <w:r w:rsidRPr="000D1E6F">
          <w:rPr>
            <w:rFonts w:ascii="宋体" w:hAnsi="宋体"/>
            <w:noProof/>
            <w:sz w:val="24"/>
          </w:rPr>
          <w:tab/>
        </w:r>
        <w:r w:rsidRPr="000D1E6F">
          <w:rPr>
            <w:rFonts w:ascii="宋体" w:hAnsi="宋体"/>
            <w:noProof/>
            <w:sz w:val="24"/>
          </w:rPr>
          <w:fldChar w:fldCharType="begin"/>
        </w:r>
        <w:r w:rsidRPr="000D1E6F">
          <w:rPr>
            <w:rFonts w:ascii="宋体" w:hAnsi="宋体"/>
            <w:noProof/>
            <w:sz w:val="24"/>
          </w:rPr>
          <w:instrText xml:space="preserve"> PAGEREF _Toc229473187 \h </w:instrText>
        </w:r>
        <w:r w:rsidRPr="000D1E6F">
          <w:rPr>
            <w:rFonts w:ascii="宋体" w:hAnsi="宋体"/>
            <w:noProof/>
            <w:sz w:val="24"/>
          </w:rPr>
        </w:r>
        <w:r w:rsidRPr="000D1E6F">
          <w:rPr>
            <w:rFonts w:ascii="宋体" w:hAnsi="宋体"/>
            <w:noProof/>
            <w:sz w:val="24"/>
          </w:rPr>
          <w:fldChar w:fldCharType="separate"/>
        </w:r>
        <w:r w:rsidRPr="000D1E6F">
          <w:rPr>
            <w:rFonts w:ascii="宋体" w:hAnsi="宋体"/>
            <w:noProof/>
            <w:sz w:val="24"/>
          </w:rPr>
          <w:t>95</w:t>
        </w:r>
        <w:r w:rsidRPr="000D1E6F">
          <w:rPr>
            <w:rFonts w:ascii="宋体" w:hAnsi="宋体"/>
            <w:noProof/>
            <w:sz w:val="24"/>
          </w:rPr>
          <w:fldChar w:fldCharType="end"/>
        </w:r>
      </w:hyperlink>
    </w:p>
    <w:p w:rsidR="000D1E6F" w:rsidRPr="000D1E6F" w:rsidRDefault="000D1E6F" w:rsidP="000D1E6F">
      <w:pPr>
        <w:pStyle w:val="10"/>
        <w:tabs>
          <w:tab w:val="right" w:leader="dot" w:pos="8550"/>
        </w:tabs>
        <w:spacing w:line="360" w:lineRule="auto"/>
        <w:rPr>
          <w:rFonts w:ascii="宋体" w:hAnsi="宋体" w:cstheme="minorBidi"/>
          <w:noProof/>
          <w:sz w:val="24"/>
        </w:rPr>
      </w:pPr>
      <w:hyperlink w:anchor="_Toc229473188" w:history="1">
        <w:r w:rsidRPr="000D1E6F">
          <w:rPr>
            <w:rStyle w:val="aa"/>
            <w:rFonts w:ascii="宋体" w:hAnsi="宋体" w:hint="eastAsia"/>
            <w:noProof/>
            <w:sz w:val="24"/>
          </w:rPr>
          <w:t>十六、基金的会计与审计</w:t>
        </w:r>
        <w:r w:rsidRPr="000D1E6F">
          <w:rPr>
            <w:rFonts w:ascii="宋体" w:hAnsi="宋体"/>
            <w:noProof/>
            <w:sz w:val="24"/>
          </w:rPr>
          <w:tab/>
        </w:r>
        <w:r w:rsidRPr="000D1E6F">
          <w:rPr>
            <w:rFonts w:ascii="宋体" w:hAnsi="宋体"/>
            <w:noProof/>
            <w:sz w:val="24"/>
          </w:rPr>
          <w:fldChar w:fldCharType="begin"/>
        </w:r>
        <w:r w:rsidRPr="000D1E6F">
          <w:rPr>
            <w:rFonts w:ascii="宋体" w:hAnsi="宋体"/>
            <w:noProof/>
            <w:sz w:val="24"/>
          </w:rPr>
          <w:instrText xml:space="preserve"> PAGEREF _Toc229473188 \h </w:instrText>
        </w:r>
        <w:r w:rsidRPr="000D1E6F">
          <w:rPr>
            <w:rFonts w:ascii="宋体" w:hAnsi="宋体"/>
            <w:noProof/>
            <w:sz w:val="24"/>
          </w:rPr>
        </w:r>
        <w:r w:rsidRPr="000D1E6F">
          <w:rPr>
            <w:rFonts w:ascii="宋体" w:hAnsi="宋体"/>
            <w:noProof/>
            <w:sz w:val="24"/>
          </w:rPr>
          <w:fldChar w:fldCharType="separate"/>
        </w:r>
        <w:r w:rsidRPr="000D1E6F">
          <w:rPr>
            <w:rFonts w:ascii="宋体" w:hAnsi="宋体"/>
            <w:noProof/>
            <w:sz w:val="24"/>
          </w:rPr>
          <w:t>98</w:t>
        </w:r>
        <w:r w:rsidRPr="000D1E6F">
          <w:rPr>
            <w:rFonts w:ascii="宋体" w:hAnsi="宋体"/>
            <w:noProof/>
            <w:sz w:val="24"/>
          </w:rPr>
          <w:fldChar w:fldCharType="end"/>
        </w:r>
      </w:hyperlink>
    </w:p>
    <w:p w:rsidR="000D1E6F" w:rsidRPr="000D1E6F" w:rsidRDefault="000D1E6F" w:rsidP="000D1E6F">
      <w:pPr>
        <w:pStyle w:val="10"/>
        <w:tabs>
          <w:tab w:val="right" w:leader="dot" w:pos="8550"/>
        </w:tabs>
        <w:spacing w:line="360" w:lineRule="auto"/>
        <w:rPr>
          <w:rFonts w:ascii="宋体" w:hAnsi="宋体" w:cstheme="minorBidi"/>
          <w:noProof/>
          <w:sz w:val="24"/>
        </w:rPr>
      </w:pPr>
      <w:hyperlink w:anchor="_Toc229473189" w:history="1">
        <w:r w:rsidRPr="000D1E6F">
          <w:rPr>
            <w:rStyle w:val="aa"/>
            <w:rFonts w:ascii="宋体" w:hAnsi="宋体" w:hint="eastAsia"/>
            <w:noProof/>
            <w:sz w:val="24"/>
          </w:rPr>
          <w:t>十七、基金的信息披露</w:t>
        </w:r>
        <w:r w:rsidRPr="000D1E6F">
          <w:rPr>
            <w:rFonts w:ascii="宋体" w:hAnsi="宋体"/>
            <w:noProof/>
            <w:sz w:val="24"/>
          </w:rPr>
          <w:tab/>
        </w:r>
        <w:r w:rsidRPr="000D1E6F">
          <w:rPr>
            <w:rFonts w:ascii="宋体" w:hAnsi="宋体"/>
            <w:noProof/>
            <w:sz w:val="24"/>
          </w:rPr>
          <w:fldChar w:fldCharType="begin"/>
        </w:r>
        <w:r w:rsidRPr="000D1E6F">
          <w:rPr>
            <w:rFonts w:ascii="宋体" w:hAnsi="宋体"/>
            <w:noProof/>
            <w:sz w:val="24"/>
          </w:rPr>
          <w:instrText xml:space="preserve"> PAGEREF _Toc229473189 \h </w:instrText>
        </w:r>
        <w:r w:rsidRPr="000D1E6F">
          <w:rPr>
            <w:rFonts w:ascii="宋体" w:hAnsi="宋体"/>
            <w:noProof/>
            <w:sz w:val="24"/>
          </w:rPr>
        </w:r>
        <w:r w:rsidRPr="000D1E6F">
          <w:rPr>
            <w:rFonts w:ascii="宋体" w:hAnsi="宋体"/>
            <w:noProof/>
            <w:sz w:val="24"/>
          </w:rPr>
          <w:fldChar w:fldCharType="separate"/>
        </w:r>
        <w:r w:rsidRPr="000D1E6F">
          <w:rPr>
            <w:rFonts w:ascii="宋体" w:hAnsi="宋体"/>
            <w:noProof/>
            <w:sz w:val="24"/>
          </w:rPr>
          <w:t>99</w:t>
        </w:r>
        <w:r w:rsidRPr="000D1E6F">
          <w:rPr>
            <w:rFonts w:ascii="宋体" w:hAnsi="宋体"/>
            <w:noProof/>
            <w:sz w:val="24"/>
          </w:rPr>
          <w:fldChar w:fldCharType="end"/>
        </w:r>
      </w:hyperlink>
    </w:p>
    <w:p w:rsidR="000D1E6F" w:rsidRPr="000D1E6F" w:rsidRDefault="000D1E6F" w:rsidP="000D1E6F">
      <w:pPr>
        <w:pStyle w:val="10"/>
        <w:tabs>
          <w:tab w:val="right" w:leader="dot" w:pos="8550"/>
        </w:tabs>
        <w:spacing w:line="360" w:lineRule="auto"/>
        <w:rPr>
          <w:rFonts w:ascii="宋体" w:hAnsi="宋体" w:cstheme="minorBidi"/>
          <w:noProof/>
          <w:sz w:val="24"/>
        </w:rPr>
      </w:pPr>
      <w:hyperlink w:anchor="_Toc229473190" w:history="1">
        <w:r w:rsidRPr="000D1E6F">
          <w:rPr>
            <w:rStyle w:val="aa"/>
            <w:rFonts w:ascii="宋体" w:hAnsi="宋体" w:hint="eastAsia"/>
            <w:noProof/>
            <w:sz w:val="24"/>
          </w:rPr>
          <w:t>十八、侧袋机制</w:t>
        </w:r>
        <w:r w:rsidRPr="000D1E6F">
          <w:rPr>
            <w:rFonts w:ascii="宋体" w:hAnsi="宋体"/>
            <w:noProof/>
            <w:sz w:val="24"/>
          </w:rPr>
          <w:tab/>
        </w:r>
        <w:r w:rsidRPr="000D1E6F">
          <w:rPr>
            <w:rFonts w:ascii="宋体" w:hAnsi="宋体"/>
            <w:noProof/>
            <w:sz w:val="24"/>
          </w:rPr>
          <w:fldChar w:fldCharType="begin"/>
        </w:r>
        <w:r w:rsidRPr="000D1E6F">
          <w:rPr>
            <w:rFonts w:ascii="宋体" w:hAnsi="宋体"/>
            <w:noProof/>
            <w:sz w:val="24"/>
          </w:rPr>
          <w:instrText xml:space="preserve"> PAGEREF _Toc229473190 \h </w:instrText>
        </w:r>
        <w:r w:rsidRPr="000D1E6F">
          <w:rPr>
            <w:rFonts w:ascii="宋体" w:hAnsi="宋体"/>
            <w:noProof/>
            <w:sz w:val="24"/>
          </w:rPr>
        </w:r>
        <w:r w:rsidRPr="000D1E6F">
          <w:rPr>
            <w:rFonts w:ascii="宋体" w:hAnsi="宋体"/>
            <w:noProof/>
            <w:sz w:val="24"/>
          </w:rPr>
          <w:fldChar w:fldCharType="separate"/>
        </w:r>
        <w:r w:rsidRPr="000D1E6F">
          <w:rPr>
            <w:rFonts w:ascii="宋体" w:hAnsi="宋体"/>
            <w:noProof/>
            <w:sz w:val="24"/>
          </w:rPr>
          <w:t>106</w:t>
        </w:r>
        <w:r w:rsidRPr="000D1E6F">
          <w:rPr>
            <w:rFonts w:ascii="宋体" w:hAnsi="宋体"/>
            <w:noProof/>
            <w:sz w:val="24"/>
          </w:rPr>
          <w:fldChar w:fldCharType="end"/>
        </w:r>
      </w:hyperlink>
    </w:p>
    <w:p w:rsidR="000D1E6F" w:rsidRPr="000D1E6F" w:rsidRDefault="000D1E6F" w:rsidP="000D1E6F">
      <w:pPr>
        <w:pStyle w:val="10"/>
        <w:tabs>
          <w:tab w:val="right" w:leader="dot" w:pos="8550"/>
        </w:tabs>
        <w:spacing w:line="360" w:lineRule="auto"/>
        <w:rPr>
          <w:rFonts w:ascii="宋体" w:hAnsi="宋体" w:cstheme="minorBidi"/>
          <w:noProof/>
          <w:sz w:val="24"/>
        </w:rPr>
      </w:pPr>
      <w:hyperlink w:anchor="_Toc229473191" w:history="1">
        <w:r w:rsidRPr="000D1E6F">
          <w:rPr>
            <w:rStyle w:val="aa"/>
            <w:rFonts w:ascii="宋体" w:hAnsi="宋体" w:hint="eastAsia"/>
            <w:noProof/>
            <w:sz w:val="24"/>
          </w:rPr>
          <w:t>十九、风险揭示</w:t>
        </w:r>
        <w:r w:rsidRPr="000D1E6F">
          <w:rPr>
            <w:rFonts w:ascii="宋体" w:hAnsi="宋体"/>
            <w:noProof/>
            <w:sz w:val="24"/>
          </w:rPr>
          <w:tab/>
        </w:r>
        <w:r w:rsidRPr="000D1E6F">
          <w:rPr>
            <w:rFonts w:ascii="宋体" w:hAnsi="宋体"/>
            <w:noProof/>
            <w:sz w:val="24"/>
          </w:rPr>
          <w:fldChar w:fldCharType="begin"/>
        </w:r>
        <w:r w:rsidRPr="000D1E6F">
          <w:rPr>
            <w:rFonts w:ascii="宋体" w:hAnsi="宋体"/>
            <w:noProof/>
            <w:sz w:val="24"/>
          </w:rPr>
          <w:instrText xml:space="preserve"> PAGEREF _Toc229473191 \h </w:instrText>
        </w:r>
        <w:r w:rsidRPr="000D1E6F">
          <w:rPr>
            <w:rFonts w:ascii="宋体" w:hAnsi="宋体"/>
            <w:noProof/>
            <w:sz w:val="24"/>
          </w:rPr>
        </w:r>
        <w:r w:rsidRPr="000D1E6F">
          <w:rPr>
            <w:rFonts w:ascii="宋体" w:hAnsi="宋体"/>
            <w:noProof/>
            <w:sz w:val="24"/>
          </w:rPr>
          <w:fldChar w:fldCharType="separate"/>
        </w:r>
        <w:r w:rsidRPr="000D1E6F">
          <w:rPr>
            <w:rFonts w:ascii="宋体" w:hAnsi="宋体"/>
            <w:noProof/>
            <w:sz w:val="24"/>
          </w:rPr>
          <w:t>109</w:t>
        </w:r>
        <w:r w:rsidRPr="000D1E6F">
          <w:rPr>
            <w:rFonts w:ascii="宋体" w:hAnsi="宋体"/>
            <w:noProof/>
            <w:sz w:val="24"/>
          </w:rPr>
          <w:fldChar w:fldCharType="end"/>
        </w:r>
      </w:hyperlink>
    </w:p>
    <w:p w:rsidR="000D1E6F" w:rsidRPr="000D1E6F" w:rsidRDefault="000D1E6F" w:rsidP="000D1E6F">
      <w:pPr>
        <w:pStyle w:val="10"/>
        <w:tabs>
          <w:tab w:val="right" w:leader="dot" w:pos="8550"/>
        </w:tabs>
        <w:spacing w:line="360" w:lineRule="auto"/>
        <w:rPr>
          <w:rFonts w:ascii="宋体" w:hAnsi="宋体" w:cstheme="minorBidi"/>
          <w:noProof/>
          <w:sz w:val="24"/>
        </w:rPr>
      </w:pPr>
      <w:hyperlink w:anchor="_Toc229473192" w:history="1">
        <w:r w:rsidRPr="000D1E6F">
          <w:rPr>
            <w:rStyle w:val="aa"/>
            <w:rFonts w:ascii="宋体" w:hAnsi="宋体" w:hint="eastAsia"/>
            <w:noProof/>
            <w:sz w:val="24"/>
          </w:rPr>
          <w:t>二十、基金合同的变更、终止与基金财产的清算</w:t>
        </w:r>
        <w:r w:rsidRPr="000D1E6F">
          <w:rPr>
            <w:rFonts w:ascii="宋体" w:hAnsi="宋体"/>
            <w:noProof/>
            <w:sz w:val="24"/>
          </w:rPr>
          <w:tab/>
        </w:r>
        <w:r w:rsidRPr="000D1E6F">
          <w:rPr>
            <w:rFonts w:ascii="宋体" w:hAnsi="宋体"/>
            <w:noProof/>
            <w:sz w:val="24"/>
          </w:rPr>
          <w:fldChar w:fldCharType="begin"/>
        </w:r>
        <w:r w:rsidRPr="000D1E6F">
          <w:rPr>
            <w:rFonts w:ascii="宋体" w:hAnsi="宋体"/>
            <w:noProof/>
            <w:sz w:val="24"/>
          </w:rPr>
          <w:instrText xml:space="preserve"> PAGEREF _Toc229473192 \h </w:instrText>
        </w:r>
        <w:r w:rsidRPr="000D1E6F">
          <w:rPr>
            <w:rFonts w:ascii="宋体" w:hAnsi="宋体"/>
            <w:noProof/>
            <w:sz w:val="24"/>
          </w:rPr>
        </w:r>
        <w:r w:rsidRPr="000D1E6F">
          <w:rPr>
            <w:rFonts w:ascii="宋体" w:hAnsi="宋体"/>
            <w:noProof/>
            <w:sz w:val="24"/>
          </w:rPr>
          <w:fldChar w:fldCharType="separate"/>
        </w:r>
        <w:r w:rsidRPr="000D1E6F">
          <w:rPr>
            <w:rFonts w:ascii="宋体" w:hAnsi="宋体"/>
            <w:noProof/>
            <w:sz w:val="24"/>
          </w:rPr>
          <w:t>120</w:t>
        </w:r>
        <w:r w:rsidRPr="000D1E6F">
          <w:rPr>
            <w:rFonts w:ascii="宋体" w:hAnsi="宋体"/>
            <w:noProof/>
            <w:sz w:val="24"/>
          </w:rPr>
          <w:fldChar w:fldCharType="end"/>
        </w:r>
      </w:hyperlink>
    </w:p>
    <w:p w:rsidR="000D1E6F" w:rsidRPr="000D1E6F" w:rsidRDefault="000D1E6F" w:rsidP="000D1E6F">
      <w:pPr>
        <w:pStyle w:val="10"/>
        <w:tabs>
          <w:tab w:val="right" w:leader="dot" w:pos="8550"/>
        </w:tabs>
        <w:spacing w:line="360" w:lineRule="auto"/>
        <w:rPr>
          <w:rFonts w:ascii="宋体" w:hAnsi="宋体" w:cstheme="minorBidi"/>
          <w:noProof/>
          <w:sz w:val="24"/>
        </w:rPr>
      </w:pPr>
      <w:hyperlink w:anchor="_Toc229473193" w:history="1">
        <w:r w:rsidRPr="000D1E6F">
          <w:rPr>
            <w:rStyle w:val="aa"/>
            <w:rFonts w:ascii="宋体" w:hAnsi="宋体" w:hint="eastAsia"/>
            <w:noProof/>
            <w:sz w:val="24"/>
          </w:rPr>
          <w:t>二十一、基金合同内容摘要</w:t>
        </w:r>
        <w:r w:rsidRPr="000D1E6F">
          <w:rPr>
            <w:rFonts w:ascii="宋体" w:hAnsi="宋体"/>
            <w:noProof/>
            <w:sz w:val="24"/>
          </w:rPr>
          <w:tab/>
        </w:r>
        <w:r w:rsidRPr="000D1E6F">
          <w:rPr>
            <w:rFonts w:ascii="宋体" w:hAnsi="宋体"/>
            <w:noProof/>
            <w:sz w:val="24"/>
          </w:rPr>
          <w:fldChar w:fldCharType="begin"/>
        </w:r>
        <w:r w:rsidRPr="000D1E6F">
          <w:rPr>
            <w:rFonts w:ascii="宋体" w:hAnsi="宋体"/>
            <w:noProof/>
            <w:sz w:val="24"/>
          </w:rPr>
          <w:instrText xml:space="preserve"> PAGEREF _Toc229473193 \h </w:instrText>
        </w:r>
        <w:r w:rsidRPr="000D1E6F">
          <w:rPr>
            <w:rFonts w:ascii="宋体" w:hAnsi="宋体"/>
            <w:noProof/>
            <w:sz w:val="24"/>
          </w:rPr>
        </w:r>
        <w:r w:rsidRPr="000D1E6F">
          <w:rPr>
            <w:rFonts w:ascii="宋体" w:hAnsi="宋体"/>
            <w:noProof/>
            <w:sz w:val="24"/>
          </w:rPr>
          <w:fldChar w:fldCharType="separate"/>
        </w:r>
        <w:r w:rsidRPr="000D1E6F">
          <w:rPr>
            <w:rFonts w:ascii="宋体" w:hAnsi="宋体"/>
            <w:noProof/>
            <w:sz w:val="24"/>
          </w:rPr>
          <w:t>122</w:t>
        </w:r>
        <w:r w:rsidRPr="000D1E6F">
          <w:rPr>
            <w:rFonts w:ascii="宋体" w:hAnsi="宋体"/>
            <w:noProof/>
            <w:sz w:val="24"/>
          </w:rPr>
          <w:fldChar w:fldCharType="end"/>
        </w:r>
      </w:hyperlink>
    </w:p>
    <w:p w:rsidR="000D1E6F" w:rsidRPr="000D1E6F" w:rsidRDefault="000D1E6F" w:rsidP="000D1E6F">
      <w:pPr>
        <w:pStyle w:val="10"/>
        <w:tabs>
          <w:tab w:val="right" w:leader="dot" w:pos="8550"/>
        </w:tabs>
        <w:spacing w:line="360" w:lineRule="auto"/>
        <w:rPr>
          <w:rFonts w:ascii="宋体" w:hAnsi="宋体" w:cstheme="minorBidi"/>
          <w:noProof/>
          <w:sz w:val="24"/>
        </w:rPr>
      </w:pPr>
      <w:hyperlink w:anchor="_Toc229473194" w:history="1">
        <w:r w:rsidRPr="000D1E6F">
          <w:rPr>
            <w:rStyle w:val="aa"/>
            <w:rFonts w:ascii="宋体" w:hAnsi="宋体" w:hint="eastAsia"/>
            <w:noProof/>
            <w:sz w:val="24"/>
          </w:rPr>
          <w:t>二十二、托管协议的内容摘要</w:t>
        </w:r>
        <w:r w:rsidRPr="000D1E6F">
          <w:rPr>
            <w:rFonts w:ascii="宋体" w:hAnsi="宋体"/>
            <w:noProof/>
            <w:sz w:val="24"/>
          </w:rPr>
          <w:tab/>
        </w:r>
        <w:r w:rsidRPr="000D1E6F">
          <w:rPr>
            <w:rFonts w:ascii="宋体" w:hAnsi="宋体"/>
            <w:noProof/>
            <w:sz w:val="24"/>
          </w:rPr>
          <w:fldChar w:fldCharType="begin"/>
        </w:r>
        <w:r w:rsidRPr="000D1E6F">
          <w:rPr>
            <w:rFonts w:ascii="宋体" w:hAnsi="宋体"/>
            <w:noProof/>
            <w:sz w:val="24"/>
          </w:rPr>
          <w:instrText xml:space="preserve"> PAGEREF _Toc229473194 \h </w:instrText>
        </w:r>
        <w:r w:rsidRPr="000D1E6F">
          <w:rPr>
            <w:rFonts w:ascii="宋体" w:hAnsi="宋体"/>
            <w:noProof/>
            <w:sz w:val="24"/>
          </w:rPr>
        </w:r>
        <w:r w:rsidRPr="000D1E6F">
          <w:rPr>
            <w:rFonts w:ascii="宋体" w:hAnsi="宋体"/>
            <w:noProof/>
            <w:sz w:val="24"/>
          </w:rPr>
          <w:fldChar w:fldCharType="separate"/>
        </w:r>
        <w:r w:rsidRPr="000D1E6F">
          <w:rPr>
            <w:rFonts w:ascii="宋体" w:hAnsi="宋体"/>
            <w:noProof/>
            <w:sz w:val="24"/>
          </w:rPr>
          <w:t>139</w:t>
        </w:r>
        <w:r w:rsidRPr="000D1E6F">
          <w:rPr>
            <w:rFonts w:ascii="宋体" w:hAnsi="宋体"/>
            <w:noProof/>
            <w:sz w:val="24"/>
          </w:rPr>
          <w:fldChar w:fldCharType="end"/>
        </w:r>
      </w:hyperlink>
    </w:p>
    <w:p w:rsidR="000D1E6F" w:rsidRPr="000D1E6F" w:rsidRDefault="000D1E6F" w:rsidP="000D1E6F">
      <w:pPr>
        <w:pStyle w:val="10"/>
        <w:tabs>
          <w:tab w:val="right" w:leader="dot" w:pos="8550"/>
        </w:tabs>
        <w:spacing w:line="360" w:lineRule="auto"/>
        <w:rPr>
          <w:rFonts w:ascii="宋体" w:hAnsi="宋体" w:cstheme="minorBidi"/>
          <w:noProof/>
          <w:sz w:val="24"/>
        </w:rPr>
      </w:pPr>
      <w:hyperlink w:anchor="_Toc229473195" w:history="1">
        <w:r w:rsidRPr="000D1E6F">
          <w:rPr>
            <w:rStyle w:val="aa"/>
            <w:rFonts w:ascii="宋体" w:hAnsi="宋体" w:hint="eastAsia"/>
            <w:noProof/>
            <w:sz w:val="24"/>
          </w:rPr>
          <w:t>二十三、对基金份额持有人的服务</w:t>
        </w:r>
        <w:r w:rsidRPr="000D1E6F">
          <w:rPr>
            <w:rFonts w:ascii="宋体" w:hAnsi="宋体"/>
            <w:noProof/>
            <w:sz w:val="24"/>
          </w:rPr>
          <w:tab/>
        </w:r>
        <w:r w:rsidRPr="000D1E6F">
          <w:rPr>
            <w:rFonts w:ascii="宋体" w:hAnsi="宋体"/>
            <w:noProof/>
            <w:sz w:val="24"/>
          </w:rPr>
          <w:fldChar w:fldCharType="begin"/>
        </w:r>
        <w:r w:rsidRPr="000D1E6F">
          <w:rPr>
            <w:rFonts w:ascii="宋体" w:hAnsi="宋体"/>
            <w:noProof/>
            <w:sz w:val="24"/>
          </w:rPr>
          <w:instrText xml:space="preserve"> PAGEREF _Toc229473195 \h </w:instrText>
        </w:r>
        <w:r w:rsidRPr="000D1E6F">
          <w:rPr>
            <w:rFonts w:ascii="宋体" w:hAnsi="宋体"/>
            <w:noProof/>
            <w:sz w:val="24"/>
          </w:rPr>
        </w:r>
        <w:r w:rsidRPr="000D1E6F">
          <w:rPr>
            <w:rFonts w:ascii="宋体" w:hAnsi="宋体"/>
            <w:noProof/>
            <w:sz w:val="24"/>
          </w:rPr>
          <w:fldChar w:fldCharType="separate"/>
        </w:r>
        <w:r w:rsidRPr="000D1E6F">
          <w:rPr>
            <w:rFonts w:ascii="宋体" w:hAnsi="宋体"/>
            <w:noProof/>
            <w:sz w:val="24"/>
          </w:rPr>
          <w:t>152</w:t>
        </w:r>
        <w:r w:rsidRPr="000D1E6F">
          <w:rPr>
            <w:rFonts w:ascii="宋体" w:hAnsi="宋体"/>
            <w:noProof/>
            <w:sz w:val="24"/>
          </w:rPr>
          <w:fldChar w:fldCharType="end"/>
        </w:r>
      </w:hyperlink>
    </w:p>
    <w:p w:rsidR="000D1E6F" w:rsidRPr="000D1E6F" w:rsidRDefault="000D1E6F" w:rsidP="000D1E6F">
      <w:pPr>
        <w:pStyle w:val="10"/>
        <w:tabs>
          <w:tab w:val="right" w:leader="dot" w:pos="8550"/>
        </w:tabs>
        <w:spacing w:line="360" w:lineRule="auto"/>
        <w:rPr>
          <w:rFonts w:ascii="宋体" w:hAnsi="宋体" w:cstheme="minorBidi"/>
          <w:noProof/>
          <w:sz w:val="24"/>
        </w:rPr>
      </w:pPr>
      <w:hyperlink w:anchor="_Toc229473196" w:history="1">
        <w:r w:rsidRPr="000D1E6F">
          <w:rPr>
            <w:rStyle w:val="aa"/>
            <w:rFonts w:ascii="宋体" w:hAnsi="宋体" w:hint="eastAsia"/>
            <w:noProof/>
            <w:sz w:val="24"/>
          </w:rPr>
          <w:t>二十四、其他应披露事项</w:t>
        </w:r>
        <w:r w:rsidRPr="000D1E6F">
          <w:rPr>
            <w:rFonts w:ascii="宋体" w:hAnsi="宋体"/>
            <w:noProof/>
            <w:sz w:val="24"/>
          </w:rPr>
          <w:tab/>
        </w:r>
        <w:r w:rsidRPr="000D1E6F">
          <w:rPr>
            <w:rFonts w:ascii="宋体" w:hAnsi="宋体"/>
            <w:noProof/>
            <w:sz w:val="24"/>
          </w:rPr>
          <w:fldChar w:fldCharType="begin"/>
        </w:r>
        <w:r w:rsidRPr="000D1E6F">
          <w:rPr>
            <w:rFonts w:ascii="宋体" w:hAnsi="宋体"/>
            <w:noProof/>
            <w:sz w:val="24"/>
          </w:rPr>
          <w:instrText xml:space="preserve"> PAGEREF _Toc229473196 \h </w:instrText>
        </w:r>
        <w:r w:rsidRPr="000D1E6F">
          <w:rPr>
            <w:rFonts w:ascii="宋体" w:hAnsi="宋体"/>
            <w:noProof/>
            <w:sz w:val="24"/>
          </w:rPr>
        </w:r>
        <w:r w:rsidRPr="000D1E6F">
          <w:rPr>
            <w:rFonts w:ascii="宋体" w:hAnsi="宋体"/>
            <w:noProof/>
            <w:sz w:val="24"/>
          </w:rPr>
          <w:fldChar w:fldCharType="separate"/>
        </w:r>
        <w:r w:rsidRPr="000D1E6F">
          <w:rPr>
            <w:rFonts w:ascii="宋体" w:hAnsi="宋体"/>
            <w:noProof/>
            <w:sz w:val="24"/>
          </w:rPr>
          <w:t>154</w:t>
        </w:r>
        <w:r w:rsidRPr="000D1E6F">
          <w:rPr>
            <w:rFonts w:ascii="宋体" w:hAnsi="宋体"/>
            <w:noProof/>
            <w:sz w:val="24"/>
          </w:rPr>
          <w:fldChar w:fldCharType="end"/>
        </w:r>
      </w:hyperlink>
    </w:p>
    <w:p w:rsidR="000D1E6F" w:rsidRPr="000D1E6F" w:rsidRDefault="000D1E6F" w:rsidP="000D1E6F">
      <w:pPr>
        <w:pStyle w:val="10"/>
        <w:tabs>
          <w:tab w:val="right" w:leader="dot" w:pos="8550"/>
        </w:tabs>
        <w:spacing w:line="360" w:lineRule="auto"/>
        <w:rPr>
          <w:rFonts w:ascii="宋体" w:hAnsi="宋体" w:cstheme="minorBidi"/>
          <w:noProof/>
          <w:sz w:val="24"/>
        </w:rPr>
      </w:pPr>
      <w:hyperlink w:anchor="_Toc229473197" w:history="1">
        <w:r w:rsidRPr="000D1E6F">
          <w:rPr>
            <w:rStyle w:val="aa"/>
            <w:rFonts w:ascii="宋体" w:hAnsi="宋体" w:hint="eastAsia"/>
            <w:noProof/>
            <w:sz w:val="24"/>
          </w:rPr>
          <w:t>二十五、招募说明书的存放及查阅方式</w:t>
        </w:r>
        <w:r w:rsidRPr="000D1E6F">
          <w:rPr>
            <w:rFonts w:ascii="宋体" w:hAnsi="宋体"/>
            <w:noProof/>
            <w:sz w:val="24"/>
          </w:rPr>
          <w:tab/>
        </w:r>
        <w:r w:rsidRPr="000D1E6F">
          <w:rPr>
            <w:rFonts w:ascii="宋体" w:hAnsi="宋体"/>
            <w:noProof/>
            <w:sz w:val="24"/>
          </w:rPr>
          <w:fldChar w:fldCharType="begin"/>
        </w:r>
        <w:r w:rsidRPr="000D1E6F">
          <w:rPr>
            <w:rFonts w:ascii="宋体" w:hAnsi="宋体"/>
            <w:noProof/>
            <w:sz w:val="24"/>
          </w:rPr>
          <w:instrText xml:space="preserve"> PAGEREF _Toc229473197 \h </w:instrText>
        </w:r>
        <w:r w:rsidRPr="000D1E6F">
          <w:rPr>
            <w:rFonts w:ascii="宋体" w:hAnsi="宋体"/>
            <w:noProof/>
            <w:sz w:val="24"/>
          </w:rPr>
        </w:r>
        <w:r w:rsidRPr="000D1E6F">
          <w:rPr>
            <w:rFonts w:ascii="宋体" w:hAnsi="宋体"/>
            <w:noProof/>
            <w:sz w:val="24"/>
          </w:rPr>
          <w:fldChar w:fldCharType="separate"/>
        </w:r>
        <w:r w:rsidRPr="000D1E6F">
          <w:rPr>
            <w:rFonts w:ascii="宋体" w:hAnsi="宋体"/>
            <w:noProof/>
            <w:sz w:val="24"/>
          </w:rPr>
          <w:t>156</w:t>
        </w:r>
        <w:r w:rsidRPr="000D1E6F">
          <w:rPr>
            <w:rFonts w:ascii="宋体" w:hAnsi="宋体"/>
            <w:noProof/>
            <w:sz w:val="24"/>
          </w:rPr>
          <w:fldChar w:fldCharType="end"/>
        </w:r>
      </w:hyperlink>
    </w:p>
    <w:p w:rsidR="000D1E6F" w:rsidRPr="000D1E6F" w:rsidRDefault="000D1E6F" w:rsidP="000D1E6F">
      <w:pPr>
        <w:pStyle w:val="10"/>
        <w:tabs>
          <w:tab w:val="right" w:leader="dot" w:pos="8550"/>
        </w:tabs>
        <w:spacing w:line="360" w:lineRule="auto"/>
        <w:rPr>
          <w:rFonts w:ascii="宋体" w:hAnsi="宋体" w:cstheme="minorBidi"/>
          <w:noProof/>
          <w:sz w:val="24"/>
        </w:rPr>
      </w:pPr>
      <w:hyperlink w:anchor="_Toc229473198" w:history="1">
        <w:r w:rsidRPr="000D1E6F">
          <w:rPr>
            <w:rStyle w:val="aa"/>
            <w:rFonts w:ascii="宋体" w:hAnsi="宋体" w:hint="eastAsia"/>
            <w:noProof/>
            <w:sz w:val="24"/>
          </w:rPr>
          <w:t>二十六、备查文件</w:t>
        </w:r>
        <w:r w:rsidRPr="000D1E6F">
          <w:rPr>
            <w:rFonts w:ascii="宋体" w:hAnsi="宋体"/>
            <w:noProof/>
            <w:sz w:val="24"/>
          </w:rPr>
          <w:tab/>
        </w:r>
        <w:r w:rsidRPr="000D1E6F">
          <w:rPr>
            <w:rFonts w:ascii="宋体" w:hAnsi="宋体"/>
            <w:noProof/>
            <w:sz w:val="24"/>
          </w:rPr>
          <w:fldChar w:fldCharType="begin"/>
        </w:r>
        <w:r w:rsidRPr="000D1E6F">
          <w:rPr>
            <w:rFonts w:ascii="宋体" w:hAnsi="宋体"/>
            <w:noProof/>
            <w:sz w:val="24"/>
          </w:rPr>
          <w:instrText xml:space="preserve"> PAGEREF _Toc229473198 \h </w:instrText>
        </w:r>
        <w:r w:rsidRPr="000D1E6F">
          <w:rPr>
            <w:rFonts w:ascii="宋体" w:hAnsi="宋体"/>
            <w:noProof/>
            <w:sz w:val="24"/>
          </w:rPr>
        </w:r>
        <w:r w:rsidRPr="000D1E6F">
          <w:rPr>
            <w:rFonts w:ascii="宋体" w:hAnsi="宋体"/>
            <w:noProof/>
            <w:sz w:val="24"/>
          </w:rPr>
          <w:fldChar w:fldCharType="separate"/>
        </w:r>
        <w:r w:rsidRPr="000D1E6F">
          <w:rPr>
            <w:rFonts w:ascii="宋体" w:hAnsi="宋体"/>
            <w:noProof/>
            <w:sz w:val="24"/>
          </w:rPr>
          <w:t>157</w:t>
        </w:r>
        <w:r w:rsidRPr="000D1E6F">
          <w:rPr>
            <w:rFonts w:ascii="宋体" w:hAnsi="宋体"/>
            <w:noProof/>
            <w:sz w:val="24"/>
          </w:rPr>
          <w:fldChar w:fldCharType="end"/>
        </w:r>
      </w:hyperlink>
    </w:p>
    <w:p w:rsidR="0067468D" w:rsidRPr="000D1E6F" w:rsidRDefault="000D1E6F" w:rsidP="000D1E6F">
      <w:pPr>
        <w:pStyle w:val="ad"/>
        <w:snapToGrid w:val="0"/>
        <w:spacing w:after="240" w:line="360" w:lineRule="auto"/>
        <w:jc w:val="center"/>
        <w:rPr>
          <w:rFonts w:ascii="宋体" w:hAnsi="宋体"/>
          <w:color w:val="000000"/>
          <w:sz w:val="24"/>
        </w:rPr>
      </w:pPr>
      <w:r w:rsidRPr="000D1E6F">
        <w:rPr>
          <w:rFonts w:ascii="宋体" w:hAnsi="宋体"/>
          <w:color w:val="000000"/>
          <w:position w:val="-4"/>
          <w:sz w:val="24"/>
          <w:szCs w:val="30"/>
        </w:rPr>
        <w:fldChar w:fldCharType="end"/>
      </w:r>
      <w:bookmarkStart w:id="3" w:name="_GoBack"/>
      <w:bookmarkEnd w:id="3"/>
    </w:p>
    <w:p w:rsidR="0067468D" w:rsidRDefault="0067468D">
      <w:pPr>
        <w:autoSpaceDE w:val="0"/>
        <w:autoSpaceDN w:val="0"/>
        <w:adjustRightInd w:val="0"/>
        <w:snapToGrid w:val="0"/>
        <w:spacing w:line="360" w:lineRule="auto"/>
        <w:ind w:left="120" w:rightChars="6" w:right="13"/>
        <w:rPr>
          <w:rFonts w:ascii="宋体" w:hAnsi="宋体"/>
          <w:kern w:val="0"/>
          <w:szCs w:val="24"/>
        </w:rPr>
        <w:sectPr w:rsidR="0067468D">
          <w:pgSz w:w="11920" w:h="16840"/>
          <w:pgMar w:top="1480" w:right="1680" w:bottom="280" w:left="1680" w:header="0" w:footer="1073" w:gutter="0"/>
          <w:cols w:space="720"/>
        </w:sectPr>
      </w:pPr>
    </w:p>
    <w:p w:rsidR="0067468D" w:rsidRDefault="001874F8">
      <w:pPr>
        <w:pStyle w:val="1"/>
        <w:snapToGrid w:val="0"/>
        <w:spacing w:beforeLines="0" w:before="240" w:after="240"/>
        <w:rPr>
          <w:rFonts w:ascii="宋体" w:hAnsi="宋体"/>
          <w:szCs w:val="30"/>
        </w:rPr>
      </w:pPr>
      <w:bookmarkStart w:id="4" w:name="_Toc229473173"/>
      <w:r>
        <w:rPr>
          <w:rFonts w:ascii="Times New Roman" w:hAnsi="Times New Roman"/>
          <w:sz w:val="30"/>
        </w:rPr>
        <w:lastRenderedPageBreak/>
        <w:t>一、绪言</w:t>
      </w:r>
      <w:bookmarkEnd w:id="4"/>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鸿福六个月持有期混合型证券投资基金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鸿福六个月持有期混合型证券投资基金基金合同》（以下简称“基金合同”）编写。</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1874F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7468D" w:rsidRDefault="001874F8">
      <w:pPr>
        <w:pStyle w:val="1"/>
        <w:snapToGrid w:val="0"/>
        <w:spacing w:beforeLines="0" w:before="240" w:after="240"/>
        <w:rPr>
          <w:rFonts w:ascii="宋体" w:hAnsi="宋体"/>
          <w:szCs w:val="30"/>
        </w:rPr>
      </w:pPr>
      <w:bookmarkStart w:id="5" w:name="_Toc229473174"/>
      <w:r>
        <w:rPr>
          <w:rFonts w:ascii="Times New Roman" w:hAnsi="Times New Roman"/>
          <w:sz w:val="30"/>
        </w:rPr>
        <w:lastRenderedPageBreak/>
        <w:t>二、释义</w:t>
      </w:r>
      <w:bookmarkEnd w:id="5"/>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1、基金或本基金：指交银施罗德鸿福六个月持有期混合型证券投资基金</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2、基金管理人：指交银施罗德基金管理有限公司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3、基金托管人：指中国农业银行股份有限公司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4、基金合同：指《交银施罗德鸿福六个月持有期混合型证券投资基金基金合同》及对基金合同的任何有效修订和补充</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5、托管协议：指基金管理人与基金托管人就本基金签订之《交银施罗德鸿福六个月持有期混合型证券投资基金托管协议》及对该托管协议的任何有效修订和补充</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6、招募说明书或本招募说明书：指《交银施罗德鸿福六个月持有期混合型证券投资基金招募说明书》及其更新</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7、基金产品资料概要：指《交银施罗德鸿福六个月持有期混合型证券投资基金基金产品资料概要》及其更新</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8、基金份额发售公告：指《交银施罗德鸿福六个月持有期混合型证券投资基金基金份额发售公告》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11、《销售办法》：指《公开募集证券投资基金销售机构监督管理办法》及颁布机关对其不时做出的修订</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16、银行业监督管理机构：指中国人民银行和/或中国银行保险监督管理委员会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21、人民币合格境外机构投资者：指按照《人民币合格境外机构投资者境内证券投资试点办法》及相关法律法规规定，运用来自境外的人民币资金进行境内证券投资的境外法人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22、投资人、投资者：指个人投资者、机构投资者、合格境外机构投资者和人民币合格境外机构投资者以及法律法规或中国证监会允许购买证券投资基金的其他投资人的合称</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23、基金份额持有人：指依基金合同和招募说明书合法取得基金份额的投资人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25、销售机构：指交银施罗德基金管理有限公司以及符合《销售办法》和中国证监会规定的其他条件，取得基金销售业务资格并与基金管理人签订了基金销售服务协议，办理基金销售业务的机构</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27、登记机构：指办理登记业务的机构。基金的登记机构为交银施罗德基金管理有限公司或接受交银施罗德基金管理有限公司委托代为办理登记业务的机构</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28、基金账户：指登记机构为投资人开立的、记录其持有的、基金管理人所管理的基金份额余额及其变动情况的账户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29、基金交易账户：指销售机构为投资人开立的、记录投资人通过该销售机构办理认购、申购、赎回、转换及转托管等业务而引起的基金份额变动及结余情况的账户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30、基金合同生效日：指基金募集达到法律法规规定及基金合同规定的条件，基金管理人向中国证监会办理基金备案手续完毕，并获得中国证监会书面确认的日期</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31、基金合同终止日：指基金合同规定的基金合同终止事由出现后，基金财产清算完毕，清算结果报中国证监会备案并予以公告的日期</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32、基金募集期：指自基金份额发售之日起至发售结束之日止的期间，最长不得超过3个月</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33、存续期：指基金合同生效至终止之间的不定期期限</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34、工作日：指上海证券交易所、深圳证券交易所的正常交易日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35、T日：指销售机构在规定时间受理投资人申购、赎回或其他业务申请的开放日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36、T+n日：指自T日起第n个工作日(不包含T日)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最短持有期限：基金份额持有人持有的每份基金份额最短持有期限为6个月，在最短持有期限内该份基金份额不可赎回，自最短持有期限届满的下一工作日起（含该日）可赎回。对于每笔认购的基金份额而言，最短持有期限自基金合同生效之日起（含该日）至6个月后月度对日的前一日；对于每笔申购的基金份额而言，最短持有期限自该笔申购份额确认日（含该日）至6个月后月度对日的前一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月度对日：指某一特定日期在后续日历月度中的对应日期，若该日历月度中不存在对应日期的，则该月度对日为该特定日期在后续日历月度中对应月度的最后一日。如该月度对日为非工作日的，则顺延至下一个工作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39、开放日：指为投资人办理基金份额申购、赎回或其他业务的工作日（若该工作日为非港股通交易日，则本基金可不开放）</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40、开放时间：指开放日基金接受申购、赎回或其他交易的时间段</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41、《业务规则》：指中国证券登记结算有限责任公司相关业务规则及其不时做出的修订</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42、认购：指在基金募集期内，投资人根据基金合同和招募说明书的规定申请购买基金份额的行为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43、申购：指基金合同生效后，投资人根据基金合同和招募说明书的规定申请购买基金份额的行为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44、赎回：指基金合同生效后，基金份额持有人按基金合同和招募说明书规定的条件要求将基金份额兑换为现金的行为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45、基金转换：指基金份额持有人按照基金合同和基金管理人届时有效公告规定的条件，申请将其持有基金管理人管理的、某一基金的基金份额转换为基金管理人管理的其他基金基金份额的行为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46、转托管：指基金份额持有人在本基金的不同销售机构之间实施的变更所持基金份额销售机构的操作</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49、元：指人民币元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50、基金收益：指基金投资所得红利、股息、债券利息、买卖证券价差、银行存款利息、已实现的其他合法收入及因运用基金财产带来的成本和费用的节约</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51、基金资产总值：指基金拥有的各类有价证券、股指期货合约、银行存款本息、基金应收申购款及其他资产的价值总和</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52、基金资产净值：指基金资产总值减去基金负债后的价值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53、基金份额净值：指计算日基金资产净值除以计算日基金份额总数</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54、基金资产估值：指计算评估基金资产和负债的价值，以确定基金资产净值和基金份额净值的过程</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55、港股通：指内地投资者委托内地证券公司，经由内地证券交易所在香港设立的证券交易服务公司，向香港联合交易所进行申报，买卖规定范围内的香港联合交易所上市的股票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56、销售服务费：指从基金财产中计提的，用于本基金市场推广、销售以及基金份额持有人服务的费用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57、A类基金份额：指在投资人认购/申购时收取认购/申购费用且不从本类别</w:t>
      </w:r>
      <w:r>
        <w:rPr>
          <w:rFonts w:ascii="宋体" w:hAnsi="宋体"/>
          <w:sz w:val="24"/>
        </w:rPr>
        <w:lastRenderedPageBreak/>
        <w:t>基金资产中计提销售服务费的基金份额</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58、C类基金份额：指在投资人认购/申购时不收取认购/申购费用，并从本类别基金资产中计提销售服务费的基金份额</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59、规定媒介：指符合中国证监会规定条件的用以进行信息披露的全国性报刊及《信息披露办法》规定的互联网网站（包括基金管理人网站、基金托管人网站、中国证监会基金电子披露网站）等媒介</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64、不可抗力：指基金合同当事人不能预见、不能避免且不能克服的客观事件</w:t>
      </w:r>
    </w:p>
    <w:p w:rsidR="00B439CC" w:rsidRDefault="001874F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7468D" w:rsidRDefault="001874F8">
      <w:pPr>
        <w:pStyle w:val="1"/>
        <w:snapToGrid w:val="0"/>
        <w:spacing w:beforeLines="0" w:before="240" w:after="240"/>
        <w:rPr>
          <w:rFonts w:ascii="宋体" w:hAnsi="宋体"/>
          <w:szCs w:val="30"/>
        </w:rPr>
      </w:pPr>
      <w:bookmarkStart w:id="6" w:name="_Toc229473175"/>
      <w:r>
        <w:rPr>
          <w:rFonts w:ascii="Times New Roman" w:hAnsi="Times New Roman"/>
          <w:sz w:val="30"/>
        </w:rPr>
        <w:lastRenderedPageBreak/>
        <w:t>三、基金管理人</w:t>
      </w:r>
      <w:bookmarkEnd w:id="6"/>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袁庆伟女士，董事，总经理，硕士。历任交通银行乌鲁木齐分行财务会计处副</w:t>
      </w:r>
      <w:r>
        <w:rPr>
          <w:rFonts w:ascii="宋体" w:hAnsi="宋体"/>
          <w:sz w:val="24"/>
        </w:rPr>
        <w:lastRenderedPageBreak/>
        <w:t>处长、会计结算部高级经理，交通银行总行资产托管业务中心（资产托管部）副总裁、总裁，交通银行总行金融机构部总经理、资产管理业务中心总裁等职务。</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魏玉敏女士:基金经理。厦门大学金融学硕士、学士，14年证券投资行业从业经验。2012年至2013年任招商证券固定收益研究员，2013年至2016年任国信证券固定收益高级分析师。2016年加入交银施罗德基金管理有限公司，曾任固定收益部基金经理，现任混合资产投资部基金经理。曾任交银施罗德丰晟收益债券型证券投资基金(2018年08月29日至2020年10月16日)、交银施罗德纯债债券型发起式证券投资基金(2018年08月29日至2025年01月15日)、交银施罗德裕如纯债债券型证券投资基金(2018年08月29日至2023年09月11日)、交银施罗德丰润收益债券型证券投资基金(2018年11月02日至2021年12月16日)、交银施罗德中债1-3年农发行债券指数证券投资基金(2019年01月23日至2021年12月16日)、交银施罗德裕泰两年定期开放债券型证券投资基金(2019年12月10日至2025年01月07日)、交银施罗德鑫选回报混合型证券投资基金(2021年04月29日至2024年05月22日)、交银施罗德优选回报灵活配置混合型证券投资基金(2025年03月22日至2026年03月28日)的基金经理。现任交银施罗德增利债券证券投资基金(2018年08月29日至今)、交银施罗德增利增强债券型证券投资基金(2018年11月02日至今)、交银施罗德可转债债券型证券投资基金(2019年07月11日至今)、交银施罗德安心收益债券型证券投资基金(2022年01月27日至今)、交银施罗德双利债券证券投资基金(2022年08月18日至今)、交银施罗德强化回报债券型证券投资基金(2023年04月15日至今)、交银施罗德定期支付月月丰债券型证券投资基金(2024年12月27日至今)、交银施罗德180天持有期债券型证券投资基金(2025年07月18日至今)、交银施罗德鸿宁三个月持有期债券型证券投资基金(2026年03月31日至今)、交银施罗德鸿福六个月持有期混合型证券投资基金(2026年04月16日至今)的基金经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于海颖女士(2021年03月30日至2025年01月24日)；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陈俊华女士(2021年03月30日至2025年01月22日)；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王丽婧女士(2025年01月24日至2026年05月08日)。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4、投资决策委员会成员</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委员：袁庆伟（总经理）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马俊（副总经理）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（2）不公平地对待管理的不同基金财产；</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公司内部部门和岗位的设置应当体现权责分明、相互制衡。</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采取数量化、技术化的风险控制手段，建立数量化的风险管理模型，用以提示指数趋势、行业及个股的风险，以便公司及时采取有效的措施，对风险进行分散、控制和规避，尽可能地减少损失。</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1874F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7468D" w:rsidRDefault="001874F8">
      <w:pPr>
        <w:pStyle w:val="1"/>
        <w:snapToGrid w:val="0"/>
        <w:spacing w:beforeLines="0" w:before="240" w:after="240"/>
        <w:rPr>
          <w:rFonts w:ascii="宋体" w:hAnsi="宋体"/>
          <w:szCs w:val="30"/>
        </w:rPr>
      </w:pPr>
      <w:bookmarkStart w:id="7" w:name="_Toc229473176"/>
      <w:r>
        <w:rPr>
          <w:rFonts w:ascii="Times New Roman" w:hAnsi="Times New Roman"/>
          <w:sz w:val="30"/>
        </w:rPr>
        <w:lastRenderedPageBreak/>
        <w:t>四、基金托管人</w:t>
      </w:r>
      <w:bookmarkEnd w:id="7"/>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名称：中国农业银行股份有限公司（简称中国农业银行）</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成立日期：2009年1月15日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基金托管资格批文及文号：中国证监会证监基字[1998]23号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联系人：任航</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股份有限公司是中国金融体系的重要组成部分,总行设在北京。经国务院批准，中国农业银行整体改制为中国农业银行股份有限公司并于2009年1月15日依法成立。中国农业银行股份有限公司承继原中国农业银行全部资产、负债、业务、机构网点和员工。中国农业银行网点遍布中国城乡，成为国内网点最多、业务辐射范围最广，服务领域最广，服务对象最多，业务功能齐全的大型国有商业银行之一。在海外，中国农业银行同样通过自己的努力赢得了良好的信誉，每年位居《财富》世界500强企业之列。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中国农业银行是中国第一批开展托管业务的国内商业银行，经验丰富，服务优质，业绩突出，2004年被英国《全球托管人》评为中国“最佳托管银行”。2007年</w:t>
      </w:r>
      <w:r>
        <w:rPr>
          <w:rFonts w:ascii="宋体" w:hAnsi="宋体"/>
          <w:sz w:val="24"/>
        </w:rPr>
        <w:lastRenderedPageBreak/>
        <w:t>中国农业银行通过了美国SAS70内部控制审计，并获得无保留意见的SAS70审计报告。自2010年起中国农业银行连续通过托管业务国际内控标准（ISAE3402）认证，表明了独立公正第三方对中国农业银行托管服务运作流程的风险管理、内部控制的健全有效性的全面认可。中国农业银行着力加强能力建设，品牌声誉进一步提升，在2010年首届“‘金牌理财’TOP10颁奖盛典”中成绩突出，获“最佳托管银行”奖。2010年再次荣获《首席财务官》杂志颁发的“最佳资产托管奖”。2012年荣获第十届中国财经风云榜“最佳资产托管银行”称号；2013年至2017年连续荣获上海清算所授予的“托管银行优秀奖”和中央国债登记结算有限责任公司授予的“优秀托管机构奖”称号；2015年、2016年荣获中国银行业协会授予的“养老金业务最佳发展奖”称号；2018年荣获中国基金报授予的公募基金20年“最佳基金托管银行”奖；2019年荣获证券时报授予的“2019年度资产托管银行天玑奖”称号；2020年被美国《环球金融》评为中国“最佳托管银行”；2021年荣获全国银行间同业拆借中心首次设立的“银行间本币市场优秀托管行”奖；2022年在权威杂志《财资》年度评选中首次荣获“中国最佳保险托管银行”。</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证券投资基金托管部于1998年5月经中国证监会和中国人民银行批准成立，2004年更名为中国农业银行托管业务部。目前内设风险合规部/综合管理部、业务管理部、客户一部、客户二部、客户三部、客户四部、系统与信息管理部、营运管理部、营运一部、营运二部，拥有先进的安全防范设施和基金托管业务系统。</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托管业务部现有员工302名，其中具有高级职称的专家60名，服务团队成员专业水平高、业务素质好、服务能力强，高级管理层均有20年以上金融从业经验和高级技术职称，精通国内外证券市场的运作。</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截止到2025年9月30日，中国农业银行托管的封闭式证券投资基金和开放式证券投资基金共982只。</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（二）基金托管人的内部风险控制制度说明</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严格遵守国家有关托管业务的法律法规、行业监管规章和行内有关管理规定，守法经营、规范运作、严格监察，确保业务的稳健运行，保证基金财产的安全完</w:t>
      </w:r>
      <w:r>
        <w:rPr>
          <w:rFonts w:ascii="宋体" w:hAnsi="宋体"/>
          <w:sz w:val="24"/>
        </w:rPr>
        <w:lastRenderedPageBreak/>
        <w:t>整，确保有关信息的真实、准确、完整、及时，保护基金份额持有人的合法权益。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委员会总体负责中国农业银行的风险管理与内部控制工作，对托管业务风险管理和内部控制工作进行监督和评价。托管业务部专门设置了风险管理处，配备了专职内控监督人员负责托管业务的内控监督工作，独立行使监督稽核职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备系统、完善的制度控制体系，建立了管理制度、控制制度、岗位职责、业务操作流程，可以保证托管业务的规范操作和顺利进行；业务人员具备从业资格；业务管理实行严格的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通过参数设置将《基金法》、《运作办法》、基金合同、托管协议规定的投资比例和禁止投资品种输入监控系统，每日登录监控系统监督基金管理人的投资运作，并通过基金资金账户、基金管理人的投资指令等监督基金管理人的其他行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当基金出现异常交易行为时，基金托管人应当针对不同情况进行以下方式的处理：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1、电话提示。对媒体和舆论反映集中的问题，电话提示基金管理人；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2、书面警示。对本基金投资比例接近超标、资金头寸不足等问题，以书面方式对基金管理人进行提示；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3、书面报告。对投资比例超标、清算资金透支以及其他涉嫌违规交易等行为，书面提示有关基金管理人并报中国证监会。</w:t>
      </w:r>
    </w:p>
    <w:p w:rsidR="00B439CC" w:rsidRDefault="001874F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7468D" w:rsidRDefault="001874F8">
      <w:pPr>
        <w:pStyle w:val="1"/>
        <w:snapToGrid w:val="0"/>
        <w:spacing w:beforeLines="0" w:before="240" w:after="240"/>
        <w:rPr>
          <w:rFonts w:ascii="宋体" w:hAnsi="宋体"/>
          <w:szCs w:val="30"/>
        </w:rPr>
      </w:pPr>
      <w:bookmarkStart w:id="8" w:name="_Toc229473177"/>
      <w:r>
        <w:rPr>
          <w:rFonts w:ascii="Times New Roman" w:hAnsi="Times New Roman"/>
          <w:sz w:val="30"/>
        </w:rPr>
        <w:lastRenderedPageBreak/>
        <w:t>五、相关服务机构</w:t>
      </w:r>
      <w:bookmarkEnd w:id="8"/>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本基金直销机构为基金管理人直销柜台以及基金管理人的网上直销交易平台（网站及手机APP，下同）。</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（2）名称：上海浦东发展银行股份有限公司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住所：上海市中山东一路12 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（3）名称：东吴证券股份有限公司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住所：苏州工业园区星阳街5号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法定代表人：范力</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电话：0512-62938521</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传真：0512-62938527</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联系人：陆晓</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网址：www.dwjq.com.cn</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（4）名称：厦门银行股份有限公司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厦门银行股份有限公司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400-858-8888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www.xmbankonline.com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（5）名称：中国农业银行股份有限公司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（6）名称：中信银行股份有限公司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住所：北京市东城区朝阳门北大街9号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（7）名称：长沙银行股份有限公司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住所：湖南省长沙市芙蓉中路一段433号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办公地址：湖南省长沙市芙蓉中路一段433号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法定代表人：朱玉国</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电话：（0731）84305387</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传真：（0731）84305387</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联系人：吴波</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客户服务电话：96511</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网址：www.cscb.cn</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（8）名称：上海银行股份有限公司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住所：上海市银城中路168号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办公地址：上海市银城中路168号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法定代表人：金煜</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电话：（021）68475888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传真：（021）68476111</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联系人：张萍</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客户服务电话：（021）962888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网址：www.bankofshanghai.com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（9）名称：宁波银行股份有限公司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传真：（021）63586215</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（10）名称：中国银河证券股份有限公司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（11）名称：中信证券股份有限公司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（12）名称：山西证券股份有限公司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（13）名称：申万宏源证券有限公司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法定代表人：杨玉成</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（14）名称：国都证券股份有限公司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办公地址：北京市东城区东直门南大街3号国华投资大厦9层10层</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网址：www.guodu.com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（15）名称：平安证券股份有限公司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（16）名称：中信证券（山东）有限责任公司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（17）名称：申万宏源西部证券有限公司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住所：新疆乌鲁木齐市建设路2号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（18）名称：中泰证券股份有限公司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住所：山东省济南市市中区经七路86号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办公地址：山东省济南市市中区经七路86号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法定代表人：李玮</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（19）名称：长城证券有限责任公司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（20）名称：国金证券股份有限公司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传真：（028）86690126</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（21）名称：国新证券股份有限公司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（22）名称：华西证券股份有限公司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（23）名称：第一创业证券股份有限公司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网址：www.firstcapital.com.cn</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（24）名称：中信证券华南股份有限公司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（25）名称：国泰海通证券股份有限公司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（26）名称：大同证券有限责任公司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客服电话：4007121212</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（27）名称：长城国瑞证券有限公司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住所：厦门市莲前西路2号莲富大厦17楼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办公地址：厦门市莲前西路2号莲富大厦17楼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法定代表人：王勇</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电话：（0592）5161642</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传真：（0592）5161640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联系人：赵钦</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客户服务电话：（0592）5163588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网址：www.xmzq.cn</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（28）名称：海通证券股份有限公司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（29）名称：兴业证券股份有限公司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（30）名称：湘财证券股份有限公司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住所：湖南省长沙市黄兴中路63号中山国际大厦12楼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办公地址：湖南省长沙市天心区湘府中路198号标志商务中心11楼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法定代表人：林俊波</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电话：（021）68634518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传真：（021）68865680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联系人：钟康莺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客户服务电话：400-888-1551</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网址：www.xcsc.com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（31）名称：金融街证券股份有限公司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注册地址：内蒙古自治区呼和浩特市新城区海拉尔东街满世尚都办公商业综合楼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办公地址：内蒙古自治区呼和浩特市新城区海拉尔东街满世尚都办公商业综合楼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法定代表人：祝艳辉</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联系人：熊丽、王捷勋</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联系电话：0471-4968480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客户服务电话：956088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网址：www.cnht.com.cn</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（32）名称：国信证券股份有限公司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（33）名称：东方财富证券股份有限公司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网址：http://www.18.cn</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（34）名称：中原证券股份有限公司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住所：郑州市郑东新区商务外环路10号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办公地址：郑州市郑东新区商务外环路10号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法定代表人：菅明军</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联系人：程月艳 李盼盼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电话：0371-69099881/2</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客户服务电话：95377</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网址：https://www.ccnew.com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（35）名称：中信建投证券股份有限公司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（36）名称：财通证券股份有限公司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注册地址：杭州市杭大路15号嘉华国际商务中心201、501、502、1103、1601-1615、1701-1716</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办公地址：杭州市杭大路15号嘉华国际商务中心201、501、502、1103、1601-1615、1701-1716</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沈继宁</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电话：0571-87789160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陶志华</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客户服务电话：95336,40086-96336</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网址：www.ctsec.com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（37）名称：五矿证券有限公司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住所：深圳市福田区金田路4028号荣超经贸中心47层</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法定代表人：赵立功</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公司客服电话：400180028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传真号：075582545500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网址：www.wkzq.com.cn</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（38）名称：国投证券股份有限公司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（39）名称：西部证券股份有限公司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（40）名称：深圳市新兰德证券投资咨询有限公司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（41）名称：大连网金基金销售有限公司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 辽宁省大连市沙河口区体坛路22号诺德大厦2层202室</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（42）名称：阳光人寿保险股份有限公司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（43）名称：京东肯特瑞基金销售有限公司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（44）名称：和耕传承基金销售有限公司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法定代表人：温丽燕</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（45）名称：珠海盈米基金销售有限公司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（46）名称：北京度小满基金销售有限公司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（47）名称：南京苏宁基金销售有限公司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联系人：冯鹏鹏</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（48）名称：嘉实财富管理有限公司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（49）名称：北京汇成基金销售有限公司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（50）名称：上海利得基金销售有限公司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（51）名称：上海陆金所基金销售有限公司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（52）名称：上海挖财基金销售有限公司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（53）名称：万家财富基金销售（天津）有限公司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（54）名称：上海万得基金销售有限公司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办公地址：上海市浦东新区浦明路1500号万得大厦11楼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（55）名称：深圳市金斧子基金销售有限公司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（56）名称：北京雪球基金销售有限公司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（57）名称：中证金牛（北京）基金销售有限公司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传真：（010）59336586</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（58）名称：奕丰基金销售有限公司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（59）名称：上海天天基金销售有限公司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（60）名称：上海好买基金销售有限公司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网址：www.howbuy.com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（61）名称：上海长量基金销售有限公司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（62）名称：深圳众禄基金销售股份有限公司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（63）名称：蚂蚁（杭州）基金销售有限公司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（64）名称：中信期货有限公司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w:t>
      </w:r>
      <w:r>
        <w:rPr>
          <w:rFonts w:ascii="宋体" w:hAnsi="宋体"/>
          <w:sz w:val="24"/>
        </w:rPr>
        <w:lastRenderedPageBreak/>
        <w:t>室、14层</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（65）名称：上海基煜基金销售有限公司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（66）名称：浙江同花顺基金销售有限公司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（67）名称：宜信普泽（北京）基金销售有限公司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办公地址：北京市朝阳区建国路乙118号12层01D、02A—02F、03A—03C</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（68）名称：上海联泰基金销售有限公司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（69）名称：泛华普益基金销售有限公司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（70）名称：北京展恒基金销售股份有限公司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传真：（010）62020355</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（71）名称：诺亚正行基金销售有限公司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（72）名称：北京新浪仓石基金销售有限公司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（73）名称：腾安基金销售（深圳）有限公司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客户服务电话：95017（拨通后转1转8）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（74）名称：济安财富（北京）基金销售有限公司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（75）名称：博时财富基金销售有限公司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（76）名称：上海中欧财富基金销售有限公司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w:t>
      </w:r>
      <w:r>
        <w:rPr>
          <w:rFonts w:ascii="宋体" w:hAnsi="宋体"/>
          <w:sz w:val="24"/>
        </w:rPr>
        <w:lastRenderedPageBreak/>
        <w:t>金，并在基金管理人网站公示。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名称：安永华明会计师事务所（特殊普通合伙）</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住所：北京市东城区东长安街1号东方广场安永大楼17层</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办公地址：北京市东城区东长安街1号东方广场安永大楼17层</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执行事务合伙人：毛鞍宁</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电话：（010）58153000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传真：（010）85188298</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联系人：蒋燕华</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经办注册会计师：蒋燕华、费泽旭</w:t>
      </w:r>
    </w:p>
    <w:p w:rsidR="00B439CC" w:rsidRDefault="001874F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7468D" w:rsidRDefault="001874F8">
      <w:pPr>
        <w:pStyle w:val="1"/>
        <w:snapToGrid w:val="0"/>
        <w:spacing w:beforeLines="0" w:before="240" w:after="240"/>
        <w:rPr>
          <w:rFonts w:ascii="宋体" w:hAnsi="宋体"/>
          <w:szCs w:val="30"/>
        </w:rPr>
      </w:pPr>
      <w:bookmarkStart w:id="9" w:name="_Toc229473178"/>
      <w:r>
        <w:rPr>
          <w:rFonts w:ascii="Times New Roman" w:hAnsi="Times New Roman"/>
          <w:sz w:val="30"/>
        </w:rPr>
        <w:lastRenderedPageBreak/>
        <w:t>六、基金的募集</w:t>
      </w:r>
      <w:bookmarkEnd w:id="9"/>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本基金由基金管理人依照《基金法》、《运作办法》、《销售办法》、基金合同及其他有关规定，并经中国证监会2020年11月12日证监许可【2020】3032号文准予募集注册。</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本基金为契约型开放式混合型基金。基金存续期间为不定期。</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本基金于2021年3月2日至2021年3月25日进行发售，本基金设立募集期共募集523,152,483.65份基金份额，有效认购户数为4,579户。</w:t>
      </w:r>
    </w:p>
    <w:p w:rsidR="00B439CC" w:rsidRDefault="001874F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7468D" w:rsidRDefault="001874F8">
      <w:pPr>
        <w:pStyle w:val="1"/>
        <w:snapToGrid w:val="0"/>
        <w:spacing w:beforeLines="0" w:before="240" w:after="240"/>
        <w:rPr>
          <w:rFonts w:ascii="宋体" w:hAnsi="宋体"/>
          <w:szCs w:val="30"/>
        </w:rPr>
      </w:pPr>
      <w:bookmarkStart w:id="10" w:name="_Toc229473179"/>
      <w:r>
        <w:rPr>
          <w:rFonts w:ascii="Times New Roman" w:hAnsi="Times New Roman"/>
          <w:sz w:val="30"/>
        </w:rPr>
        <w:lastRenderedPageBreak/>
        <w:t>七、基金合同的生效</w:t>
      </w:r>
      <w:bookmarkEnd w:id="10"/>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根据有关规定，本基金满足基金合同生效条件，基金合同已于2021年3月30日正式生效。自基金合同生效之日起，本基金管理人正式开始管理本基金。</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1874F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7468D" w:rsidRDefault="001874F8">
      <w:pPr>
        <w:pStyle w:val="1"/>
        <w:snapToGrid w:val="0"/>
        <w:spacing w:beforeLines="0" w:before="240" w:after="240"/>
        <w:rPr>
          <w:rFonts w:ascii="宋体" w:hAnsi="宋体"/>
          <w:szCs w:val="30"/>
        </w:rPr>
      </w:pPr>
      <w:bookmarkStart w:id="11" w:name="_Toc229473180"/>
      <w:r>
        <w:rPr>
          <w:rFonts w:ascii="Times New Roman" w:hAnsi="Times New Roman"/>
          <w:sz w:val="30"/>
        </w:rPr>
        <w:lastRenderedPageBreak/>
        <w:t>八、基金份额的申购与赎回</w:t>
      </w:r>
      <w:bookmarkEnd w:id="11"/>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个人投资者可以通过基金管理人网上直销交易平台办理开户、本基金的申购、赎回、转换、定期定额投资等业务，具体交易细则请参阅基金管理人网站。</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但对于每份基金份额，基金份额持有人仅可在该份额最短持有期限届满后申请赎回，具体办理时间为上海证券交易所、深圳证券交易所的正常交易日的交易时间（若该工作日为非港股通交易日，则</w:t>
      </w:r>
      <w:r>
        <w:rPr>
          <w:rFonts w:ascii="宋体" w:hAnsi="宋体"/>
          <w:sz w:val="24"/>
        </w:rPr>
        <w:lastRenderedPageBreak/>
        <w:t>本基金可不开放），但基金管理人根据法律法规、中国证监会的要求或基金合同的规定公告暂停申购、赎回时除外。</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本基金已于2021年6月28日起开放申购业务。</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本基金已于2021年9月30日起开放赎回业务。</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投资人在最短持有期限内提出的赎回或转换申请，视为无效申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w:t>
      </w:r>
      <w:r>
        <w:rPr>
          <w:rFonts w:ascii="宋体" w:hAnsi="宋体"/>
          <w:sz w:val="24"/>
        </w:rPr>
        <w:lastRenderedPageBreak/>
        <w:t>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3、最低基金份额余额的限制</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5、基金管理人可在法律法规允许的情况下，调整上述规定申购金额和赎回份额的数量限制。基金管理人必须在调整实施前依照《信息披露办法》的有关规定在规定媒介上公告。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w:t>
      </w:r>
      <w:r>
        <w:rPr>
          <w:rFonts w:ascii="宋体" w:hAnsi="宋体"/>
          <w:sz w:val="24"/>
        </w:rPr>
        <w:lastRenderedPageBreak/>
        <w:t>基金份额时，申购生效。</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递交赎回申请，赎回成立；基金登记机构确认赎回时，赎回生效。投资者赎回申请生效后，基金管理人将在T＋7日(包括该日)内支付赎回款项。在发生巨额赎回或基金合同载明的其他暂停赎回或延缓支付赎回款项的情形时，款项的支付办法参照基金合同有关条款处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（1）投资人T日申购基金成功后，正常情况下，登记机构在T＋1日为投资人增加权益并办理登记手续。投资人应及时查询有关申请的确认情况。</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（3）基金管理人可在法律法规允许的范围内，对上述登记办理时间进行调整，并于开始实施前按照《信息披露办法》的有关规定在规定媒介上公告。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本基金基金份额分为A类基金份额和C类基金份额。投资人申购A类基金份额在申购时支付申购费用；申购C类基金份额不支付申购费用，并从该类别基金资产中计提销售服务费。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A类基金份额的申购费用由A类基金份额申购人承担，不列入基金财产，主要用</w:t>
      </w:r>
      <w:r>
        <w:rPr>
          <w:rFonts w:ascii="宋体" w:hAnsi="宋体"/>
          <w:sz w:val="24"/>
        </w:rPr>
        <w:lastRenderedPageBreak/>
        <w:t>于本基金的市场推广、销售、登记等各项费用。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67468D">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67468D">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7468D" w:rsidRDefault="0067468D">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67468D">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7468D" w:rsidRDefault="0067468D">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67468D">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7468D" w:rsidRDefault="0067468D">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本基金对通过基金管理人直销柜台申购本基金A类基金份额的养老金客户实施特定申购费率。</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企业年金理事会委托的特定客户资产管理计划、企业年金养老金产品。如将来出现经养老基金监管部门认可的新的养老基金类型，基金管理人可在招募说明书更新或发布临时公告将其纳入养老金客户范围。</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67468D">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67468D">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7468D" w:rsidRDefault="0067468D">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rsidR="0067468D">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7468D" w:rsidRDefault="0067468D">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rsidR="0067468D">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7468D" w:rsidRDefault="0067468D">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基金份额持有人持有的每份基金份额最短持有期限为6个月，本基金不收取赎回费。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3、基金管理人可以在基金合同约定的范围内调整费率或收费方式，并最迟应于新的费率或收费方式实施日前依照《信息披露办法》的有关规定在规定媒介上公</w:t>
      </w:r>
      <w:r>
        <w:rPr>
          <w:rFonts w:ascii="宋体" w:hAnsi="宋体"/>
          <w:sz w:val="24"/>
        </w:rPr>
        <w:lastRenderedPageBreak/>
        <w:t>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A类基金份额或C类基金份额的赎回金额为按实际确认的有效赎回份额乘以当日该类基金份额的基金份额净值并扣除相应的费用（如有），赎回金额单位为元。赎回金额计算结果按四舍五入方法，保留到小数点后2位，由此产生的收益或损失由基金财产承担。</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申购份额=（申购总金额-申购费用）/T日A类基金份额净值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例四：某投资者（非养老金客户）投资100,000元申购本基金的A类基金份额，假设申购当日A类基金份额净值为1.0400元，申购费率为0.8%，则其可得到的申购份额为：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净申购金额=100,000/（1+0.8%）=99,206.35元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申购费用=100,000-99,206.35=793.65元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申购份额=（100,000-793.65）/1.0400=95,390.72份</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即：某投资者（非养老金客户）投资100,000元申购本基金的A类基金份额，假设申购当日A类基金份额净值为1.0400元，则其可得到95,390.72份A类基金份额。</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例五：某养老金客户投资100,000元通过基金管理人的直销柜台申购本基金的A类基金份额，假设申购当日A类基金份额净值为1.0400元，申购费率为0.32%，则其可得到的申购份额为：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净申购金额=100,000/（1+0.32%）=99,681.02元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申购费用=100,000-99,681.02=318.98元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申购份额=（100,000-318.98）/1.0400=95,847.13份</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即：该养老金客户投资100,000元通过基金管理人的直销柜台申购本基金的A类基金份额，假设申购当日A类基金份额净值为1.0400元，则其可得到95,847.13份A类基金份额。</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例六：某投资者投资100,000元申购本基金的C类基金份额，假设申购当日C类基金份额净值为1.0400元，则其可得到的申购份额为：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本基金不收取赎回费。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赎回金额=赎回份额×T日基金份额净值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例七：某投资者赎回持有的10,000份基金份额，假设赎回当日基金份额净值是1.0160元，则其可得到的赎回金额为：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赎回金额=10,000×1.0160＝10,160.00元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即：投资者赎回本基金10,000份基金份额，假设赎回当日基金份额净值是1.0160元，则其可得到的赎回金额为10,160.00元。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履行适当程序，可以适当延迟计算或公告。本基金A类基金份额和C类基金份额的基金份额净值的计算，保留到小数点后4位，小数点后第5位四舍五入，由此产生的收益或损失由基金财产承担。</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7、港股通交易每日额度不足。</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8、基金管理人接受某笔或者某些申购申请有可能导致单一投资者持有基金份额的比例超过50%，或者变相规避50%集中度的。出现上述情形时，基金管理人有权将上述申购申请全部或部分确认失败。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9、法律法规规定、中国证监会认定或基金合同约定的其他情形。</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发生上述第1、2、3、5、6、7、9项暂停申购情形之一且基金管理人决定暂停</w:t>
      </w:r>
      <w:r w:rsidRPr="00BB248E">
        <w:rPr>
          <w:rFonts w:ascii="宋体" w:hAnsi="宋体" w:hint="eastAsia"/>
          <w:b/>
          <w:kern w:val="0"/>
          <w:sz w:val="24"/>
        </w:rPr>
        <w:lastRenderedPageBreak/>
        <w:t>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7、法律法规规定、中国证监会认定或基金合同约定的其他情形。</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发生上述情形之一且基金管理人决定暂停接受基金份额持有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2、巨额赎回的处理方式</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该类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w:t>
      </w:r>
      <w:r>
        <w:rPr>
          <w:rFonts w:ascii="宋体" w:hAnsi="宋体"/>
          <w:sz w:val="24"/>
        </w:rPr>
        <w:lastRenderedPageBreak/>
        <w:t>为有必要，可暂停接受基金的赎回申请；已经接受的赎回申请可以延缓支付赎回款项，但不得超过20个工作日，并应当在规定媒介上进行公告。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当发生上述巨额赎回并延期办理时，基金管理人应当通过邮寄、传真、刊登公告或者通知销售机构代为告知等方式在3个交易日内通知基金份额持有人，说明有关处理方法，并在两日内在规定媒介上刊登公告。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1、发生上述暂停申购或赎回情况的，基金管理人应在规定期限内在规定媒介上刊登暂停公告。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2、如发生暂停的时间为1日，基金管理人应于重新开放日，在规定媒介上刊登基金重新开放申购或赎回公告，并公布最近1个开放日的基金份额净值。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（十三）基金的转托管</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基金管理人可以为投资人办理定期定额投资计划，具体规则由基金管理人另行</w:t>
      </w:r>
      <w:r>
        <w:rPr>
          <w:rFonts w:ascii="宋体" w:hAnsi="宋体"/>
          <w:sz w:val="24"/>
        </w:rPr>
        <w:lastRenderedPageBreak/>
        <w:t>规定。投资人在办理定期定额投资计划时可自行约定每期扣款金额，每期扣款金额必须不低于基金管理人在相关公告或更新的招募说明书中所规定的定期定额投资计划最低申购金额。</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本基金2021年6月25日刊登公告自2021年6月28日起开通定期定额投资计划业务，具体开通销售机构名单和业务规则参见相关公告。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（十五）定期定额赎回业务</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中国农业银行股份有限公司申请办理本基金的定期定额赎回业务。定期定额赎回业务是指投资人可以委托中国农业银行股份有限公司每月固定时间从指定的基金账户代投资人赎回固定份额的基金。本基金2021年9月27日刊登公告自2021年9月30日起在中国农业银行股份有限公司下属各代销网点开通定期定额赎回业务。</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通过中国农业银行股份有限公司办理本基金的定期定额赎回业务，相关流程和业务规则遵循中国农业银行股份有限公司的有关规定。详情请咨询当地中国农业银行股份有限公司的代销网点或中国农业银行股份有限公司客户服务热线（95599）。</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（十六）基金份额的冻结和解冻</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（十七）基金份额的转让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（十八）实施侧袋机制期间本基金的申购与赎回</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（十九）其他业务</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w:t>
      </w:r>
      <w:r>
        <w:rPr>
          <w:rFonts w:ascii="宋体" w:hAnsi="宋体"/>
          <w:sz w:val="24"/>
        </w:rPr>
        <w:lastRenderedPageBreak/>
        <w:t>告。</w:t>
      </w:r>
    </w:p>
    <w:p w:rsidR="00B439CC" w:rsidRDefault="001874F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7468D" w:rsidRDefault="001874F8">
      <w:pPr>
        <w:pStyle w:val="1"/>
        <w:snapToGrid w:val="0"/>
        <w:spacing w:beforeLines="0" w:before="240" w:after="240"/>
        <w:rPr>
          <w:rFonts w:ascii="宋体" w:hAnsi="宋体"/>
          <w:szCs w:val="30"/>
        </w:rPr>
      </w:pPr>
      <w:bookmarkStart w:id="12" w:name="_Toc229473181"/>
      <w:r>
        <w:rPr>
          <w:rFonts w:ascii="Times New Roman" w:hAnsi="Times New Roman"/>
          <w:sz w:val="30"/>
        </w:rPr>
        <w:lastRenderedPageBreak/>
        <w:t>九、基金的转换</w:t>
      </w:r>
      <w:bookmarkEnd w:id="12"/>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本基金2021年6月25日刊登公告自2021年6月28日起开放日常转换转入业务，2021年9月27日刊登公告自2021年9月30日起开放日常转换转出业务。</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基金转换以份额为单位进行申请，申请转换份额精确到小数点后两位，小数点后两位以后的部分四舍五入，误差部分归基金财产。</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w:t>
      </w:r>
      <w:r>
        <w:rPr>
          <w:rFonts w:ascii="宋体" w:hAnsi="宋体"/>
          <w:sz w:val="24"/>
        </w:rPr>
        <w:lastRenderedPageBreak/>
        <w:t>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w:t>
      </w:r>
      <w:r>
        <w:rPr>
          <w:rFonts w:ascii="宋体" w:hAnsi="宋体"/>
          <w:sz w:val="24"/>
        </w:rPr>
        <w:lastRenderedPageBreak/>
        <w:t>五入，误差部分归基金财产。</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w:t>
      </w:r>
      <w:r>
        <w:rPr>
          <w:rFonts w:ascii="宋体" w:hAnsi="宋体"/>
          <w:sz w:val="24"/>
        </w:rPr>
        <w:lastRenderedPageBreak/>
        <w:t>元，交银货币的基金份额净值为1.00元。若该投资者将100,000份交银货币A级基金份额转换为交银增利A类基金份额，则转入确认的交银增利A类基金份额为：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w:t>
      </w:r>
      <w:r>
        <w:rPr>
          <w:rFonts w:ascii="宋体" w:hAnsi="宋体"/>
          <w:sz w:val="24"/>
        </w:rPr>
        <w:lastRenderedPageBreak/>
        <w:t>一年半，转换申请当日交银先锋的A类基金份额净值为1.2500元，交银货币的基金份额净值为1.00元。若该投资者将100,000份交银先锋后端A类基金份额转换为交银货币，则转入交银货币的基金份额为：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w:t>
      </w:r>
      <w:r>
        <w:rPr>
          <w:rFonts w:ascii="宋体" w:hAnsi="宋体"/>
          <w:sz w:val="24"/>
        </w:rPr>
        <w:lastRenderedPageBreak/>
        <w:t>申购状态。</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1874F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7468D" w:rsidRDefault="001874F8">
      <w:pPr>
        <w:pStyle w:val="1"/>
        <w:snapToGrid w:val="0"/>
        <w:spacing w:beforeLines="0" w:before="240" w:after="240"/>
        <w:rPr>
          <w:rFonts w:ascii="宋体" w:hAnsi="宋体"/>
          <w:szCs w:val="30"/>
        </w:rPr>
      </w:pPr>
      <w:bookmarkStart w:id="13" w:name="_Toc229473182"/>
      <w:r>
        <w:rPr>
          <w:rFonts w:ascii="Times New Roman" w:hAnsi="Times New Roman"/>
          <w:sz w:val="30"/>
        </w:rPr>
        <w:lastRenderedPageBreak/>
        <w:t>十、基金的投资</w:t>
      </w:r>
      <w:bookmarkEnd w:id="13"/>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在合理控制风险并保持基金资产良好流动性的前提下，追求超越业绩比较基准的投资回报，力争实现基金资产的长期稳健增值。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投资（含存托凭证）占基金资产的比例为0%-30%（其中投资于港股通标的股票的比例占股票资产的0%-50%），同业存单投资占基金资产的比例不超过20%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（三）投资策略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股和个券；在保持总体风险水平相对稳定的基础上，力争获取投资组合的较高回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利用经交银施罗德研究团队修正后的投资时钟分析框架，通过“自上而下”的定性分析和定量分析相结合形成对不同资产市场表现的预测和判断，确定基金资产在沪深A股、港股、债券及货币市场工具等各类别资产间的分配比例，并随着各类证券风险收益特征的相对变化，在基金合同约定的范围内动态调整组合中各类资产的比例，以规避或控制市场风险，提高基金收益率。</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2、股票投资策略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发挥公司股票研究团队“自下而上”的主动选股能力，基于对个股深入的基本面研究和细致的实地调研，精选股票构建股票投资组合。</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（1）品质筛选</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筛选出在公司治理、财务及管理品质上符合基本品质要求的公司，构建备选股票池。主要筛选指标包括：</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■盈利能力指标：如市盈率（P/E）、市现率（P/Cash Flow）、股价与每股自由现金流比率（P/FCF）、市销率（P/S）、股价与每股息税前利润比率（P/EBIT）等；</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■经营效率指标：如净资产收益率（ROE）、资产收益率（ROA）、经营资产回报率（Return on operating assets）等；</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■财务状况指标：如资产负债率（D/A）、流动比率等；</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■研发投入指标：如研发投入与营业收入比率、科研人员数量及占比、专利数量及在同行业的占比等。</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（2）价值评估</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股票估值水平的高低将最终决定投资回报率的高低。由于驱动公司价值创造的因素不同，本基金将借鉴市场通用估值理念，针对不同类型公司以及公司发展中所处的不同阶段，采用不同的价值评估指标对公司的内在价值进行评估，筛选出估值具有吸引力的公司作为投资目标。</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（3）港股通标的股票投资策略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本基金可通过内地与香港股票市场交易互联互通机制投资于香港股票市场。本基金优先将基本面健康、业绩向上弹性较大、具有估值优势的港股纳入本基金的股票投资组合。</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本基金可根据投资策略需要或不同配置地市场环境的变化，选择将部分基金资</w:t>
      </w:r>
      <w:r>
        <w:rPr>
          <w:rFonts w:ascii="宋体" w:hAnsi="宋体"/>
          <w:sz w:val="24"/>
        </w:rPr>
        <w:lastRenderedPageBreak/>
        <w:t>产投资于港股或选择不将基金资产投资于港股，基金资产并非必然投资港股。</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（4）存托凭证的投资策略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3、债券投资策略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调整策略、类属配置策略、期限结构配置策略、回购策略、信用债券投资策略、可转换债券投资策略等多种策略，以期获取债券市场的长期稳定收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（1）久期调整策略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本基金根据中长期宏观经济走势和经济周期波动趋势，判断债券市场未来的走势，并形成对未来市场利率变动方向的预期，动态调整组合久期。</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（2）债券的类属配置策略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定性和定量地分析不同类属债券类资产的信用风险、流动性风险、市场风险等因素及其经风险调整后的收益率水平或盈利能力，通过比较并合理预期不同类属债券类资产的风险与收益率变化，确定不同类属债券类资产间的配置。</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（3）期限结构配置策略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预期收益率曲线形态变化来调整投资组合的期限结构配置策略。根据债券收益率曲线形态、各期限段品种收益率变动、结合短期资金利率水平与变动趋势，分析预测收益率曲线的变化，测算子弹、哑铃或梯形等不同期限结构配置策略的风险收益，形成具体的期限结构配置策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（4）回购策略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当回购利率低于债券收益率时，本基金将实施正回购融入资金并投资于信用债券等可投资标的，从而获取收益率超出回购资金成本（即回购利率）的套利价值。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（5）信用债券投资策略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本基金通过交银施罗德的信用债券信用评级指标体系，对信用债券进行信用评级，并在信用评级的基础上，建立本基金的信用债券池。基金经理从信用债券池中</w:t>
      </w:r>
      <w:r>
        <w:rPr>
          <w:rFonts w:ascii="宋体" w:hAnsi="宋体"/>
          <w:sz w:val="24"/>
        </w:rPr>
        <w:lastRenderedPageBreak/>
        <w:t>精选债券构建信用债券投资组合。</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动投资的信用债为信用评级在AA级（含）以上的信用债，对信用评级的认定参照基金管理人选定的评级机构出具的信用评级，其中，信用债的信用评级依照评级机构出具的债项信用评级，若无债项信用评级的或债项信用评级为A-1的，依照其主体信用评级。本基金投资于评级AA的信用债比例不高于信用债资产的20%，投资于评级AA+的信用债比例不高于信用债资产的70%，投资于评级AAA的信用债比例不低于信用债资产的30%。因信用评级下降、证券市场波动、基金规模变动等基金管理人之外的因素致使基金投资比例不符合上述规定的，基金管理人应当在评级报告发布之日或不符合上述规定之日起3个月内进行调整。上述信用债不包括可转换债券、可交换公司债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（6）可转换债券投资策略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于可转换债券股性的研究将完全依托于公司投研团队对标的股票的研究，在此基础上利用可转换债券定价模型，充分考虑转债发行后目标转债标的股票股价波动率可能出现的变化，对目标转债的股性进行合理定价。通过对标的转债股性与债性的合理定价，力求寻找出被市场低估的品种，构建本基金可转换债券的投资组合。</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1）行业配置策略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综合考虑各种宏观因素，以宏观经济走势、经济周期特征和阶段性市场投资主题的研究为基础，综合考量可转债市场的供给和需求情况，追求最优行业配置。同时，结合经济和市场阶段性特征，动态调整不同行业的可转换债券进行投资。</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2）个券精选策略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借鉴信用债的基本面研究，从行业基本面、公司的信用资质、行业地位、财务状况等方面进行定性分析，精选财务稳健、信用违约风险小的个券；对于可转换为正股的转股价值，将通过盈利能力指标（如市盈率、市现率、股价与每股息税前利润比率等）、经营效率指标（如净资产收益率、资产收益率、经营资产回报率等）、财务状况指标（如资产负债率、流动比率等）等进行定量分析，选择基本面优质且估值合理的正股。综上所述，本基金将结合可转债自身的信用评估和其正股的价值分析来进行个券的筛选。</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4、资产支持证券投资策略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5、股指期货投资策略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（四）投资限制</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（1）股票投资（含存托凭证）占基金资产的比例为0%-30%（其中投资于港股通标的股票的比例占股票资产的0%-50%），同业存单投资占基金资产的比例不超过20%；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投资比例合计不低于基金资产净值的5%，其中现金不包括结算备付金、存出保证金、应收申购款等；</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（3）本基金持有一家公司发行的证券（同一家公司在内地和香港同时上市的A+H股合计计算），其市值不超过基金资产净值的10％；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同一家公司在内地和香港同时上市的A+H股合计计算），不超过该证券的10％，完全按照有关指数的构成比例进行证券投资的基金品种可以不受此条款规定的比例限制；</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（5）本基金投资于同一原始权益人的各类资产支持证券的比例，不得超过基金资产净值的10％；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（15）本基金参与股指期货交易，则：</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w:t>
      </w:r>
      <w:r>
        <w:rPr>
          <w:rFonts w:ascii="宋体" w:hAnsi="宋体"/>
          <w:sz w:val="24"/>
        </w:rPr>
        <w:lastRenderedPageBreak/>
        <w:t>资产净值的10%；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（16）本基金投资可转换债券、可交换公司债券的比例合计不超过基金资产的20%；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（17）本基金资产总值不超过基金资产净值的140%；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（18）本基金投资存托凭证的比例限制依照境内上市交易的股票执行；</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（19）法律法规及中国证监会规定的和《基金合同》约定的其他投资限制。</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13）、（14）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（3）从事承担无限责任的投资；</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（五）业绩比较基准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沪深300指数收益率×10%+恒生指数收益率×5%+中证综合债券指数收益率×85%</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是沪深证券交易所第一次联合发布的反映A股市场整体走势的指数，由中证指数有限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A股资产投资的业绩比较基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恒生指数是由恒生指数服务有限公司编制，以香港股票市场中的50家上市股票为成份股样本，以其发行量为权数的加权平均股价指数，是反映香港股市价幅趋势最有影响的一种股价指数。</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综合债券指数是综合反映银行间债券市场和沪深交易所债券市场国债、金融债、企业债、央行票据及短期融资券整体走势的跨市场债券指数，该指数旨在更全面地反映我国债券市场的整体价格变动趋势，具有较强的市场代表性，适合作为</w:t>
      </w:r>
      <w:r>
        <w:rPr>
          <w:rFonts w:ascii="宋体" w:hAnsi="宋体"/>
          <w:sz w:val="24"/>
        </w:rPr>
        <w:lastRenderedPageBreak/>
        <w:t>本基金债券资产投资的业绩比较基准。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根据本基金的投资范围和投资比例，选用上述业绩比较基准能够客观、合理地反映本基金的风险收益特征。</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并按照监管部门要求履行适当程序后，调整或变更本基金的业绩比较基准并及时公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（六）风险收益特征</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本基金是一只混合型基金，其预期风险和预期收益高于债券型基金和货币市场基金，低于股票型基金。</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（七）基金管理人代表基金行使股东或债权人权利的处理原则及方法</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1、基金管理人按照国家有关规定代表基金独立行使股东或债权人权利，保护基金份额持有人的利益；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（八）侧袋机制的实施和投资运作安排</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（九）基金投资组合报告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本基金管理人的董事会及董事保证本报告所载资料不存在虚假记载、误导性陈</w:t>
      </w:r>
      <w:r w:rsidRPr="00BB248E">
        <w:rPr>
          <w:rFonts w:ascii="宋体" w:hAnsi="宋体" w:hint="eastAsia"/>
          <w:b/>
          <w:kern w:val="0"/>
          <w:sz w:val="24"/>
        </w:rPr>
        <w:lastRenderedPageBreak/>
        <w:t>述或重大遗漏，并对其内容的真实性、准确性和完整性承担个别及连带责任。</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基金托管人中国农业银行股份有限公司根据本基金合同规定，于2025年10月27日复核了本报告中的财务指标、净值表现和投资组合报告等内容，保证复核内容不存在虚假记载、误导性陈述或者重大遗漏。</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本报告期为2025年07月01日起至09月30日。本报告财务资料未经审计师审计。</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27,924,357.51</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19.87</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27,924,357.51</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19.87</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76,325,935.67</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54.30</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76,325,935.67</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54.30</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26,990,427.43</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19.20</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6,882,660.03</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4.90</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2,439,835.97</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1.74</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140,563,216.61</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注：本基金本报告期末通过港股通机制投资香港股票的公允价值为9,151,716.61元，占基金资产净值比例为6.59%。</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738,944.00</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0.53</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14,070,337.04</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10.13</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684,096.00</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0.49</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G</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2,564,696.86</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1.85</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128,340.00</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586,227.00</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0.42</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18,772,640.90</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13.51</w:t>
            </w:r>
          </w:p>
        </w:tc>
      </w:tr>
    </w:tbl>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tbl>
      <w:tblPr>
        <w:tblW w:w="5000" w:type="pct"/>
        <w:tblCellMar>
          <w:left w:w="0" w:type="dxa"/>
          <w:right w:w="0" w:type="dxa"/>
        </w:tblCellMar>
        <w:tblLook w:val="0000" w:firstRow="0" w:lastRow="0" w:firstColumn="0" w:lastColumn="0" w:noHBand="0" w:noVBand="0"/>
      </w:tblPr>
      <w:tblGrid>
        <w:gridCol w:w="1547"/>
        <w:gridCol w:w="4645"/>
        <w:gridCol w:w="2478"/>
      </w:tblGrid>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通信服务</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3,008,632.78</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2.17</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可选消费</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1,701,114.10</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1.22</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1,682,798.98</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1.21</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公用事业</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722,703.26</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0.52</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医药卫生</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641,697.57</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0.46</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主要消费</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525,164.36</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0.38</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能源</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426,043.36</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0.31</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221,890.66</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0.16</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原材料</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221,671.54</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0.16</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9,151,716.61</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6.59</w:t>
            </w:r>
          </w:p>
        </w:tc>
      </w:tr>
    </w:tbl>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注：本报告采用中证CICS一级分类标准编制。</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00700 HK</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腾讯控股</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3,072</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1,859,499.23</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1.34</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02318 HK</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中国平安</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20,840</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1,009,355.99</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0.73</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3</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002517</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恺英网络</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30,100</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845,208.00</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0.61</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601899</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XD</w:t>
            </w:r>
            <w:r>
              <w:rPr>
                <w:rFonts w:ascii="Times New Roman" w:hAnsi="Times New Roman"/>
                <w:color w:val="000000"/>
                <w:kern w:val="0"/>
                <w:sz w:val="25"/>
                <w:szCs w:val="24"/>
              </w:rPr>
              <w:t>紫金矿</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25,100</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738,944.00</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0.53</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300750</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宁德时代</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1,800</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723,600.00</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0.52</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02020 HK</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安踏体育</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8,175</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697,847.68</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0.50</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00941 HK</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中国移动</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9,028</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696,481.40</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0.50</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600027</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华电国际</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134,400</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684,096.00</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0.49</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02628 HK</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中国人寿</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33,377</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673,442.99</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0.48</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002241</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歌尔股份</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17,100</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641,250.00</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0.46</w:t>
            </w:r>
          </w:p>
        </w:tc>
      </w:tr>
    </w:tbl>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11,599,446.03</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8.35</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10,199,080.55</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7.34</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54,527,409.09</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39.25</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76,325,935.67</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54.94</w:t>
            </w:r>
          </w:p>
        </w:tc>
      </w:tr>
    </w:tbl>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102481493</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苏州资产</w:t>
            </w:r>
            <w:r>
              <w:rPr>
                <w:rFonts w:ascii="Times New Roman" w:hAnsi="Times New Roman"/>
                <w:color w:val="000000"/>
                <w:kern w:val="0"/>
                <w:sz w:val="25"/>
                <w:szCs w:val="24"/>
              </w:rPr>
              <w:t>MTN001</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80,000</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8,143,207.89</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5.86</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102100824</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21</w:t>
            </w:r>
            <w:r>
              <w:rPr>
                <w:rFonts w:ascii="Times New Roman" w:hAnsi="Times New Roman"/>
                <w:color w:val="000000"/>
                <w:kern w:val="0"/>
                <w:sz w:val="25"/>
                <w:szCs w:val="24"/>
              </w:rPr>
              <w:t>知识城</w:t>
            </w:r>
            <w:r>
              <w:rPr>
                <w:rFonts w:ascii="Times New Roman" w:hAnsi="Times New Roman"/>
                <w:color w:val="000000"/>
                <w:kern w:val="0"/>
                <w:sz w:val="25"/>
                <w:szCs w:val="24"/>
              </w:rPr>
              <w:t>MTN002</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80,000</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8,121,599.56</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5.85</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019766</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73,000</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7,356,438.00</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5.30</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102380497</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23</w:t>
            </w:r>
            <w:r>
              <w:rPr>
                <w:rFonts w:ascii="Times New Roman" w:hAnsi="Times New Roman"/>
                <w:color w:val="000000"/>
                <w:kern w:val="0"/>
                <w:sz w:val="25"/>
                <w:szCs w:val="24"/>
              </w:rPr>
              <w:t>渝富资本</w:t>
            </w:r>
            <w:r>
              <w:rPr>
                <w:rFonts w:ascii="Times New Roman" w:hAnsi="Times New Roman"/>
                <w:color w:val="000000"/>
                <w:kern w:val="0"/>
                <w:sz w:val="25"/>
                <w:szCs w:val="24"/>
              </w:rPr>
              <w:t>MTN001(</w:t>
            </w:r>
            <w:r>
              <w:rPr>
                <w:rFonts w:ascii="Times New Roman" w:hAnsi="Times New Roman"/>
                <w:color w:val="000000"/>
                <w:kern w:val="0"/>
                <w:sz w:val="25"/>
                <w:szCs w:val="24"/>
              </w:rPr>
              <w:t>科创票据</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60,000</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6,323,884.93</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4.55</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102480177</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株洲高科</w:t>
            </w:r>
            <w:r>
              <w:rPr>
                <w:rFonts w:ascii="Times New Roman" w:hAnsi="Times New Roman"/>
                <w:color w:val="000000"/>
                <w:kern w:val="0"/>
                <w:sz w:val="25"/>
                <w:szCs w:val="24"/>
              </w:rPr>
              <w:t>MTN001</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50,000</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5,225,300.00</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3.76</w:t>
            </w:r>
          </w:p>
        </w:tc>
      </w:tr>
    </w:tbl>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7、报告期末按公允价值占基金资产净值比例大小排序的前五名贵金属投资明细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14,116.63</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2,346,569.49</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43,251.89</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35,897.96</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6</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right"/>
              <w:rPr>
                <w:rFonts w:ascii="宋体" w:hAnsi="宋体"/>
                <w:color w:val="000000"/>
                <w:kern w:val="0"/>
                <w:sz w:val="25"/>
                <w:szCs w:val="24"/>
              </w:rPr>
            </w:pPr>
            <w:r>
              <w:rPr>
                <w:rFonts w:ascii="Times New Roman" w:hAnsi="Times New Roman"/>
                <w:color w:val="000000"/>
                <w:kern w:val="0"/>
                <w:sz w:val="25"/>
                <w:szCs w:val="24"/>
              </w:rPr>
              <w:t>2,439,835.97</w:t>
            </w:r>
          </w:p>
        </w:tc>
      </w:tr>
    </w:tbl>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1874F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7468D" w:rsidRDefault="001874F8">
      <w:pPr>
        <w:pStyle w:val="1"/>
        <w:snapToGrid w:val="0"/>
        <w:spacing w:beforeLines="0" w:before="240" w:after="240"/>
        <w:rPr>
          <w:rFonts w:ascii="宋体" w:hAnsi="宋体"/>
          <w:szCs w:val="30"/>
        </w:rPr>
      </w:pPr>
      <w:bookmarkStart w:id="14" w:name="_Toc229473183"/>
      <w:r>
        <w:rPr>
          <w:rFonts w:ascii="Times New Roman" w:hAnsi="Times New Roman"/>
          <w:sz w:val="30"/>
        </w:rPr>
        <w:lastRenderedPageBreak/>
        <w:t>十一、基金的业绩</w:t>
      </w:r>
      <w:bookmarkEnd w:id="14"/>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基金业绩截止日为2025年09月30日，所载财务数据未经审计师审计。</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1、本报告期基金份额净值增长率及其与同期业绩比较基准收益率的比较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（1）交银鸿福六个月持有期混合A：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67468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67468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4.41%</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1.46%</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2.95%</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r>
      <w:tr w:rsidR="0067468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3.48%</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0.27%</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2.01%</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1.47%</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r>
      <w:tr w:rsidR="0067468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3.75%</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9.36%</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-5.61%</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67468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-1.33%</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2.25%</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-3.58%</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rsidR="0067468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-2.17%</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-2.06%</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67468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2021</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1.43%</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2.58%</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-1.15%</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bl>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（2）交银鸿福六个月持有期混合C：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67468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67468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4.40%</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1.46%</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2.94%</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r>
      <w:tr w:rsidR="0067468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3.42%</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0.27%</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2.01%</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1.41%</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r>
      <w:tr w:rsidR="0067468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3.65%</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9.36%</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-5.71%</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67468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-1.43%</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2.25%</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-3.68%</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rsidR="0067468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-2.27%</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-2.16%</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67468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2021</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2021</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1.36%</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2.58%</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-1.22%</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bl>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注：本基金的业绩比较基准为沪深300指数收益率×10%+恒生指数收益率×5%+中证综合债券指数收益率×85%，每日进行再平衡过程。</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67468D" w:rsidRDefault="001874F8">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交银施罗德鸿福六个月持有期混合型证券投资基金</w:t>
      </w:r>
    </w:p>
    <w:p w:rsidR="0067468D" w:rsidRDefault="001874F8">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（2021年3月30日至2025年09月30日）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（1）交银鸿福六个月持有期混合A</w:t>
      </w:r>
    </w:p>
    <w:p w:rsidR="0067468D" w:rsidRDefault="000D1E6F">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345pt">
            <v:imagedata r:id="rId15" o:title="1521256610242020828"/>
          </v:shape>
        </w:pic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（2）交银鸿福六个月持有期混合C</w:t>
      </w:r>
    </w:p>
    <w:p w:rsidR="0067468D" w:rsidRDefault="000D1E6F">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345pt">
            <v:imagedata r:id="rId16" o:title="1521256610242020828"/>
          </v:shape>
        </w:pic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1874F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7468D" w:rsidRDefault="001874F8">
      <w:pPr>
        <w:pStyle w:val="1"/>
        <w:snapToGrid w:val="0"/>
        <w:spacing w:beforeLines="0" w:before="240" w:after="240"/>
        <w:rPr>
          <w:rFonts w:ascii="宋体" w:hAnsi="宋体"/>
          <w:szCs w:val="30"/>
        </w:rPr>
      </w:pPr>
      <w:bookmarkStart w:id="15" w:name="_Toc229473184"/>
      <w:r>
        <w:rPr>
          <w:rFonts w:ascii="Times New Roman" w:hAnsi="Times New Roman"/>
          <w:sz w:val="30"/>
        </w:rPr>
        <w:lastRenderedPageBreak/>
        <w:t>十二、基金的财产</w:t>
      </w:r>
      <w:bookmarkEnd w:id="15"/>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基金资产总值是指基金拥有的各类有价证券、股指期货合约、银行存款本息、基金应收款项及其他资产的价值总和。</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协助开立股指期货业务相关账户及交易编码。开立的基金专用账户与基金管理人、基金托管人、基金销售机构和基金登记机构自有的财产账户以及其他基金财产账户相独立。</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1874F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7468D" w:rsidRDefault="001874F8">
      <w:pPr>
        <w:pStyle w:val="1"/>
        <w:snapToGrid w:val="0"/>
        <w:spacing w:beforeLines="0" w:before="240" w:after="240"/>
        <w:rPr>
          <w:rFonts w:ascii="宋体" w:hAnsi="宋体"/>
          <w:szCs w:val="30"/>
        </w:rPr>
      </w:pPr>
      <w:bookmarkStart w:id="16" w:name="_Toc229473185"/>
      <w:r>
        <w:rPr>
          <w:rFonts w:ascii="Times New Roman" w:hAnsi="Times New Roman"/>
          <w:sz w:val="30"/>
        </w:rPr>
        <w:lastRenderedPageBreak/>
        <w:t>十三、基金资产的估值</w:t>
      </w:r>
      <w:bookmarkEnd w:id="16"/>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基金所拥有的股票、债券、衍生工具和其他投资等持续以公允价值计量的金融资产及负债。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（三）估值原则</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（四）估值方法</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交易所上市的有价证券（包括股票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（2）首次公开发行未上市的股票和债券，采用估值技术确定公允价值，在估值技术难以可靠计量公允价值的情况下，按成本估值；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w:t>
      </w:r>
      <w:r>
        <w:rPr>
          <w:rFonts w:ascii="宋体" w:hAnsi="宋体"/>
          <w:sz w:val="24"/>
        </w:rPr>
        <w:lastRenderedPageBreak/>
        <w:t>等，不包括停牌、新发行未上市、回购交易中的质押券等流通受限股票，按监管机构或行业协会有关规定确定公允价值。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5、同一股票同时在两个或两个以上市场交易的，按股票所处的市场分别估值。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估值计算中涉及港币对人民币汇率的，将依据下列信息提供机构所提供的汇率为基准：当日中国人民银行或其授权机构公布的人民币汇率中间价。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税收：对于按照中国法律法规和基金投资境内外股票市场交易互联互通机制涉及的境外交易场所所在地的法律法规规定应交纳的各项税金，本基金将按权责发生制原则进行估值；对于因税收规定调整或其他原因导致基金实际交纳税金与估算的应交税金有差异的，基金将在相关税金调整日或实际支付日进行相应的估值调整。</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6、如有确凿证据表明按上述方法进行估值不能客观反映其公允价值的，基金管理人可根据具体情况与基金托管人商定后，按最能反映公允价值的价格估值。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7、当发生大额申购或赎回情形时，基金管理人可以采用摆动定价机制，以确保基金估值的公平性。</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8、本基金投资存托凭证的估值核算依照境内上市交易的股票执行。</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9、相关法律法规以及监管部门有强制规定的，从其规定。如有新增事项，按国家最新规定估值。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（五）估值程序</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基金管理人于每个工作日计算各类基金份额的基金资产净值及基金份额净值，并按规定公告。如遇特殊情况，经履行适当程序，可以适当延迟计算或公告。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（六）估值错误的处理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w:t>
      </w:r>
      <w:r>
        <w:rPr>
          <w:rFonts w:ascii="宋体" w:hAnsi="宋体"/>
          <w:sz w:val="24"/>
        </w:rPr>
        <w:lastRenderedPageBreak/>
        <w:t>等，因不可抗力原因出现估值错误的当事人不对其他当事人承担赔偿责任，但因该估值错误取得不当得利的当事人仍应负有返还不当得利的义务。</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4、基金份额净值估值错误处理的方法如下：</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（七）暂停估值的情形</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（八）基金净值的确认</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资产净值和基金份额净值由基金管理人负责计算，基金托管人负责进行复核。基金管理人应于每个开放日交易结束后计算当日各类基金份额的基金资产净值和基金份额净值并发送给基金托管人。基金托管人对净值计算结果复核确认后发送给基金管理人，由基金管理人依据基金合同和相关法律法规的规定对基金净值予以公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（九）特殊情形的处理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1、基金管理人或基金托管人按估值方法的第6项进行估值时，所造成的误差不作为基金资产估值错误处理。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（十）实施侧袋机制期间的基金资产估值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w:t>
      </w:r>
      <w:r>
        <w:rPr>
          <w:rFonts w:ascii="宋体" w:hAnsi="宋体"/>
          <w:sz w:val="24"/>
        </w:rPr>
        <w:lastRenderedPageBreak/>
        <w:t>主袋账户的基金净值信息，暂停披露侧袋账户份额净值。</w:t>
      </w:r>
    </w:p>
    <w:p w:rsidR="00B439CC" w:rsidRDefault="001874F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7468D" w:rsidRDefault="001874F8">
      <w:pPr>
        <w:pStyle w:val="1"/>
        <w:snapToGrid w:val="0"/>
        <w:spacing w:beforeLines="0" w:before="240" w:after="240"/>
        <w:rPr>
          <w:rFonts w:ascii="宋体" w:hAnsi="宋体"/>
          <w:szCs w:val="30"/>
        </w:rPr>
      </w:pPr>
      <w:bookmarkStart w:id="17" w:name="_Toc229473186"/>
      <w:r>
        <w:rPr>
          <w:rFonts w:ascii="Times New Roman" w:hAnsi="Times New Roman"/>
          <w:sz w:val="30"/>
        </w:rPr>
        <w:lastRenderedPageBreak/>
        <w:t>十四、基金收益与分配</w:t>
      </w:r>
      <w:bookmarkEnd w:id="17"/>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1、由于本基金A类基金份额不收取销售服务费，C类基金份额收取销售服务费，各基金份额类别对应的可供分配利润将有所不同；</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2、在符合有关基金分红条件的前提下，本基金管理人可以根据实际情况进行收益分配，具体分配方案以公告为准，若《基金合同》生效不满3个月可不进行收益分配；</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4、基金收益分配后任一类基金份额净值不能低于面值；即基金收益分配基准日的任一类基金份额净值减去该类每单位基金份额收益分配金额后不能低于面值；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5、本基金同一基金份额类别的每一基金份额享有同等分配权；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6、法律法规或监管机关另有规定的，从其规定。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（六）基金收益分配中发生的费用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1874F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7468D" w:rsidRDefault="001874F8">
      <w:pPr>
        <w:pStyle w:val="1"/>
        <w:snapToGrid w:val="0"/>
        <w:spacing w:beforeLines="0" w:before="240" w:after="240"/>
        <w:rPr>
          <w:rFonts w:ascii="宋体" w:hAnsi="宋体"/>
          <w:szCs w:val="30"/>
        </w:rPr>
      </w:pPr>
      <w:bookmarkStart w:id="18" w:name="_Toc229473187"/>
      <w:r>
        <w:rPr>
          <w:rFonts w:ascii="Times New Roman" w:hAnsi="Times New Roman"/>
          <w:sz w:val="30"/>
        </w:rPr>
        <w:lastRenderedPageBreak/>
        <w:t>十五、基金的费用与税收</w:t>
      </w:r>
      <w:bookmarkEnd w:id="18"/>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9、因投资港股通标的股票而产生的各项合理费用；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10、本基金从C类基金份额的基金财产中计提的销售服务费；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11、按照国家有关规定和《基金合同》约定，可以在基金财产中列支的其他费用。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本基金的管理费按前一日基金资产净值的0.5%年费率计提。管理费的计算方法如下：</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H＝E×0.5%÷当年天数</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基金管理费每日计提，按月支付。由基金管理人向基金托管人发送基金管理费划付指令，经基金托管人复核后于次月首日起3个工作日内从基金资产中一次性支付给基金管理人。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本基金的托管费按前一日基金资产净值的0.1%的年费率计提。托管费的计算方</w:t>
      </w:r>
      <w:r>
        <w:rPr>
          <w:rFonts w:ascii="宋体" w:hAnsi="宋体"/>
          <w:sz w:val="24"/>
        </w:rPr>
        <w:lastRenderedPageBreak/>
        <w:t>法如下：</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H＝E×0.1%÷当年天数</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基金托管费每日计提，按月支付。由基金管理人向基金托管人发送基金托管费划付指令，经基金托管人复核后于次月首日起3个工作日内从基金资产中一次性支付给基金托管人。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本基金A类基金份额不收取销售服务费，C类基金份额的销售服务费按前一日C类基金资产净值的0.1%年费率计提。计算方法如下：</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H＝E×0.1%÷当年天数</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按月支付。由基金管理人向基金托管人发送销售服务费划付指令，经基金托管人复核后于次月首日起3个工作日内从基金资产中一次性支付给基金管理人，由基金管理人代付给销售机构。若遇法定节假日、休息日或不可抗力致使无法按时支付的，顺延至最近可支付日支付。</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（4）上述“（一）基金费用的种类”中第3－9项、第11项费用，根据有关法规及相应协议规定，按费用实际支出金额列入当期费用，由基金托管人从基金财产中支付。</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w:t>
      </w:r>
      <w:r>
        <w:rPr>
          <w:rFonts w:ascii="宋体" w:hAnsi="宋体"/>
          <w:sz w:val="24"/>
        </w:rPr>
        <w:lastRenderedPageBreak/>
        <w:t>回”一章。</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（四）实施侧袋机制期间的基金费用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rsidR="00B439CC" w:rsidRDefault="001874F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7468D" w:rsidRDefault="001874F8">
      <w:pPr>
        <w:pStyle w:val="1"/>
        <w:snapToGrid w:val="0"/>
        <w:spacing w:beforeLines="0" w:before="240" w:after="240"/>
        <w:rPr>
          <w:rFonts w:ascii="宋体" w:hAnsi="宋体"/>
          <w:szCs w:val="30"/>
        </w:rPr>
      </w:pPr>
      <w:bookmarkStart w:id="19" w:name="_Toc229473188"/>
      <w:r>
        <w:rPr>
          <w:rFonts w:ascii="Times New Roman" w:hAnsi="Times New Roman"/>
          <w:sz w:val="30"/>
        </w:rPr>
        <w:lastRenderedPageBreak/>
        <w:t>十六、基金的会计与审计</w:t>
      </w:r>
      <w:bookmarkEnd w:id="19"/>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rsidR="00B439CC" w:rsidRDefault="001874F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7468D" w:rsidRDefault="001874F8">
      <w:pPr>
        <w:pStyle w:val="1"/>
        <w:snapToGrid w:val="0"/>
        <w:spacing w:beforeLines="0" w:before="240" w:after="240"/>
        <w:rPr>
          <w:rFonts w:ascii="宋体" w:hAnsi="宋体"/>
          <w:szCs w:val="30"/>
        </w:rPr>
      </w:pPr>
      <w:bookmarkStart w:id="20" w:name="_Toc229473189"/>
      <w:r>
        <w:rPr>
          <w:rFonts w:ascii="Times New Roman" w:hAnsi="Times New Roman"/>
          <w:sz w:val="30"/>
        </w:rPr>
        <w:lastRenderedPageBreak/>
        <w:t>十七、基金的信息披露</w:t>
      </w:r>
      <w:bookmarkEnd w:id="20"/>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（一）本基金的信息披露应符合《基金法》、《运作办法》、《信息披露办法》、《流动性风险管理规定》、《基金合同》及其他有关规定。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（四）本基金公开披露的信息应采用中文文本。同时采用外文文本的，基金信息披露义务人应保证不同文本的内容一致。不同文本之间发生歧义的，以中文文本为准。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公开披露的基金信息包括：</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基金管理人应当在收到中国证监会确认文件的次日在规定媒介上登载《基金合同》生效公告。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《基金合同》生效后，在开始办理基金份额申购或者赎回前，基金管理人应当至少每周在规定网站分别披露一次A类基金份额和C类基金份额所对应的基金份额净值和基金份额累计净值。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规定网站、基金销售机构网站或者营业网点分别披露开放日A类基金份额和C类基金份额所对应的基金份额净值和基金份额累计净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基金管理人应当在不晚于半年度和年度最后一日的次日，在规定网站披露半年度和年度最后一日A类基金份额和C类基金份额所对应的基金份额净值和基金份额累计净值。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7、临时报告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本基金发生重大事件，有关信息披露义务人应当依照《信息披露办法》的规定编制临时报告书，并登载在规定报刊和规定网站上。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w:t>
      </w:r>
      <w:r>
        <w:rPr>
          <w:rFonts w:ascii="宋体" w:hAnsi="宋体"/>
          <w:sz w:val="24"/>
        </w:rPr>
        <w:lastRenderedPageBreak/>
        <w:t>方式和费率发生变更；</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（25）本基金连续30个工作日、40个工作日、45个工作日出现基金份额持有人数量不满200人或者基金资产净值低于5000万元情形的；</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10、实施侧袋机制期间的信息披露</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11、清算报告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基金合同终止的，基金管理人应当依法组织清算小组对基金财产进行清算并作</w:t>
      </w:r>
      <w:r>
        <w:rPr>
          <w:rFonts w:ascii="宋体" w:hAnsi="宋体"/>
          <w:sz w:val="24"/>
        </w:rPr>
        <w:lastRenderedPageBreak/>
        <w:t>出清算报告。清算报告应当经过符合《中华人民共和国证券法》规定的会计师事务所审计，并由律师事务所出具法律意见书。清算小组应当将清算报告登载在规定网站上，并将清算报告提示性公告登载在规定报刊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12、基金投资股指期货情况</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13、基金投资资产支持证券情况</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14、基金投资港股通标的股票情况</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基金应当在季度报告、中期报告、年度报告等定期报告和招募说明书（更新）等文件中披露港股通标的股票的投资情况。法律法规或中国证监会另有规定的，从其规定。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15、中国证监会规定的其他信息。</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基金信息披露义务人公开披露基金信息，应当符合中国证监会相关基金信息披露内容与格式准则等法律法规的规定。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相关基金信息进行复核、审查，并向基金管理人进行书面或电子确认。</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基金管理人、基金托管人应当在规定报刊中选择一家报刊披露本基金信息。基金管理人、基金托管人应当向中国证监会基金电子披露网站报送拟披露的基金信</w:t>
      </w:r>
      <w:r>
        <w:rPr>
          <w:rFonts w:ascii="宋体" w:hAnsi="宋体"/>
          <w:sz w:val="24"/>
        </w:rPr>
        <w:lastRenderedPageBreak/>
        <w:t>息，并保证相关报送信息的真实、准确、完整、及时。</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rsidR="00B439CC" w:rsidRDefault="001874F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7468D" w:rsidRDefault="001874F8">
      <w:pPr>
        <w:pStyle w:val="1"/>
        <w:snapToGrid w:val="0"/>
        <w:spacing w:beforeLines="0" w:before="240" w:after="240"/>
        <w:rPr>
          <w:rFonts w:ascii="宋体" w:hAnsi="宋体"/>
          <w:szCs w:val="30"/>
        </w:rPr>
      </w:pPr>
      <w:bookmarkStart w:id="21" w:name="_Toc229473190"/>
      <w:r>
        <w:rPr>
          <w:rFonts w:ascii="Times New Roman" w:hAnsi="Times New Roman"/>
          <w:sz w:val="30"/>
        </w:rPr>
        <w:lastRenderedPageBreak/>
        <w:t>十八、侧袋机制</w:t>
      </w:r>
      <w:bookmarkEnd w:id="21"/>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1874F8"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67468D" w:rsidRDefault="001874F8">
      <w:pPr>
        <w:pStyle w:val="1"/>
        <w:snapToGrid w:val="0"/>
        <w:spacing w:beforeLines="0" w:before="240" w:after="240"/>
        <w:rPr>
          <w:rFonts w:ascii="宋体" w:hAnsi="宋体"/>
          <w:szCs w:val="30"/>
        </w:rPr>
      </w:pPr>
      <w:bookmarkStart w:id="22" w:name="_Toc229473191"/>
      <w:r>
        <w:rPr>
          <w:rFonts w:ascii="Times New Roman" w:hAnsi="Times New Roman"/>
          <w:sz w:val="30"/>
        </w:rPr>
        <w:lastRenderedPageBreak/>
        <w:t>十九、风险揭示</w:t>
      </w:r>
      <w:bookmarkEnd w:id="22"/>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投资人应当认真阅读《基金合同》、《招募说明书》等基金法律文件，了解基金的风险收益特征，并根据自身的投资目的、投资期限、投资经验、资产状况等判断基金是否和投资人的风险承受能力相适应。</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基金份额持有人须了解并承受以下风险：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基金份额持有人持有的每份基金份额最短持有期限为6个月，对于满足持有期限的投资人，在基金的所有开放日，基金管理人都有义务接受投资人的赎回。如果基金资产不能迅速转变成现金，或者变现为现金时使资金净值产生不利的影响，都会影响基金运作和收益水平。尤其是在发生巨额赎回时，</w:t>
      </w:r>
      <w:r>
        <w:rPr>
          <w:rFonts w:ascii="宋体" w:hAnsi="宋体"/>
          <w:sz w:val="24"/>
        </w:rPr>
        <w:lastRenderedPageBreak/>
        <w:t>如果基金资产变现能力差，可能会产生基金仓位调整的困难，导致流动性风险，可能影响基金份额净值。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但对于每份基金份额，基金份额持有人仅可在该份额最短持有期限届满后申请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基金管理人自基金合同生效之日起不超过3个月开始办理申购业务，具体业务办理时间在申购开始公告中规定。基金管理人自基金合同生效之日起6个月后月度对日（含该日）开始办理赎回，具体业务办理时间在赎回开始公告中规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份额持有人多次认购或申购本基金导致持有多笔不同期限的本基金份额时，基金份额持有人在赎回时需特别关注申请赎回的基金份额数量，若申请赎回的基金份额超过了该份额持有人持续持有超过6个月的基金份额数量，则基金份额持有人的赎回申请将全部被予以拒绝。基金份额持有人需承担赎回申请失败的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w:t>
      </w:r>
      <w:r>
        <w:rPr>
          <w:rFonts w:ascii="宋体" w:hAnsi="宋体"/>
          <w:sz w:val="24"/>
        </w:rPr>
        <w:lastRenderedPageBreak/>
        <w:t>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该类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摆动定价、暂停基金估值、实</w:t>
      </w:r>
      <w:r>
        <w:rPr>
          <w:rFonts w:ascii="宋体" w:hAnsi="宋体"/>
          <w:sz w:val="24"/>
        </w:rPr>
        <w:lastRenderedPageBreak/>
        <w:t>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（五）本基金的特有风险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2、本基金每份基金份额的最短持有期限为6个月，在最短持有期限内该份基金</w:t>
      </w:r>
      <w:r>
        <w:rPr>
          <w:rFonts w:ascii="宋体" w:hAnsi="宋体"/>
          <w:sz w:val="24"/>
        </w:rPr>
        <w:lastRenderedPageBreak/>
        <w:t>份额不可赎回，自最短持有期限届满的下一工作日起（含该日）可赎回。对于每笔认购的基金份额而言，最短持有期限自基金合同生效之日起（含该日）至6个月后月度对日的前一日；对于每笔申购的基金份额而言，最短持有期限自该笔申购份额确认日（含该日）至6个月后月度对日的前一日。因此，对于基金份额持有人而言，存在投资本基金后6个月内无法赎回的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4、基金合同提前终止风险。连续50个工作日出现基金份额持有人数量不满200人或者基金资产净值低于5000万元情形的，基金合同终止，不需召开基金份额持有人大会。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5、本基金可投资创业板股票，创业板个股上市后的前五个交易日不设价格涨跌幅限制，第六个交易日开始涨跌幅限制比例为20%。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（六）投资股指期货的特定风险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（七）投资资产支持证券的特定风险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（八）投资流通受限证券的特定风险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（九）投资科创板股票的特定风险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科创板个股上市后的前五个交易日无涨跌停限制，其后涨跌幅限制为20%，科创板股票上市首日即可作为融资融券标的，可能导致较大的股票价格波动。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科创板整体投资门槛较高，二级市场上个人投资者参与度相对较低，机构持有个股大量流通盘导致个股流动性较差，基金组合存在无法及时变现及其他相关流动性风险。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科创板退市制度较主板更为严格，且不再设置暂停上市、恢复上市和重新上市环节，上市公司退市风险更大。</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4、系统性风险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（十）投资存托凭证的特定风险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（十一）投资港股通标的股票的特定风险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本基金可投资港股通标的股票，会面临港股通机制下因投资环境、投资标的、市场制度以及交易规则等差异带来的特有风险，具体如下：</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1、港股交易失败风险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2、汇率风险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w:t>
      </w:r>
      <w:r>
        <w:rPr>
          <w:rFonts w:ascii="宋体" w:hAnsi="宋体"/>
          <w:sz w:val="24"/>
        </w:rPr>
        <w:lastRenderedPageBreak/>
        <w:t>实际适用的结算汇率。</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3、境外市场的风险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（2）香港市场交易规则有别于内地A股市场规则，此外，在“内地与香港股票市场交易互联互通机制”下参与香港股票投资还将面临包括但不限于如下特殊风险：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1）香港市场实行T+0回转交易机制（即当日买入的股票，在交收前可以于当日卖出），且证券交易价格并无涨跌幅上下限的规定，因此每日涨跌幅空间相对较大，可能表现出比A股更为剧烈的股价波动；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香港联合交易所出现规定的相关情形时，香港联合交易所将可能停市，本基金将面临在停市期间无法进行港股通交易的风险；出现内地证券交易服务公司认定的交易异常情况时，内地证券交易服务公司将可能暂停提供部分或者全部港股通服务，将面临在暂停服务期间无法进行港股通交易的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者因港股通股票权益分派、转换、上市公司被收购等情形或者异常情况，所取得的港股通股票以外的香港联合交易所上市证券，只能通过港股通卖出，但不得买入，内地证券交易服务公司另有规定的除外；因港股通股票发行人供股、港股通股票权益分派或者转换等情形取得的香港联合交易所上市股票的认购权利凭</w:t>
      </w:r>
      <w:r>
        <w:rPr>
          <w:rFonts w:ascii="宋体" w:hAnsi="宋体"/>
          <w:sz w:val="24"/>
        </w:rPr>
        <w:lastRenderedPageBreak/>
        <w:t>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4、本基金可根据投资策略需要或不同配置地市场环境的变化，选择将部分基金资产投资于港股通标的股票或选择不将基金资产投资于港股通标的股票，基金资产并非必然投资港股通标的股票。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以上所述因素可能会给本基金投资带来特殊交易风险。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（十二）本基金法律文件风险收益特征表述与销售机构基金风险评价可能不一致的风险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（十三）其他风险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w:t>
      </w:r>
      <w:r>
        <w:rPr>
          <w:rFonts w:ascii="宋体" w:hAnsi="宋体"/>
          <w:sz w:val="24"/>
        </w:rPr>
        <w:lastRenderedPageBreak/>
        <w:t>平，从而带来风险；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1874F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7468D" w:rsidRDefault="001874F8">
      <w:pPr>
        <w:pStyle w:val="1"/>
        <w:snapToGrid w:val="0"/>
        <w:spacing w:beforeLines="0" w:before="240" w:after="240"/>
        <w:rPr>
          <w:rFonts w:ascii="宋体" w:hAnsi="宋体"/>
          <w:szCs w:val="30"/>
        </w:rPr>
      </w:pPr>
      <w:bookmarkStart w:id="23" w:name="_Toc229473192"/>
      <w:r>
        <w:rPr>
          <w:rFonts w:ascii="Times New Roman" w:hAnsi="Times New Roman"/>
          <w:sz w:val="30"/>
        </w:rPr>
        <w:lastRenderedPageBreak/>
        <w:t>二十、基金合同的变更、终止与基金财产的清算</w:t>
      </w:r>
      <w:bookmarkEnd w:id="23"/>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1874F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7468D" w:rsidRDefault="001874F8">
      <w:pPr>
        <w:pStyle w:val="1"/>
        <w:snapToGrid w:val="0"/>
        <w:spacing w:beforeLines="0" w:before="240" w:after="240"/>
        <w:rPr>
          <w:rFonts w:ascii="宋体" w:hAnsi="宋体"/>
          <w:szCs w:val="30"/>
        </w:rPr>
      </w:pPr>
      <w:bookmarkStart w:id="24" w:name="_Toc229473193"/>
      <w:r>
        <w:rPr>
          <w:rFonts w:ascii="Times New Roman" w:hAnsi="Times New Roman"/>
          <w:sz w:val="30"/>
        </w:rPr>
        <w:lastRenderedPageBreak/>
        <w:t>二十一、基金合同内容摘要</w:t>
      </w:r>
      <w:bookmarkEnd w:id="24"/>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（15）选择、更换律师事务所、会计师事务所、证券经纪商、期货经纪机构或其他为基金提供服务的外部机构；</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（16）在符合有关法律、法规的前提下，制定和调整有关基金认购、申购、赎回、转换等的业务规则；</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（14）按规定受理申购与赎回申请，及时、足额支付赎回款项；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根据《基金法》、《运作办法》及其他有关规定，基金托管人的权利包括但不限于：</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（1）自《基金合同》生效之日起，依法律法规和《基金合同》的规定安全保管基金财产；</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（4）根据相关市场规则，为基金开设资金账户、证券账户等投资所需账户、协助开立股指期货业务相关账户及交易编码、为基金办理证券、期货交易资金清算；</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（6）按规定开设基金财产的资金账户和证券账户等投资所需账户，协助开立股指期货业务相关账户及交易编码，按照《基金合同》的约定，根据基金管理人的投资指令，及时办理清算、交割事宜；</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（8）复核、审查基金管理人计算的基金资产净值、基金份额净值、基金份额申购、赎回价格；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（11）保存基金托管业务活动的记录、账册、报表和其他相关资料不低于法律法规规定的最低期限；</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w:t>
      </w:r>
      <w:r>
        <w:rPr>
          <w:rFonts w:ascii="宋体" w:hAnsi="宋体"/>
          <w:sz w:val="24"/>
        </w:rPr>
        <w:lastRenderedPageBreak/>
        <w:t>《基金合同》的当事人，直至其不再持有本基金的基金份额。基金份额持有人作为《基金合同》当事人并不以在《基金合同》上书面签章或签字为必要条件。</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w:t>
      </w:r>
      <w:r>
        <w:rPr>
          <w:rFonts w:ascii="宋体" w:hAnsi="宋体"/>
          <w:sz w:val="24"/>
        </w:rPr>
        <w:lastRenderedPageBreak/>
        <w:t>规则；</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（1）当出现或需要决定下列事由之一的，应当召开基金份额持有人大会，法律法规和中国证监会另有规定的除外：</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1）终止《基金合同》，基金合同另有规定的除外；</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5）调整基金管理人、基金托管人的报酬标准和提高销售服务费；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8）变更基金投资目标、范围或策略，基金合同另有规定的除外；</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9）变更基金份额持有人大会程序，基金合同另有规定的除外；</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w:t>
      </w:r>
      <w:r>
        <w:rPr>
          <w:rFonts w:ascii="宋体" w:hAnsi="宋体"/>
          <w:sz w:val="24"/>
        </w:rPr>
        <w:lastRenderedPageBreak/>
        <w:t>不需召开基金份额持有人大会：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1）调低基金销售服务费；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3）在法律法规和《基金合同》规定的范围内调整本基金的申购费率、调低赎回费率、在对现有基金份额持有人利益无实质性不利影响的前提下变更收费方式；</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4）因相应的法律法规、登记机构的相关业务规则发生变动而应当对《基金合同》进行修改；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9）按照法律法规和《基金合同》规定不需召开基金份额持有人大会的其他情形。</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w:t>
      </w:r>
      <w:r>
        <w:rPr>
          <w:rFonts w:ascii="宋体" w:hAnsi="宋体"/>
          <w:sz w:val="24"/>
        </w:rPr>
        <w:lastRenderedPageBreak/>
        <w:t>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w:t>
      </w:r>
      <w:r>
        <w:rPr>
          <w:rFonts w:ascii="宋体" w:hAnsi="宋体"/>
          <w:sz w:val="24"/>
        </w:rPr>
        <w:lastRenderedPageBreak/>
        <w:t>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w:t>
      </w:r>
      <w:r>
        <w:rPr>
          <w:rFonts w:ascii="宋体" w:hAnsi="宋体"/>
          <w:sz w:val="24"/>
        </w:rPr>
        <w:lastRenderedPageBreak/>
        <w:t>规定的方式收取基金份额持有人的表决意见；基金托管人或基金管理人经通知不参加收取表决意见的，不影响表决效力；</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基金份额持有人大会的各项提案或同一项提案内并列的各项议题应当分开审议、逐项表决。</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基金份额持有人大会的决议自表决通过之日起生效。法律法规另有规定的，从其规定。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基金份额持有人大会决议自生效之日起依照《信息披露办法》的规定在规定媒介上公告。如果采用通讯方式进行表决，在公告基金份额持有人大会决议时，必须</w:t>
      </w:r>
      <w:r>
        <w:rPr>
          <w:rFonts w:ascii="宋体" w:hAnsi="宋体"/>
          <w:sz w:val="24"/>
        </w:rPr>
        <w:lastRenderedPageBreak/>
        <w:t>将公证书全文、公证机构、公证员姓名等一同公告。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10、本部分对基金份额持有人大会召开事由、召开条件、议事程序、表决条件</w:t>
      </w:r>
      <w:r>
        <w:rPr>
          <w:rFonts w:ascii="宋体" w:hAnsi="宋体"/>
          <w:sz w:val="24"/>
        </w:rPr>
        <w:lastRenderedPageBreak/>
        <w:t>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1）《基金合同》终止情形出现时，由基金财产清算小组统一接管基金；</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w:t>
      </w:r>
      <w:r>
        <w:rPr>
          <w:rFonts w:ascii="宋体" w:hAnsi="宋体"/>
          <w:sz w:val="24"/>
        </w:rPr>
        <w:lastRenderedPageBreak/>
        <w:t>点为北京市。仲裁裁决是终局的，对各方当事人均有约束力，除非仲裁裁决另有规定，仲裁费由败诉方承担。</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《基金合同》受中国法律（不含港澳台地区法律）管辖并从其解释。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（五）基金合同存放地和投资者取得基金合同的方式</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1874F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7468D" w:rsidRDefault="001874F8">
      <w:pPr>
        <w:pStyle w:val="1"/>
        <w:snapToGrid w:val="0"/>
        <w:spacing w:beforeLines="0" w:before="240" w:after="240"/>
        <w:rPr>
          <w:rFonts w:ascii="宋体" w:hAnsi="宋体"/>
          <w:szCs w:val="30"/>
        </w:rPr>
      </w:pPr>
      <w:bookmarkStart w:id="25" w:name="_Toc229473194"/>
      <w:r>
        <w:rPr>
          <w:rFonts w:ascii="Times New Roman" w:hAnsi="Times New Roman"/>
          <w:sz w:val="30"/>
        </w:rPr>
        <w:lastRenderedPageBreak/>
        <w:t>二十二、托管协议的内容摘要</w:t>
      </w:r>
      <w:bookmarkEnd w:id="25"/>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注册地址：中国（上海）自由贸易试验区银城中路188号交通银行大楼二层（裙）</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注册地址：北京市东城区建国门内大街69号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办公地址：北京市西城区复兴门内大街28号凯晨世贸中心东座九层</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邮政编码：100031</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成立时间：2009年1月15日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基金托管资格批文及文号：中国证监会证监基字[1998]23号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结汇、售汇；从事银行</w:t>
      </w:r>
      <w:r>
        <w:rPr>
          <w:rFonts w:ascii="宋体" w:hAnsi="宋体"/>
          <w:sz w:val="24"/>
        </w:rPr>
        <w:lastRenderedPageBreak/>
        <w:t>卡业务；提供信用证服务及担保；代理收付款项及代理保险业务；提供保管箱服务；代理资金清算；各类汇兑业务；代理政策性银行、外国政府和国际金融机构贷款业务；贷款承诺；组织或参加银团贷款；外汇存款；外汇贷款；外汇汇款；外汇借款；发行、代理发行、买卖或代理买卖股票以外的外币有价证券；外汇票据承兑和贴现；自营、代客外汇买卖；外币兑换；外汇担保；资信调查、咨询、见证业务；企业、个人财务顾问服务；证券公司客户交易结算资金存管业务；证券投资基金托管业务；企业年金托管业务；产业投资基金托管业务；合格境外机构投资者境内证券投资托管业务；代理开放式基金业务；电话银行、手机银行、网上银行业务；金融衍生产品交易业务；经国务院银行业监督管理机构等监管部门批准的其他业务。</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疑义的事项进行核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投资（含存托凭证）占基金资产的比例为0%-30%（其中投资于港股通标的股票的比例占股票资产的0%-50%），同业存单投资占基金资产的比例不超过20%；每个交易日日终在扣除股指期货合约需缴纳的交易保证金后，本基金保留的现金或者投资于到期日在一年以内的政府债券的比例合计不低于</w:t>
      </w:r>
      <w:r>
        <w:rPr>
          <w:rFonts w:ascii="宋体" w:hAnsi="宋体"/>
          <w:sz w:val="24"/>
        </w:rPr>
        <w:lastRenderedPageBreak/>
        <w:t>基金资产净值的5%，其中现金不包括结算备付金、存出保证金、应收申购款等。</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（1）股票投资（含存托凭证）占基金资产的比例为0%-30%（其中投资于港股通标的股票的比例占股票资产的0%-50%），同业存单投资占基金资产的比例不超过20%；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投资比例合计不低于基金资产净值的5%，其中现金不包括结算备付金、存出保证金、应收申购款等；</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（3）本基金持有一家公司发行的证券（同一家公司在内地和香港同时上市的A+H股合计计算），其市值不超过基金资产净值的10％；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且由本基金托管人托管的全部基金持有一家公司发行的证券（同一家公司在内地和香港同时上市的A+H股合计计算），不超过该证券的10％，完全按照有关指数的构成比例进行证券投资的基金品种可以不受此条款规定的比例限制；</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（8）本基金管理人管理的、且由本基金托管人托管的全部基金投资于同一原始权益人的各类资产支持证券，不得超过其各类资产支持证券合计规模的10％；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（11）本基金进入全国银行间同业市场进行债券回购的资金余额不得超过基金资产净值的40%，进入全国银行间同业市场进行债券回购的最长期限为1年，债券回购到期后不得展期；</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管理人管理的、且由本基金托管人托管的全部开放式基金（包括开放式基金以及处于开放期的定期开放基金）持有一家上市公司发行的可流通股票，不得超过该上市公司可流通股票的15%；本基金管理人管理的、且由本基金托管人托管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（15）本基金参与股指期货交易，则：</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（16）本基金投资可转换债券、可交换公司债券的比例合计不超过基金资产的</w:t>
      </w:r>
      <w:r>
        <w:rPr>
          <w:rFonts w:ascii="宋体" w:hAnsi="宋体"/>
          <w:sz w:val="24"/>
        </w:rPr>
        <w:lastRenderedPageBreak/>
        <w:t>20%；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（17）本基金资产总值不超过基金资产净值的140%；</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（18）本基金投资存托凭证的比例限制依照境内上市交易的股票执行；</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（19）法律法规及中国证监会规定的和《基金合同》约定的其他投资限制。</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13）、（14）项以外，因证券、期货市场波动、证券发行人合并或基金规模变动等基金管理人之外的因素致使基金投资比例不符合上述规定投资比例的，基金管理人应当在10个交易日内进行调整，但中国证监会规定的特殊情形除外。法律法规另有规定的，从其规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3、基金托管人根据有关法律法规的规定及基金合同的约定，对本协议第十五条第（十一）项基金投资禁止行为进行监督。</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或与本机构有其他重大利害关系的公司名单及其更新，并以双方约定的方式提交，确保所提供的关联交易名单的真实性、完整性、全面性。基金管理人有责任保管真实、完整、全面的关联交易名单，并负责及时更新该名单。名单变更后基金管理人应及时发送基金托管人，基金托管人应及时确认已知名单的变更。如果基金托管人在运作中严格遵循了监督流程，基金管理人仍违规进行关联交易，并造成基金资产损失的，由基金管理人承担责任，基金托管人并有权向中国证监会报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w:t>
      </w:r>
      <w:r>
        <w:rPr>
          <w:rFonts w:ascii="宋体" w:hAnsi="宋体"/>
          <w:sz w:val="24"/>
        </w:rPr>
        <w:lastRenderedPageBreak/>
        <w:t>金管理人董事会应至少每半年对关联交易事项进行审查。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经慎重选择的、本基金适用的银行间债券市场交易对手名单。基金托管人监督基金管理人是否按事前提供的银行间债券市场交易对手名单进行交易。基金管理人可以每半年对银行间债券市场交易对手名单进行更新，如基金管理人根据市场情况需要临时调整银行间债券市场交易对手名单，应向基金托管人说明理由，在与交易对手发生交易前2个工作日内与基金托管人协商解决。基金管理人与基金托管人完成确认后，被确认调整的名单开始生效，新名单生效前已与本次剔除的交易对手所进行但尚未结算的交易，仍应按照协议进行结算。基金管理人负责对交易对手的资信控制，按银行间债券市场的交易规则进行交易，基金托管人则根据银行间债券市场成交单对合同履行情况进行监督，但不承担交易对手不履行合同造成的损失。如基金托管人事后发现基金管理人没有按照事先约定的交易对手进行交易时，基金托管人应及时提醒基金管理人，基金托管人不承担由此造成的任何损失和责任。</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5、基金托管人根据有关法律法规的规定及基金合同的约定，对基金管理人投资银行存款进行监督。</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基金投资银行存款的，基金管理人应根据法律法规的规定及基金合同的约定，建立投资制度、审慎选择存款银行，做好风险控制；并按照基金托管人的要求配合基金托管人完成相关业务办理。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基金资产净值计算、各类基金份额的基金份额净值计算、应收资金到账、基金费用开支及收入确定、基金收益分配、相关信息披露、基金宣传推介材料中登载基金业绩表现数据等进行监督和核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如果基金管理人未经基金托管人的审核擅自将不实的业绩表现数据印制在宣传推介材料上，则基金托管人对此不承担任何责任，并将在发现后立即报告中国证监会。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7、基金托管人根据有关法律法规的规定及基金合同的约定，对基金投资流通受限证券进行监督。</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（1）基金投资流通受限证券，应遵守《关于基金投资非公开发行股票等流通受限证券有关问题的通知》等有关法律法规规定。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首次投资流通受限证券之前，基金管理人应当制定相关投资决策流程、风险控制制度、流动性风险控制预案等规章制度。基金管理人应当根据基金流动性的需要合理安排流通受限证券的投资比例，并在风险控制制度中明确具体比例，避免基金出现流动性风险。上述规章制度须经基金管理人董事会批准。上述规章制度经董事会通过之后，基金管理人应当将上述规章制度以及董事会批准上述规章制度的决议提交给基金托管人。基金托管人据此监督基金管理人的流通受限证券投资行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（4）在投资流通受限证券之前，基金管理人应至少提前一个交易日向基金托管人提供有关流通受限证券的相关信息，具体应当包括但不限于如下文件（如有）：</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拟发行数量、定价依据、监管机构的批准证明文件复印件、基金管理人与承销商签订的销售协议复印件、缴款通知书、基金拟认购的数量、价格、总成本、划款账号、划款金额、划款时间文件等。基金管理人应保证上述信息的真实、完整。</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在监督基金管理人投资流通受限证券的过程中，如认为因市场出现剧烈变化导致基金管理人的具体投资行为可能对基金财产造成较大风险，基金托管人有权要求基金管理人对该风险的消除或防范措施进行补充和整改，并做出书面说明。否则，基金托管人经事先书面告知基金管理人，有权拒绝执行其有关指令。因拒绝执行该指令造成基金财产损失的，基金托管人不承担任何责任，并有权报告中国证监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保证基金投资的流通受限证券登记存管在本基金名下，并保证基金托管人能够正常查询。因基金管理人原因产生的流通受限证券登记存管问题，造成基金财产的损失或基金托管人无法安全保管基金财产的责任与损失，由基金管理人承担。</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果基金管理人未按照本协议的约定向基金托管人报送相关数据或者报送了虚假的数据，导致基金托管人不能履行托管人职责的，基金管理人应依法承担相应法律后果。除基金托管人未能依据法律法规、基金合同及本协议履行职责外，</w:t>
      </w:r>
      <w:r>
        <w:rPr>
          <w:rFonts w:ascii="宋体" w:hAnsi="宋体"/>
          <w:sz w:val="24"/>
        </w:rPr>
        <w:lastRenderedPageBreak/>
        <w:t>因投资流通受限证券产生的损失，基金托管人按照本协议履行监督职责后不承担上述损失。</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发现基金管理人的上述事项及投资指令或实际投资运作中违反法律法规和基金合同的规定，应及时以书面形式通知基金管理人限期纠正。基金管理人应积极配合和协助基金托管人的监督和核查。基金管理人收到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基金托管人发现基金管理人依据交易程序已经生效的投资指令违反法律、行政法规和其他有关规定，或者违反基金合同约定的，应当立即通知基金管理人，并报告中国证监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规要求需向中国证监会报送基金监督报告的事项，基金管理人应积极配合提供相关数据资料和制度等。</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托管人发现基金管理人有重大违规行为，应及时报告中国证监会，同时通知基金管理人限期纠正，并将纠正结果报告中国证监会。基金管理人无正当理由，拒绝、阻挠对方根据本协议规定行使监督权，或采取拖延、欺诈等手段妨碍对方进行有效监督，情节严重或经基金托管人提出警告仍不改正的，基金托管人应报告中国证监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等投资所需账户、协助开立股指期货业务相关账户及交易编码、复核基金管理人计算的基金资产净值和各类基金份额的基金份额净值、根据基金管理人指令办理清算交收、相关信息披露和监督基金投资运作等行为。</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w:t>
      </w:r>
      <w:r>
        <w:rPr>
          <w:rFonts w:ascii="宋体" w:hAnsi="宋体"/>
          <w:sz w:val="24"/>
        </w:rPr>
        <w:lastRenderedPageBreak/>
        <w:t>《基金法》、基金合同、本协议及其他有关规定时，应及时以书面形式通知基金托管人限期纠正。基金托管人收到通知后应在下一工作日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（2）基金托管人应安全保管基金财产。未经基金管理人依据合法程序作出的合法合规指令，基金托管人不得自行运用、处分、分配基金的任何财产。</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（3）基金托管人按照规定开设基金财产的资金账户、证券账户等投资所需账户、协助开立股指期货业务相关账户及交易编码。</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申购、投资产生的应收资产，应由基金管理人负责与有关当事人确定到账日期并通知基金托管人，到账日基金财产没有到达基金账户的，基金托管人应及时通知基金管理人采取措施进行催收。由此给基金财产造成损失的，基金托管人对此不承担任何责任。</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（1）基金募集期间的认购款项应存于专用账户。该账户由基金管理人或基金管理人委托的登记机构开立并管理。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募集到的属于基金财产的全部资金划入基金托管人为本基金开立的基金托管资金账户，同时在规定时间内，聘请符合《中华人民共和国证券法》规定的会计师事务所进行验资，出具验资报告。出具的验资报告由参加验资的2名或2名以上中国注册会计师签字方为有效。</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（3）若基金募集期限届满，未能达到基金备案的条件，由基金管理人按规定办理退款等事宜，基金托管人应提供充分协助。</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3、基金资金账户的开立和管理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（1）基金托管人应负责本基金的资金账户的开设和管理。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以本基金的名义在其营业机构开设本基金的资金账户，并根据基金管理人合法合规的指令办理资金收付。本基金的银行预留印鉴由基金托管人保管和使用。本基金的一切货币收支活动，包括但不限于投资、支付赎回金额、支付基金收益、收取申购款，均需通过本基金的资金账户进行。</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（3）基金托管资金账户的开立和使用，限于满足开展本基金业务的需要。基金托管人和基金管理人不得假借本基金的名义开立任何其他银行账户；亦不得使用基金的任何账户进行本基金业务以外的活动。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（4）基金托管资金账户的开立和管理应符合相关法律法规的有关规定。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（5）在符合法律法规规定的条件下，基金托管人可以通过基金托管人专用账户办理基金资产的支付。</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（1）基金托管人在中国证券登记结算有限责任公司上海分公司、深圳分公司为本基金开立基金托管人与基金联名的证券账户。</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（2）基金证券账户的开立和使用，限于满足开展本基金业务的需要。基金托管人和基金管理人不得出借或未经对方同意擅自转让基金的任何证券账户，亦不得使用基金的任何账户进行本基金业务以外的活动。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（3）基金托管人以自身法人名义在中国证券登记结算有限责任公司开立结算备付金账户，并代表所托管的基金完成与中国证券登记结算有限责任公司的一级法</w:t>
      </w:r>
      <w:r>
        <w:rPr>
          <w:rFonts w:ascii="宋体" w:hAnsi="宋体"/>
          <w:sz w:val="24"/>
        </w:rPr>
        <w:lastRenderedPageBreak/>
        <w:t>人清算工作，基金管理人应予以积极协助。结算备付金的收取按照中国证券登记结算有限责任公司的规定执行。</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（4）基金证券账户的开立和证券账户卡的保管由基金托管人负责，账户资产的管理和运用由基金管理人负责。</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本托管协议生效日之后，本基金被允许从事其他投资品种的投资业务，涉及相关账户的开设、使用的，按有关规定开设、使用并管理；若无相关规定，则基金托管人应当比照并遵守上述关于账户开设、使用的规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银行间市场清算所股份有限公司的有关规定，以本基金的名义在中央国债登记结算有限责任公司、银行间市场清算所股份有限公司开立债券托管与结算账户，并代表基金进行银行间市场债券的结算。基金管理人和基金托管人同时代表基金签订全国银行间债券市场债券回购主协议。</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（1）因业务发展需要而开立的其他账户，可以根据法律法规和基金合同的规定，在基金管理人和基金托管人商议后开立。新账户按有关规则使用并管理。</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（2）法律法规等有关规定对相关账户的开立和管理另有规定的，从其规定办理。7、基金财产投资的有关有价凭证等的保管</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定期存款存单等有价凭证由基金托管人负责妥善保管，保管凭证由基金托管人持有。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的证券不承担保管责任。</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有关的重大合同的原件分别由基金管理人、基金托管人保管。除协议另有规定外，基金管理人在代表基金签署与基金有关的重大合同时应保证基金一方持有两份以上的正本，以便基金管理人和基金托管人至少各持有一份正本的原件。重大合同的保管期限不低于法律法规规定的最低期限。</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（五）基金资产净值计算与复核</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1、基金资产净值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基金管理人于每工作日计算各类基金份额的基金资产净值及基金份额净值，并按规定公告，如遇特殊情况，经履行适当程序，可以适当延迟计算或公告。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每个工作日对基金资产估值。但基金管理人根据法律法规或基金合同的规定暂停估值时除外。基金管理人每个工作日对基金资产进行估值后，将各类基金份额净值结果发送基金托管人，经基金托管人复核无误后，由基金管理人依据基金合同和相关法律法规的规定对外公布。月末、年中和年末估值复核与基金会计账目的核对同时进行。</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（六）基金份额持有人名册的登记与保管</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基金管理人和基金托管人须分别妥善保管的基金份额持有人名册，包括基金合同生效日、基金合同终止日、基金权益登记日、基金份额持有人大会权益登记日、每年6月30日、12月31日的基金份额持有人名册。基金份额持有人名册的内容至少应包括持有人的名称和持有的基金份额。</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登记机构编制，由基金管理人审核并提交基金托管人保管。基金托管人有权要求基金管理人提供任意一个交易日或全部交易日的基金份额持有人名册，基金管理人应及时提供，不得拖延或拒绝提供。</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向基金托管人提交基金份额持有人名册。每年6月30日和12月31日的基金份额持有人名册应于下月前十个工作日内提交；基金合同生效日、基金合同终止日、基金份额持有人大会权益登记日等涉及到基金重要事项日期的基金份额持有人名册应于发生日后十个工作日内提交。</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应妥善保管基金份额持有人名册，保存期限不低于法律法规规定的最低期限。基金托管人不得将所保管的基金份额持有人名册用于基金托管业务以外的其他用途，并应遵守保密义务。若基金管理人或基金托管人由于自身原因无法妥善保管基金份额持有人名册，应按有关法规规定各自承担相应的责</w:t>
      </w:r>
      <w:r>
        <w:rPr>
          <w:rFonts w:ascii="宋体" w:hAnsi="宋体"/>
          <w:sz w:val="24"/>
        </w:rPr>
        <w:lastRenderedPageBreak/>
        <w:t>任。</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除非仲裁裁决另有规定，仲裁费由败诉方承担。</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本协议适用中华人民共和国法律（不含港澳台地区法律）并从其解释。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（八）托管协议的变更与终止</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本协议双方当事人经协商一致，可以对协议进行修改。修改后的新协议，其内容不得与基金合同的规定有任何冲突。基金托管协议的变更应报中国证监会备案。</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（4）发生法律法规、中国证监会或基金合同规定的其他终止事项。</w:t>
      </w:r>
    </w:p>
    <w:p w:rsidR="00B439CC" w:rsidRDefault="001874F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7468D" w:rsidRDefault="001874F8">
      <w:pPr>
        <w:pStyle w:val="1"/>
        <w:snapToGrid w:val="0"/>
        <w:spacing w:beforeLines="0" w:before="240" w:after="240"/>
        <w:rPr>
          <w:rFonts w:ascii="宋体" w:hAnsi="宋体"/>
          <w:szCs w:val="30"/>
        </w:rPr>
      </w:pPr>
      <w:bookmarkStart w:id="26" w:name="_Toc229473195"/>
      <w:r>
        <w:rPr>
          <w:rFonts w:ascii="Times New Roman" w:hAnsi="Times New Roman"/>
          <w:sz w:val="30"/>
        </w:rPr>
        <w:lastRenderedPageBreak/>
        <w:t>二十三、对基金份额持有人的服务</w:t>
      </w:r>
      <w:bookmarkEnd w:id="26"/>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每次交易结束后，可在T+2个工作日后通过销售机构的网点查询和打印确认单。</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本基金管理人将向持有人提供电子或纸质对账单，需要订阅或取消的客户可与本基金管理人客户服务中心（400-700-5000，021-61055000）联系。</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服务，个人投资者可以直接通过本基金管理人的网上直销交易平台办理开户和本基金的申购、赎回、转换、定期定额投资、转换等业务。通过网上直销交易平台办理本基金申购和定期定额投资业务的个人投资者将享受申购费率的优惠，其他费率标准不变。具体优惠费率请参见公司网站列示的网上直销交易平台申购、定期定额投资费率表或相关公告。基金网上直销交易平台已开通的银行卡及各银行卡交易金额限额请参阅本基金管理人网站。</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（四）基金红利再投资</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本基金收益分配时，基金份额持有人持有的基金份额可选择现金红利或选择红利再投将现金红利自动转为基金份额进行再投资，若投资人不选择，本基金默认的</w:t>
      </w:r>
      <w:r>
        <w:rPr>
          <w:rFonts w:ascii="宋体" w:hAnsi="宋体"/>
          <w:sz w:val="24"/>
        </w:rPr>
        <w:lastRenderedPageBreak/>
        <w:t>收益分配方式是现金分红。再投资红利按红利再投日（即除息日）除息后的基金份额净值自动转为基金份额，并免收申购费用。</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1874F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7468D" w:rsidRDefault="001874F8">
      <w:pPr>
        <w:pStyle w:val="1"/>
        <w:snapToGrid w:val="0"/>
        <w:spacing w:beforeLines="0" w:before="240" w:after="240"/>
        <w:rPr>
          <w:rFonts w:ascii="宋体" w:hAnsi="宋体"/>
          <w:szCs w:val="30"/>
        </w:rPr>
      </w:pPr>
      <w:bookmarkStart w:id="27" w:name="_Toc229473196"/>
      <w:r>
        <w:rPr>
          <w:rFonts w:ascii="Times New Roman" w:hAnsi="Times New Roman"/>
          <w:sz w:val="30"/>
        </w:rPr>
        <w:lastRenderedPageBreak/>
        <w:t>二十四、其他应披露事项</w:t>
      </w:r>
      <w:bookmarkEnd w:id="27"/>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交银施罗德鸿福六个月持有期混合型证券投资基金招募说明书更新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2024-12-27</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交银施罗德鸿福六个月持有期混合型证券投资基金（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2024-12-27</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交银施罗德鸿福六个月持有期混合型证券投资基金（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2024-12-27</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交银施罗德鸿福六个月持有期混合型证券投资基金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交银施罗德基金管理有限公司关于交银施罗德鸿福六个月持有期混合型证券投资基金基金经理变更公告</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2025-01-22</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交银施罗德基金管理有限公司关于交银施罗德鸿福六个月持有期混合型证券投资基金基金经理变更公告</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2025-01-24</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交银施罗德鸿福六个月持有期混合型证券投资基金招募说明书更新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2025-01-24</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交银施罗德鸿福六个月持有期混合型证券投资基金（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2025-01-24</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11</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交银施罗德鸿福六个月持有期混合型证券投资基金（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2025-01-24</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交银施罗德鸿福六个月持有期混合型证券投资基金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交银施罗德鸿福六个月持有期混合型证券投资基金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交银施罗德鸿福六个月持有期混合型证券投资基金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交银施罗德鸿福六个月持有期混合型证券投资基金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67468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交银施罗德鸿福六个月持有期混合型证券投资基金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7468D" w:rsidRDefault="001874F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bl>
    <w:p w:rsidR="00B439CC" w:rsidRDefault="001874F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7468D" w:rsidRDefault="001874F8">
      <w:pPr>
        <w:pStyle w:val="1"/>
        <w:snapToGrid w:val="0"/>
        <w:spacing w:beforeLines="0" w:before="240" w:after="240"/>
        <w:rPr>
          <w:rFonts w:ascii="宋体" w:hAnsi="宋体"/>
          <w:szCs w:val="30"/>
        </w:rPr>
      </w:pPr>
      <w:bookmarkStart w:id="28" w:name="_Toc229473197"/>
      <w:r>
        <w:rPr>
          <w:rFonts w:ascii="Times New Roman" w:hAnsi="Times New Roman"/>
          <w:sz w:val="30"/>
        </w:rPr>
        <w:lastRenderedPageBreak/>
        <w:t>二十五、招募说明书的存放及查阅方式</w:t>
      </w:r>
      <w:bookmarkEnd w:id="28"/>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1874F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7468D" w:rsidRDefault="001874F8">
      <w:pPr>
        <w:pStyle w:val="1"/>
        <w:snapToGrid w:val="0"/>
        <w:spacing w:beforeLines="0" w:before="240" w:after="240"/>
        <w:rPr>
          <w:rFonts w:ascii="宋体" w:hAnsi="宋体"/>
          <w:szCs w:val="30"/>
        </w:rPr>
      </w:pPr>
      <w:bookmarkStart w:id="29" w:name="_Toc229473198"/>
      <w:r>
        <w:rPr>
          <w:rFonts w:ascii="Times New Roman" w:hAnsi="Times New Roman"/>
          <w:sz w:val="30"/>
        </w:rPr>
        <w:lastRenderedPageBreak/>
        <w:t>二十六、备查文件</w:t>
      </w:r>
      <w:bookmarkEnd w:id="29"/>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（一）中国证监会准予交银施罗德鸿福六个月持有期混合型证券投资基金募集注册的文件</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（二）《交银施罗德鸿福六个月持有期混合型证券投资基金基金合同》</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（三）《交银施罗德鸿福六个月持有期混合型证券投资基金托管协议》</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67468D" w:rsidRDefault="001874F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（六）关于申请募集注册交银施罗德鸿福六个月持有期混合型证券投资基金的法律意见书</w:t>
      </w:r>
    </w:p>
    <w:sectPr w:rsidR="0067468D">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40D2" w:rsidRDefault="001874F8">
      <w:r>
        <w:separator/>
      </w:r>
    </w:p>
  </w:endnote>
  <w:endnote w:type="continuationSeparator" w:id="0">
    <w:p w:rsidR="001740D2" w:rsidRDefault="001874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468D" w:rsidRDefault="0067468D">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468D" w:rsidRDefault="000D1E6F">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67468D" w:rsidRDefault="001874F8">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0D1E6F">
                  <w:rPr>
                    <w:rFonts w:ascii="Times New Roman" w:hAnsi="Times New Roman"/>
                    <w:noProof/>
                    <w:kern w:val="0"/>
                    <w:sz w:val="18"/>
                    <w:szCs w:val="18"/>
                  </w:rPr>
                  <w:t>4</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468D" w:rsidRDefault="0067468D">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468D" w:rsidRDefault="000D1E6F">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67468D" w:rsidRDefault="001874F8">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0D1E6F">
                  <w:rPr>
                    <w:rFonts w:ascii="Times New Roman" w:hAnsi="Times New Roman"/>
                    <w:noProof/>
                    <w:kern w:val="0"/>
                    <w:sz w:val="18"/>
                    <w:szCs w:val="18"/>
                  </w:rPr>
                  <w:t>157</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40D2" w:rsidRDefault="001874F8">
      <w:r>
        <w:separator/>
      </w:r>
    </w:p>
  </w:footnote>
  <w:footnote w:type="continuationSeparator" w:id="0">
    <w:p w:rsidR="001740D2" w:rsidRDefault="001874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468D" w:rsidRDefault="0067468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468D" w:rsidRDefault="001874F8">
    <w:pPr>
      <w:pStyle w:val="a3"/>
      <w:jc w:val="right"/>
      <w:rPr>
        <w:rFonts w:ascii="宋体" w:hAnsi="宋体"/>
      </w:rPr>
    </w:pPr>
    <w:r>
      <w:rPr>
        <w:rFonts w:ascii="宋体" w:hAnsi="宋体" w:hint="eastAsia"/>
      </w:rPr>
      <w:t>交银施罗德鸿福六个月持有期混合型证券投资基金招募说明书更新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468D" w:rsidRDefault="0067468D">
    <w:pPr>
      <w:pStyle w:val="10"/>
      <w:jc w:val="right"/>
    </w:pPr>
  </w:p>
  <w:p w:rsidR="0067468D" w:rsidRDefault="0067468D">
    <w:pPr>
      <w:pStyle w:val="10"/>
      <w:jc w:val="right"/>
    </w:pPr>
  </w:p>
  <w:p w:rsidR="0067468D" w:rsidRDefault="0067468D">
    <w:pPr>
      <w:pStyle w:val="a3"/>
      <w:jc w:val="right"/>
    </w:pPr>
  </w:p>
  <w:p w:rsidR="0067468D" w:rsidRDefault="001874F8">
    <w:pPr>
      <w:pStyle w:val="a3"/>
      <w:jc w:val="right"/>
      <w:rPr>
        <w:rFonts w:ascii="宋体" w:hAnsi="宋体"/>
      </w:rPr>
    </w:pPr>
    <w:r>
      <w:rPr>
        <w:rFonts w:ascii="宋体" w:hAnsi="宋体" w:hint="eastAsia"/>
      </w:rPr>
      <w:t>交银施罗德鸿福六个月持有期混合型证券投资基金招募说明书更新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468D" w:rsidRDefault="0067468D">
    <w:pPr>
      <w:pStyle w:val="a3"/>
      <w:jc w:val="right"/>
    </w:pPr>
  </w:p>
  <w:p w:rsidR="0067468D" w:rsidRDefault="0067468D">
    <w:pPr>
      <w:pStyle w:val="a3"/>
      <w:jc w:val="right"/>
    </w:pPr>
  </w:p>
  <w:p w:rsidR="0067468D" w:rsidRDefault="0067468D">
    <w:pPr>
      <w:pStyle w:val="a3"/>
      <w:jc w:val="right"/>
    </w:pPr>
  </w:p>
  <w:p w:rsidR="0067468D" w:rsidRDefault="001874F8">
    <w:pPr>
      <w:pStyle w:val="a3"/>
      <w:jc w:val="right"/>
      <w:rPr>
        <w:rFonts w:ascii="宋体" w:hAnsi="宋体"/>
      </w:rPr>
    </w:pPr>
    <w:r>
      <w:rPr>
        <w:rFonts w:ascii="宋体" w:hAnsi="宋体" w:hint="eastAsia"/>
      </w:rPr>
      <w:t>交银施罗德鸿福六个月持有期混合型证券投资基金招募说明书更新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1E6F"/>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740D2"/>
    <w:rsid w:val="0018184C"/>
    <w:rsid w:val="0018198F"/>
    <w:rsid w:val="00181C62"/>
    <w:rsid w:val="00183642"/>
    <w:rsid w:val="001860C4"/>
    <w:rsid w:val="00186FAE"/>
    <w:rsid w:val="001874F8"/>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468D"/>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F463EB8E-FD92-4AE7-9ED9-3E05AC476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158</Pages>
  <Words>16520</Words>
  <Characters>94169</Characters>
  <Application>Microsoft Office Word</Application>
  <DocSecurity>0</DocSecurity>
  <Lines>784</Lines>
  <Paragraphs>220</Paragraphs>
  <ScaleCrop>false</ScaleCrop>
  <Company>Microsoft</Company>
  <LinksUpToDate>false</LinksUpToDate>
  <CharactersWithSpaces>110469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2026-05-12T02:12:00Z</dcterms:created>
  <dcterms:modified xsi:type="dcterms:W3CDTF">2026-05-12T02:12:00Z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