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交银施罗德新回报灵活配置混合型证券投资基金（A类份额）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交银新回报灵活配置混合A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2015-05-15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结合基金管理人对宏观经济周期和金融市场运行趋势的判断，自上而下进行宏观分析，自下而上精选投资标的，通过灵活的资产配置策略和积极主动的投资管理，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详见《交银施罗德新回报灵活配置混合型证券投资基金招募说明书》第十部分“基金的投资”。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6F5B1E"/>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9A421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738</Words>
  <Characters>4209</Characters>
  <Lines>35</Lines>
  <Paragraphs>9</Paragraphs>
  <TotalTime>7</TotalTime>
  <ScaleCrop>false</ScaleCrop>
  <LinksUpToDate>false</LinksUpToDate>
  <CharactersWithSpaces>4938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2026-04-28T09:44:00Z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8D667ED19B3F439B9B3C46FF58F51DF4</vt:lpwstr>
  </property>
</Properties>
</file>