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881B8A">
      <w:pPr>
        <w:rPr>
          <w:sz w:val="32"/>
        </w:rPr>
      </w:pPr>
    </w:p>
    <w:p w:rsidR="00C92FC0" w:rsidRPr="00EB07BC" w:rsidRDefault="00881B8A">
      <w:pPr>
        <w:rPr>
          <w:sz w:val="32"/>
        </w:rPr>
      </w:pPr>
    </w:p>
    <w:p w:rsidR="00C92FC0" w:rsidRPr="00EB07BC" w:rsidRDefault="00881B8A">
      <w:pPr>
        <w:rPr>
          <w:sz w:val="32"/>
        </w:rPr>
      </w:pPr>
    </w:p>
    <w:p w:rsidR="00910011" w:rsidRDefault="0091001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10011" w:rsidRDefault="0091001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10011" w:rsidRDefault="0091001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10011" w:rsidRDefault="00E0625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交银施罗德优择回报灵活配置混合型证券投资基金</w:t>
      </w:r>
    </w:p>
    <w:p w:rsidR="00910011" w:rsidRDefault="00E0625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10011" w:rsidRDefault="00910011">
      <w:pPr>
        <w:snapToGrid w:val="0"/>
        <w:spacing w:line="360" w:lineRule="auto"/>
        <w:jc w:val="center"/>
        <w:rPr>
          <w:rFonts w:ascii="宋体" w:hAnsi="宋体"/>
          <w:b/>
          <w:sz w:val="30"/>
          <w:szCs w:val="30"/>
        </w:rPr>
      </w:pP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E0625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10011" w:rsidRDefault="00E0625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91001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10011" w:rsidRDefault="00E0625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910011" w:rsidRDefault="00910011">
      <w:pPr>
        <w:autoSpaceDE w:val="0"/>
        <w:autoSpaceDN w:val="0"/>
        <w:adjustRightInd w:val="0"/>
        <w:snapToGrid w:val="0"/>
        <w:spacing w:line="360" w:lineRule="auto"/>
        <w:ind w:left="1347" w:rightChars="6" w:right="13"/>
        <w:rPr>
          <w:rFonts w:ascii="宋体" w:hAnsi="宋体"/>
          <w:kern w:val="0"/>
          <w:sz w:val="32"/>
          <w:szCs w:val="32"/>
        </w:rPr>
        <w:sectPr w:rsidR="00910011">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910011" w:rsidRDefault="00E06259">
      <w:pPr>
        <w:pStyle w:val="1"/>
        <w:snapToGrid w:val="0"/>
        <w:spacing w:beforeLines="0" w:before="240" w:after="240"/>
        <w:rPr>
          <w:rFonts w:ascii="宋体" w:hAnsi="宋体"/>
          <w:kern w:val="0"/>
        </w:rPr>
      </w:pPr>
      <w:bookmarkStart w:id="0" w:name="_Toc324920538"/>
      <w:bookmarkStart w:id="1" w:name="_Toc496884613"/>
      <w:bookmarkStart w:id="2" w:name="_Toc228201054"/>
      <w:r>
        <w:rPr>
          <w:rFonts w:ascii="Times New Roman" w:hAnsi="Times New Roman"/>
          <w:kern w:val="0"/>
        </w:rPr>
        <w:lastRenderedPageBreak/>
        <w:t>重要提示</w:t>
      </w:r>
      <w:bookmarkEnd w:id="0"/>
      <w:bookmarkEnd w:id="1"/>
      <w:bookmarkEnd w:id="2"/>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交银施罗德优择回报灵活配置混合型证券投资基金（以下简称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393</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w:t>
      </w:r>
      <w:r>
        <w:rPr>
          <w:rFonts w:ascii="Times New Roman" w:hAnsi="Times New Roman"/>
          <w:kern w:val="0"/>
          <w:sz w:val="24"/>
        </w:rPr>
        <w:lastRenderedPageBreak/>
        <w:t>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910011" w:rsidRDefault="00E0625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910011" w:rsidRDefault="00910011">
      <w:pPr>
        <w:autoSpaceDE w:val="0"/>
        <w:autoSpaceDN w:val="0"/>
        <w:adjustRightInd w:val="0"/>
        <w:snapToGrid w:val="0"/>
        <w:spacing w:before="51" w:line="360" w:lineRule="auto"/>
        <w:ind w:left="120" w:rightChars="6" w:right="13" w:firstLine="480"/>
        <w:rPr>
          <w:rFonts w:ascii="宋体" w:hAnsi="宋体"/>
          <w:kern w:val="0"/>
          <w:szCs w:val="24"/>
        </w:rPr>
        <w:sectPr w:rsidR="00910011">
          <w:headerReference w:type="default" r:id="rId14"/>
          <w:pgSz w:w="11920" w:h="16840"/>
          <w:pgMar w:top="1440" w:right="1680" w:bottom="280" w:left="1680" w:header="0" w:footer="1073" w:gutter="0"/>
          <w:pgNumType w:start="1"/>
          <w:cols w:space="720"/>
        </w:sectPr>
      </w:pPr>
    </w:p>
    <w:p w:rsidR="00881B8A" w:rsidRPr="00881B8A" w:rsidRDefault="00E06259" w:rsidP="00881B8A">
      <w:pPr>
        <w:pStyle w:val="ad"/>
        <w:snapToGrid w:val="0"/>
        <w:spacing w:after="240" w:line="360" w:lineRule="auto"/>
        <w:jc w:val="center"/>
        <w:rPr>
          <w:rFonts w:ascii="宋体" w:hAnsi="宋体"/>
          <w:noProof/>
          <w:sz w:val="24"/>
        </w:rPr>
      </w:pPr>
      <w:r w:rsidRPr="00881B8A">
        <w:rPr>
          <w:rFonts w:ascii="宋体" w:hAnsi="宋体"/>
          <w:color w:val="000000"/>
          <w:position w:val="-4"/>
          <w:sz w:val="24"/>
          <w:szCs w:val="30"/>
        </w:rPr>
        <w:lastRenderedPageBreak/>
        <w:t>目</w:t>
      </w:r>
      <w:r w:rsidRPr="00881B8A">
        <w:rPr>
          <w:rFonts w:ascii="宋体" w:hAnsi="宋体"/>
          <w:color w:val="000000"/>
          <w:position w:val="-4"/>
          <w:sz w:val="24"/>
          <w:szCs w:val="30"/>
        </w:rPr>
        <w:tab/>
        <w:t>录</w:t>
      </w:r>
      <w:r w:rsidR="00881B8A" w:rsidRPr="00881B8A">
        <w:rPr>
          <w:rFonts w:ascii="宋体" w:hAnsi="宋体"/>
          <w:color w:val="000000"/>
          <w:position w:val="-4"/>
          <w:sz w:val="24"/>
          <w:szCs w:val="30"/>
        </w:rPr>
        <w:fldChar w:fldCharType="begin"/>
      </w:r>
      <w:r w:rsidR="00881B8A" w:rsidRPr="00881B8A">
        <w:rPr>
          <w:rFonts w:ascii="宋体" w:hAnsi="宋体"/>
          <w:color w:val="000000"/>
          <w:position w:val="-4"/>
          <w:sz w:val="24"/>
          <w:szCs w:val="30"/>
        </w:rPr>
        <w:instrText xml:space="preserve"> TOC \o "1-3" \f - \h \t "-1" </w:instrText>
      </w:r>
      <w:r w:rsidR="00881B8A" w:rsidRPr="00881B8A">
        <w:rPr>
          <w:rFonts w:ascii="宋体" w:hAnsi="宋体"/>
          <w:color w:val="000000"/>
          <w:position w:val="-4"/>
          <w:sz w:val="24"/>
          <w:szCs w:val="30"/>
        </w:rPr>
        <w:fldChar w:fldCharType="separate"/>
      </w:r>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54" w:history="1">
        <w:r w:rsidRPr="00881B8A">
          <w:rPr>
            <w:rStyle w:val="aa"/>
            <w:rFonts w:ascii="宋体" w:hAnsi="宋体" w:hint="eastAsia"/>
            <w:noProof/>
            <w:kern w:val="0"/>
            <w:sz w:val="24"/>
          </w:rPr>
          <w:t>重要提示</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_Toc228201054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55" w:history="1">
        <w:r w:rsidRPr="00881B8A">
          <w:rPr>
            <w:rStyle w:val="aa"/>
            <w:rFonts w:ascii="宋体" w:hAnsi="宋体" w:hint="eastAsia"/>
            <w:noProof/>
            <w:sz w:val="24"/>
          </w:rPr>
          <w:t>一、绪言</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_Toc228201055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4</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56" w:history="1">
        <w:r w:rsidRPr="00881B8A">
          <w:rPr>
            <w:rStyle w:val="aa"/>
            <w:rFonts w:ascii="宋体" w:hAnsi="宋体" w:hint="eastAsia"/>
            <w:noProof/>
            <w:sz w:val="24"/>
          </w:rPr>
          <w:t>二、释义</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_Toc228201056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5</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57" w:history="1">
        <w:r w:rsidRPr="00881B8A">
          <w:rPr>
            <w:rStyle w:val="aa"/>
            <w:rFonts w:ascii="宋体" w:hAnsi="宋体" w:hint="eastAsia"/>
            <w:noProof/>
            <w:sz w:val="24"/>
          </w:rPr>
          <w:t>三、基金管理人</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_Toc228201057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10</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58" w:history="1">
        <w:r w:rsidRPr="00881B8A">
          <w:rPr>
            <w:rStyle w:val="aa"/>
            <w:rFonts w:ascii="宋体" w:hAnsi="宋体" w:hint="eastAsia"/>
            <w:noProof/>
            <w:sz w:val="24"/>
          </w:rPr>
          <w:t>四、基金托管人</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_Toc228201058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17</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59" w:history="1">
        <w:r w:rsidRPr="00881B8A">
          <w:rPr>
            <w:rStyle w:val="aa"/>
            <w:rFonts w:ascii="宋体" w:hAnsi="宋体" w:hint="eastAsia"/>
            <w:noProof/>
            <w:sz w:val="24"/>
          </w:rPr>
          <w:t>五、相关服务机构</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_Toc228201059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21</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0" w:history="1">
        <w:r w:rsidRPr="00881B8A">
          <w:rPr>
            <w:rStyle w:val="aa"/>
            <w:rFonts w:ascii="宋体" w:hAnsi="宋体" w:hint="eastAsia"/>
            <w:noProof/>
            <w:sz w:val="24"/>
          </w:rPr>
          <w:t>六、基金的募集</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_Toc228201060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39</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1" w:history="1">
        <w:r w:rsidRPr="00881B8A">
          <w:rPr>
            <w:rStyle w:val="aa"/>
            <w:rFonts w:ascii="宋体" w:hAnsi="宋体" w:hint="eastAsia"/>
            <w:noProof/>
            <w:sz w:val="24"/>
          </w:rPr>
          <w:t>七、基金合同的生效</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_Toc228201061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40</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2" w:history="1">
        <w:r w:rsidRPr="00881B8A">
          <w:rPr>
            <w:rStyle w:val="aa"/>
            <w:rFonts w:ascii="宋体" w:hAnsi="宋体" w:hint="eastAsia"/>
            <w:noProof/>
            <w:sz w:val="24"/>
          </w:rPr>
          <w:t>八、基金份额的申购与赎回</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_Toc228201062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41</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3" w:history="1">
        <w:r w:rsidRPr="00881B8A">
          <w:rPr>
            <w:rStyle w:val="aa"/>
            <w:rFonts w:ascii="宋体" w:hAnsi="宋体" w:hint="eastAsia"/>
            <w:noProof/>
            <w:sz w:val="24"/>
          </w:rPr>
          <w:t>九、基金的转换</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_Toc228201063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55</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4" w:history="1">
        <w:r w:rsidRPr="00881B8A">
          <w:rPr>
            <w:rStyle w:val="aa"/>
            <w:rFonts w:ascii="宋体" w:hAnsi="宋体" w:hint="eastAsia"/>
            <w:noProof/>
            <w:sz w:val="24"/>
          </w:rPr>
          <w:t>十、基金的投资</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_Toc228201064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62</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5" w:history="1">
        <w:r w:rsidRPr="00881B8A">
          <w:rPr>
            <w:rStyle w:val="aa"/>
            <w:rFonts w:ascii="宋体" w:hAnsi="宋体" w:hint="eastAsia"/>
            <w:noProof/>
            <w:sz w:val="24"/>
          </w:rPr>
          <w:t>十一、基金的业绩</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_Toc228201065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75</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6" w:history="1">
        <w:r w:rsidRPr="00881B8A">
          <w:rPr>
            <w:rStyle w:val="aa"/>
            <w:rFonts w:ascii="宋体" w:hAnsi="宋体" w:hint="eastAsia"/>
            <w:noProof/>
            <w:sz w:val="24"/>
          </w:rPr>
          <w:t>十二、基金的财产</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_Toc228201066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78</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7" w:history="1">
        <w:r w:rsidRPr="00881B8A">
          <w:rPr>
            <w:rStyle w:val="aa"/>
            <w:rFonts w:ascii="宋体" w:hAnsi="宋体" w:hint="eastAsia"/>
            <w:noProof/>
            <w:sz w:val="24"/>
          </w:rPr>
          <w:t>十三、基金资产的估值</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_Toc228201067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79</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8" w:history="1">
        <w:r w:rsidRPr="00881B8A">
          <w:rPr>
            <w:rStyle w:val="aa"/>
            <w:rFonts w:ascii="宋体" w:hAnsi="宋体" w:hint="eastAsia"/>
            <w:noProof/>
            <w:sz w:val="24"/>
          </w:rPr>
          <w:t>十四、基金收益与分配</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_Toc228201068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84</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69" w:history="1">
        <w:r w:rsidRPr="00881B8A">
          <w:rPr>
            <w:rStyle w:val="aa"/>
            <w:rFonts w:ascii="宋体" w:hAnsi="宋体" w:hint="eastAsia"/>
            <w:noProof/>
            <w:sz w:val="24"/>
          </w:rPr>
          <w:t>十五、基金的费用与税收</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_Toc228201069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86</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0" w:history="1">
        <w:r w:rsidRPr="00881B8A">
          <w:rPr>
            <w:rStyle w:val="aa"/>
            <w:rFonts w:ascii="宋体" w:hAnsi="宋体" w:hint="eastAsia"/>
            <w:noProof/>
            <w:sz w:val="24"/>
          </w:rPr>
          <w:t>十六、基金的会计与审计</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_Toc228201070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89</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1" w:history="1">
        <w:r w:rsidRPr="00881B8A">
          <w:rPr>
            <w:rStyle w:val="aa"/>
            <w:rFonts w:ascii="宋体" w:hAnsi="宋体" w:hint="eastAsia"/>
            <w:noProof/>
            <w:sz w:val="24"/>
          </w:rPr>
          <w:t>十七、基金的信息披露</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_Toc228201071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90</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2" w:history="1">
        <w:r w:rsidRPr="00881B8A">
          <w:rPr>
            <w:rStyle w:val="aa"/>
            <w:rFonts w:ascii="宋体" w:hAnsi="宋体" w:hint="eastAsia"/>
            <w:noProof/>
            <w:sz w:val="24"/>
          </w:rPr>
          <w:t>十八、风险揭示</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_Toc228201072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96</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3" w:history="1">
        <w:r w:rsidRPr="00881B8A">
          <w:rPr>
            <w:rStyle w:val="aa"/>
            <w:rFonts w:ascii="宋体" w:hAnsi="宋体" w:hint="eastAsia"/>
            <w:noProof/>
            <w:sz w:val="24"/>
          </w:rPr>
          <w:t>十九、基金合同的变更、终止与基金财产的清算</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_Toc228201073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103</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4" w:history="1">
        <w:r w:rsidRPr="00881B8A">
          <w:rPr>
            <w:rStyle w:val="aa"/>
            <w:rFonts w:ascii="宋体" w:hAnsi="宋体" w:hint="eastAsia"/>
            <w:noProof/>
            <w:sz w:val="24"/>
          </w:rPr>
          <w:t>二十、基金合同内容摘要</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_Toc228201074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105</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5" w:history="1">
        <w:r w:rsidRPr="00881B8A">
          <w:rPr>
            <w:rStyle w:val="aa"/>
            <w:rFonts w:ascii="宋体" w:hAnsi="宋体" w:hint="eastAsia"/>
            <w:noProof/>
            <w:sz w:val="24"/>
          </w:rPr>
          <w:t>二十一、托管协议的内容摘要</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_Toc228201075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121</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6" w:history="1">
        <w:r w:rsidRPr="00881B8A">
          <w:rPr>
            <w:rStyle w:val="aa"/>
            <w:rFonts w:ascii="宋体" w:hAnsi="宋体" w:hint="eastAsia"/>
            <w:noProof/>
            <w:sz w:val="24"/>
          </w:rPr>
          <w:t>二十二、对基金份额持有人的服务</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_Toc228201076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139</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7" w:history="1">
        <w:r w:rsidRPr="00881B8A">
          <w:rPr>
            <w:rStyle w:val="aa"/>
            <w:rFonts w:ascii="宋体" w:hAnsi="宋体" w:hint="eastAsia"/>
            <w:noProof/>
            <w:sz w:val="24"/>
          </w:rPr>
          <w:t>二十三、其他应披露事项</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_Toc228201077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141</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8" w:history="1">
        <w:r w:rsidRPr="00881B8A">
          <w:rPr>
            <w:rStyle w:val="aa"/>
            <w:rFonts w:ascii="宋体" w:hAnsi="宋体" w:hint="eastAsia"/>
            <w:noProof/>
            <w:sz w:val="24"/>
          </w:rPr>
          <w:t>二十四、招募说明书的存放及查阅方式</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_Toc228201078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143</w:t>
        </w:r>
        <w:r w:rsidRPr="00881B8A">
          <w:rPr>
            <w:rFonts w:ascii="宋体" w:hAnsi="宋体"/>
            <w:noProof/>
            <w:sz w:val="24"/>
          </w:rPr>
          <w:fldChar w:fldCharType="end"/>
        </w:r>
      </w:hyperlink>
    </w:p>
    <w:p w:rsidR="00881B8A" w:rsidRPr="00881B8A" w:rsidRDefault="00881B8A" w:rsidP="00881B8A">
      <w:pPr>
        <w:pStyle w:val="10"/>
        <w:tabs>
          <w:tab w:val="right" w:leader="dot" w:pos="8550"/>
        </w:tabs>
        <w:spacing w:line="360" w:lineRule="auto"/>
        <w:rPr>
          <w:rFonts w:ascii="宋体" w:hAnsi="宋体" w:cstheme="minorBidi"/>
          <w:noProof/>
          <w:sz w:val="24"/>
        </w:rPr>
      </w:pPr>
      <w:hyperlink w:anchor="_Toc228201079" w:history="1">
        <w:r w:rsidRPr="00881B8A">
          <w:rPr>
            <w:rStyle w:val="aa"/>
            <w:rFonts w:ascii="宋体" w:hAnsi="宋体" w:hint="eastAsia"/>
            <w:noProof/>
            <w:sz w:val="24"/>
          </w:rPr>
          <w:t>二十五、备查文件</w:t>
        </w:r>
        <w:r w:rsidRPr="00881B8A">
          <w:rPr>
            <w:rFonts w:ascii="宋体" w:hAnsi="宋体"/>
            <w:noProof/>
            <w:sz w:val="24"/>
          </w:rPr>
          <w:tab/>
        </w:r>
        <w:r w:rsidRPr="00881B8A">
          <w:rPr>
            <w:rFonts w:ascii="宋体" w:hAnsi="宋体"/>
            <w:noProof/>
            <w:sz w:val="24"/>
          </w:rPr>
          <w:fldChar w:fldCharType="begin"/>
        </w:r>
        <w:r w:rsidRPr="00881B8A">
          <w:rPr>
            <w:rFonts w:ascii="宋体" w:hAnsi="宋体"/>
            <w:noProof/>
            <w:sz w:val="24"/>
          </w:rPr>
          <w:instrText xml:space="preserve"> PAGEREF _Toc228201079 \h </w:instrText>
        </w:r>
        <w:r w:rsidRPr="00881B8A">
          <w:rPr>
            <w:rFonts w:ascii="宋体" w:hAnsi="宋体"/>
            <w:noProof/>
            <w:sz w:val="24"/>
          </w:rPr>
        </w:r>
        <w:r w:rsidRPr="00881B8A">
          <w:rPr>
            <w:rFonts w:ascii="宋体" w:hAnsi="宋体"/>
            <w:noProof/>
            <w:sz w:val="24"/>
          </w:rPr>
          <w:fldChar w:fldCharType="separate"/>
        </w:r>
        <w:r w:rsidRPr="00881B8A">
          <w:rPr>
            <w:rFonts w:ascii="宋体" w:hAnsi="宋体"/>
            <w:noProof/>
            <w:sz w:val="24"/>
          </w:rPr>
          <w:t>144</w:t>
        </w:r>
        <w:r w:rsidRPr="00881B8A">
          <w:rPr>
            <w:rFonts w:ascii="宋体" w:hAnsi="宋体"/>
            <w:noProof/>
            <w:sz w:val="24"/>
          </w:rPr>
          <w:fldChar w:fldCharType="end"/>
        </w:r>
      </w:hyperlink>
    </w:p>
    <w:p w:rsidR="00910011" w:rsidRPr="00881B8A" w:rsidRDefault="00881B8A" w:rsidP="00881B8A">
      <w:pPr>
        <w:pStyle w:val="ad"/>
        <w:snapToGrid w:val="0"/>
        <w:spacing w:after="240" w:line="360" w:lineRule="auto"/>
        <w:jc w:val="center"/>
        <w:rPr>
          <w:rFonts w:ascii="宋体" w:hAnsi="宋体"/>
          <w:color w:val="000000"/>
          <w:sz w:val="24"/>
        </w:rPr>
      </w:pPr>
      <w:r w:rsidRPr="00881B8A">
        <w:rPr>
          <w:rFonts w:ascii="宋体" w:hAnsi="宋体"/>
          <w:color w:val="000000"/>
          <w:position w:val="-4"/>
          <w:sz w:val="24"/>
          <w:szCs w:val="30"/>
        </w:rPr>
        <w:fldChar w:fldCharType="end"/>
      </w:r>
      <w:bookmarkStart w:id="3" w:name="_GoBack"/>
      <w:bookmarkEnd w:id="3"/>
    </w:p>
    <w:p w:rsidR="00910011" w:rsidRDefault="00910011">
      <w:pPr>
        <w:autoSpaceDE w:val="0"/>
        <w:autoSpaceDN w:val="0"/>
        <w:adjustRightInd w:val="0"/>
        <w:snapToGrid w:val="0"/>
        <w:spacing w:line="360" w:lineRule="auto"/>
        <w:ind w:left="120" w:rightChars="6" w:right="13"/>
        <w:rPr>
          <w:rFonts w:ascii="宋体" w:hAnsi="宋体"/>
          <w:kern w:val="0"/>
          <w:szCs w:val="24"/>
        </w:rPr>
        <w:sectPr w:rsidR="00910011">
          <w:pgSz w:w="11920" w:h="16840"/>
          <w:pgMar w:top="1480" w:right="1680" w:bottom="280" w:left="1680" w:header="0" w:footer="1073" w:gutter="0"/>
          <w:cols w:space="720"/>
        </w:sectPr>
      </w:pPr>
    </w:p>
    <w:p w:rsidR="00910011" w:rsidRDefault="00E06259">
      <w:pPr>
        <w:pStyle w:val="1"/>
        <w:snapToGrid w:val="0"/>
        <w:spacing w:beforeLines="0" w:before="240" w:after="240"/>
        <w:rPr>
          <w:rFonts w:ascii="宋体" w:hAnsi="宋体"/>
          <w:szCs w:val="30"/>
        </w:rPr>
      </w:pPr>
      <w:bookmarkStart w:id="4" w:name="_Toc228201055"/>
      <w:r>
        <w:rPr>
          <w:rFonts w:ascii="Times New Roman" w:hAnsi="Times New Roman"/>
          <w:sz w:val="30"/>
        </w:rPr>
        <w:lastRenderedPageBreak/>
        <w:t>一、绪言</w:t>
      </w:r>
      <w:bookmarkEnd w:id="4"/>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优择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优择回报灵活配置混合型证券投资基金基金合同》（以下简称“基金合同”）编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5" w:name="_Toc228201056"/>
      <w:r>
        <w:rPr>
          <w:rFonts w:ascii="Times New Roman" w:hAnsi="Times New Roman"/>
          <w:sz w:val="30"/>
        </w:rPr>
        <w:lastRenderedPageBreak/>
        <w:t>二、释义</w:t>
      </w:r>
      <w:bookmarkEnd w:id="5"/>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1、基金或本基金：指交银施罗德优择回报灵活配置混合型证券投资基金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4、基金合同或《基金合同》：指《交银施罗德优择回报灵活配置混合型证券投资基金基金合同》及对基金合同的任何有效修订和补充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5、托管协议：指基金管理人与基金托管人就本基金签订之《交银施罗德优择回报灵活配置混合型证券投资基金托管协议》及对该托管协议的任何有效修订和补充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6、招募说明书、《招募说明书》或本招募说明书：指《交银施罗德优择回报灵活配置混合型证券投资基金招募说明书》及其更新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7、基金份额发售公告：指《交银施罗德优择回报灵活配置混合型证券投资基金基金份额发售公告》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8、基金产品资料概要：指《交银施罗德优择回报灵活配置混合型证券投资基金基金产品资料概要》及其更新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44、基金份额类别：指本基金根据认购/申购费用、赎回费用及销售服务费收</w:t>
      </w:r>
      <w:r>
        <w:rPr>
          <w:rFonts w:ascii="宋体" w:hAnsi="宋体"/>
          <w:sz w:val="24"/>
        </w:rPr>
        <w:lastRenderedPageBreak/>
        <w:t>取方式的不同，将基金份额分为不同的类别。两类基金份额分设不同的基金代码，并分别公布基金份额净值和基金资产净值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45、A类基金份额：指对投资者收取认购/申购费用、赎回时收取赎回费用的，且不从本类别基金资产中计提销售服务费的基金份额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46、C类基金份额：指对投资者不收取认购/申购费用、赎回时收取赎回费用的，且从本类别基金资产中计提销售服务费的基金份额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53、基金资产总值：指基金拥有的各类有价证券、股指期货合约、银行存款本息、基金应收申购款及其他资产的价值总和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6" w:name="_Toc228201057"/>
      <w:r>
        <w:rPr>
          <w:rFonts w:ascii="Times New Roman" w:hAnsi="Times New Roman"/>
          <w:sz w:val="30"/>
        </w:rPr>
        <w:lastRenderedPageBreak/>
        <w:t>三、基金管理人</w:t>
      </w:r>
      <w:bookmarkEnd w:id="6"/>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珊珊女士:基金经理。北京大学软件工程硕士、厦门大学经济学学士。18年证券投资行业从业经验。2008年至2012年任华安基金管理有限公司交易员，2012年至2016年任银河基金管理有限公司基金经理，2016年任国金基金管理有限公司投资经理。2016年加入交银施罗德基金管理有限公司，曾任专户投资部投资经理、混合资产投资部混合资产投资助理总监，现任权益部三级专家、基金经理。曾任交银施罗德稳固收益债券型证券投资基金(2022年04月21日至2024年12月27日)、交银施罗德稳进丰利六个月持有期混合型证券投资基金(2023年06月21日至2024年11月23日)的基金经理。现任交银施罗德优择回报灵活配置混合型证券投资基金(2024年12月10日至今)、交银施罗德启明混合型证券投资基金(2025年09月15日至今)的基金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李娜女士(2016年04月22日至2020年12月18日)；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王艺伟女士(2020年07月09日至2024年12月07日)；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姜承操女士(2024年12月06日至2025年12月27日)。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2、办理基金备案手续；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4、基金管理人承诺加强人员管理，强化职业操守，督促和约束员工遵守国家有关法律法规及行业规范，诚实信用、勤勉尽责；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w:t>
      </w:r>
      <w:r>
        <w:rPr>
          <w:rFonts w:ascii="宋体" w:hAnsi="宋体"/>
          <w:sz w:val="24"/>
        </w:rPr>
        <w:lastRenderedPageBreak/>
        <w:t>责监察公司的风险管理措施的执行。具体而言，包括如下组成部分：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（8）业务部门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7" w:name="_Toc228201058"/>
      <w:r>
        <w:rPr>
          <w:rFonts w:ascii="Times New Roman" w:hAnsi="Times New Roman"/>
          <w:sz w:val="30"/>
        </w:rPr>
        <w:lastRenderedPageBreak/>
        <w:t>四、基金托管人</w:t>
      </w:r>
      <w:bookmarkEnd w:id="7"/>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8" w:name="_Toc228201059"/>
      <w:r>
        <w:rPr>
          <w:rFonts w:ascii="Times New Roman" w:hAnsi="Times New Roman"/>
          <w:sz w:val="30"/>
        </w:rPr>
        <w:lastRenderedPageBreak/>
        <w:t>五、相关服务机构</w:t>
      </w:r>
      <w:bookmarkEnd w:id="8"/>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（4）名称：中国邮政储蓄银行股份有限公司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（5）名称：兴业银行股份有限公司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联系电话：021-52629999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（6）名称：中信建投证券股份有限公司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（7）名称：华西证券股份有限公司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（8）名称：申万宏源证券有限公司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（9）名称：申万宏源西部证券有限公司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办公地址：北京市西城区太平桥大街19号宏源证券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（10）名称：国金证券股份有限公司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（11）名称：华宝证券股份有限公司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（12）名称：中信证券（山东）有限责任公司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传真：0532-85022605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（14）名称：中信证券华南股份有限公司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（15）名称：国泰海通证券股份有限公司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（16）名称：海通证券股份有限公司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住所：上海市淮海中路98号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（17）名称：长江证券股份有限公司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（18）名称：华泰证券股份有限公司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（19）名称：招商证券股份有限公司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电话：（0755）82943666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（20）名称：中国银河证券股份有限公司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（21）名称：西部证券股份有限公司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（22）名称：中国中金财富证券有限公司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（23）名称：上海联泰基金销售有限公司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（24）名称：上海大智慧基金销售有限公司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（25）名称：珠海盈米基金销售有限公司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（26）名称：南京苏宁基金销售有限公司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（27）名称：北京雪球基金销售有限公司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（28）名称：上海天天基金销售有限公司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（29）名称：上海基煜基金销售有限公司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传真：（021）55085991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（30）名称：北京度小满基金销售有限公司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（31）名称：中国人寿保险股份有限公司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（32）名称：上海利得基金销售有限公司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（33）名称：上海长量基金销售有限公司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办公地址：上海市浦东新区浦东大道555号裕景国际B座16层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（34）名称：北京创金启富基金销售有限公司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（35）名称：浙江同花顺基金销售有限公司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（36）名称：腾安基金销售（深圳）有限公司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电话：95017（拨通后转1转8）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（37）名称：济安财富（北京）基金销售有限公司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（38）名称：大连网金基金销售有限公司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（39）名称：上海好买基金销售有限公司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（40）名称：博时财富基金销售有限公司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（41）名称：北京汇成基金销售有限公司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（42）名称：诺亚正行基金销售有限公司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（43）名称：嘉实财富管理有限公司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办公地址及其联系方式：北京市朝阳区建国门外大街21号北京国际俱乐部C座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（44）名称：京东肯特瑞基金销售有限公司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（45）名称：泛华普益基金销售有限公司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（46）名称：和耕传承基金销售有限公司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（47）名称：上海中欧财富基金销售有限公司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（48）名称：深圳众禄基金销售股份有限公司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（49）名称：深圳前海微众银行股份有限公司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联系人：白冰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（50）名称：中信期货有限公司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（51）名称：北京新浪仓石基金销售有限公司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（52）名称：蚂蚁（杭州）基金销售有限公司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经办注册会计师：王国蓓、侯雯</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9" w:name="_Toc228201060"/>
      <w:r>
        <w:rPr>
          <w:rFonts w:ascii="Times New Roman" w:hAnsi="Times New Roman"/>
          <w:sz w:val="30"/>
        </w:rPr>
        <w:lastRenderedPageBreak/>
        <w:t>六、基金的募集</w:t>
      </w:r>
      <w:bookmarkEnd w:id="9"/>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本基金由基金管理人依照《基金法》、《运作办法》、《销售办法》、基金合同及其他有关规定，并经中国证监会2016年3月1日证监许可[2016]393号文准予募集注册。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本基金自2016年4月15日至2016年 4月19日进行发售，本基金设立募集期共募集500,085,413.82份基金份额，有效认购户数为258户。</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0" w:name="_Toc228201061"/>
      <w:r>
        <w:rPr>
          <w:rFonts w:ascii="Times New Roman" w:hAnsi="Times New Roman"/>
          <w:sz w:val="30"/>
        </w:rPr>
        <w:lastRenderedPageBreak/>
        <w:t>七、基金合同的生效</w:t>
      </w:r>
      <w:bookmarkEnd w:id="10"/>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根据有关规定，本基金满足基金合同生效条件，基金合同已于2016年4月22日正式生效。自基金合同生效之日起，本基金管理人正式开始管理本基金。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1" w:name="_Toc228201062"/>
      <w:r>
        <w:rPr>
          <w:rFonts w:ascii="Times New Roman" w:hAnsi="Times New Roman"/>
          <w:sz w:val="30"/>
        </w:rPr>
        <w:lastRenderedPageBreak/>
        <w:t>八、基金份额的申购与赎回</w:t>
      </w:r>
      <w:bookmarkEnd w:id="11"/>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本基金已于2016年7月21日起开放申购、赎回业务。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w:t>
      </w:r>
      <w:r>
        <w:rPr>
          <w:rFonts w:ascii="宋体" w:hAnsi="宋体"/>
          <w:sz w:val="24"/>
        </w:rPr>
        <w:lastRenderedPageBreak/>
        <w:t>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本基金基金份额分为A类和C类基金份额。投资人申购A类基金份额支付申购费用，申购C类基金份额不支付申购费用，而是从该类别基金资产中计提销售服务费。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100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9100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0011" w:rsidRDefault="009100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100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0011" w:rsidRDefault="009100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9100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0011" w:rsidRDefault="009100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100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0011" w:rsidRDefault="009100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91001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9100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0011" w:rsidRDefault="009100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9100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0011" w:rsidRDefault="009100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91001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910011" w:rsidRDefault="0091001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销活动期间，基金管理人可以按中国证监会要求履行必要手续后，对投资人适当调低基金申购费率和赎回费率。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和C类基金份额的申购有效份额为净申购金额除以当日的各类基金份额净值，有效份额单位为份，申购份额计算结果按四舍五入方法，保留到小数点后2位，由此产生的收益或损失由基金财产承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A类基金份额和C类基金份额的赎回金额为按实际确认的有效赎回份额乘以当日各类基金份额净值并扣除相应的费用（如有），赎回金额单位为元。赎回金额计算结果按四舍五入方法，保留到小数点后2位，由此产生的收益或损失由基金财产承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即：某投资者（非养老金客户）投资100,000元申购本基金A类基金份额，假设申购当日A类基金份额净值为1.0400元，如果其选择申购A类基金份额，则其可得到95,390.72份A类基金份额。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例二：某养老金客户投资100,000元通过基金管理人的直销柜台申购本基金的A类基金份额，假设申购当日A类基金份额净值为1.0400元，申购费率为0.32%，则其可得到的申购份额为：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赎回金额为按实际确认的有效赎回份额乘以当日各类基金份额净值并扣除相应的费用，赎回金额单位为元，计算结果保留到小数点后两位，第三位四舍五入，由此产生的收益或损失由基金财产承担。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例四：某投资者赎回持有的10,000份A类基金份额，持有时间为30日，对应的赎回费率为0.5%，假设赎回当日A类基金份额净值是1.0160元，则其可得到的赎回金额为：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 = 10,000×1.0160×0.5% ＝ 50.80元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即：投资者赎回本基金10,000份A类基金份额，持有时间为30日，对应的赎回费率为0.5%，假设赎回当日A类基金份额净值是1.0160元，则其可得到的赎回金额为10,109.20元。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例五：某投资者赎回持有的10,000份C类基金份额，持有时间为20日，对应的赎回费率为0.5%，假设赎回当日C类基金份额净值是1.0160元，则其可得到的赎回金额为：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10,109.20元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w:t>
      </w:r>
      <w:r>
        <w:rPr>
          <w:rFonts w:ascii="宋体" w:hAnsi="宋体"/>
          <w:sz w:val="24"/>
        </w:rPr>
        <w:lastRenderedPageBreak/>
        <w:t>投资人的赎回申请。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以下一开放日的基金份额净值为基础计算赎回金额，以此类推，直到全部赎回为止。如投资人在提交赎回申请时未作明确选择，投资人未能赎回部分作自动延期赎回处理。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w:t>
      </w:r>
      <w:r>
        <w:rPr>
          <w:rFonts w:ascii="宋体" w:hAnsi="宋体"/>
          <w:sz w:val="24"/>
        </w:rPr>
        <w:lastRenderedPageBreak/>
        <w:t>构要求提供的相关资料，对于符合条件的非交易过户申请按基金登记机构的规定办理，并按基金登记机构规定的标准收费。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本基金2016年7月18日刊登公告自2016年7月21日起开通定期定额投资计划业务，具体开通销售机构名单和业务规则参见相关公告。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符合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910011" w:rsidRDefault="00E06259">
      <w:pPr>
        <w:pStyle w:val="1"/>
        <w:snapToGrid w:val="0"/>
        <w:spacing w:beforeLines="0" w:before="240" w:after="240"/>
        <w:rPr>
          <w:rFonts w:ascii="宋体" w:hAnsi="宋体"/>
          <w:szCs w:val="30"/>
        </w:rPr>
      </w:pPr>
      <w:bookmarkStart w:id="12" w:name="_Toc228201063"/>
      <w:r>
        <w:rPr>
          <w:rFonts w:ascii="Times New Roman" w:hAnsi="Times New Roman"/>
          <w:sz w:val="30"/>
        </w:rPr>
        <w:lastRenderedPageBreak/>
        <w:t>九、基金的转换</w:t>
      </w:r>
      <w:bookmarkEnd w:id="12"/>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5月26日刊登公告自2020年5月28日起开放日常转换业务。办理基金间转换的时间为上海证券交易所、深圳证券交易所交易日。若出现新的证券交易市场或交易所交易时间更改或其它原因，基金管理人将视情况进行相应的调整并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3" w:name="_Toc228201064"/>
      <w:r>
        <w:rPr>
          <w:rFonts w:ascii="Times New Roman" w:hAnsi="Times New Roman"/>
          <w:sz w:val="30"/>
        </w:rPr>
        <w:lastRenderedPageBreak/>
        <w:t>十、基金的投资</w:t>
      </w:r>
      <w:bookmarkEnd w:id="13"/>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本基金在控制风险并保持基金资产良好的流动性的前提下，通过灵活的资产配置策略和积极主动的投资管理，力争为投资者提供长期稳健的投资回报。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w:t>
      </w:r>
      <w:r>
        <w:rPr>
          <w:rFonts w:ascii="宋体" w:hAnsi="宋体"/>
          <w:sz w:val="24"/>
        </w:rPr>
        <w:lastRenderedPageBreak/>
        <w:t>投资组合的较高回报。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1）主业清晰并在产品、技术、营销、营运、成本控制等某一方面具有较强竞争优势，销售收入或利润超过行业平均水平；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2）根据波特五要素分析，行业发展环境良好；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3）具有较强或可预期的盈利增长前景；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4）盈利质量较高，经营性现金流加投资收益应该超过净利润（特殊理由除外）；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5）较好的公司治理结构，财务报表和信息披露较为透明、规范；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6）股票估值具有吸引力，或符合一定时期内的投资主题。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本基金投资存托凭证的策略依照境内上市交易的股票投资策略执行。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w:t>
      </w:r>
      <w:r>
        <w:rPr>
          <w:rFonts w:ascii="宋体" w:hAnsi="宋体"/>
          <w:sz w:val="24"/>
        </w:rPr>
        <w:lastRenderedPageBreak/>
        <w:t>精选债券构建信用债券投资组合。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（8）中小企业私募债券投资策略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在投资是综合考虑虑信用基本面、债券收益率和流动性，选择发行主体资质优良，估值合理且流通相对充分的品种进行适度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w:t>
      </w:r>
      <w:r>
        <w:rPr>
          <w:rFonts w:ascii="宋体" w:hAnsi="宋体"/>
          <w:sz w:val="24"/>
        </w:rPr>
        <w:lastRenderedPageBreak/>
        <w:t>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w:t>
      </w:r>
      <w:r>
        <w:rPr>
          <w:rFonts w:ascii="宋体" w:hAnsi="宋体"/>
          <w:sz w:val="24"/>
        </w:rPr>
        <w:lastRenderedPageBreak/>
        <w:t>险、法律风险和操作风险等各种风险；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w:t>
      </w:r>
      <w:r>
        <w:rPr>
          <w:rFonts w:ascii="宋体" w:hAnsi="宋体"/>
          <w:sz w:val="24"/>
        </w:rPr>
        <w:lastRenderedPageBreak/>
        <w:t>本基金投资不再受相关限制。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50%×沪深300指数收益率+50%×中债综合全价指数收益率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r>
        <w:rPr>
          <w:rFonts w:ascii="宋体" w:hAnsi="宋体"/>
          <w:sz w:val="24"/>
        </w:rPr>
        <w:lastRenderedPageBreak/>
        <w:t>而无需召开基金份额持有人大会。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基金托管人中信银行股份有限公司根据本基金合同规定，于2026年04月20日复核了本报告中的财务指标、净值表现和投资组合报告等内容，保证复核内容不存在虚假记载、误导性陈述或者重大遗漏。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92.55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92.55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21,711,073.67</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10,971,122.81</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3,097,646,703.61</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2,696,212,169.65</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89.33</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170,244,479.84</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2,853.84</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94.98</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527,207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300,196,937.87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9.95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300394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天孚通信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860,890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259,644,424.00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8.60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563,940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249,735,189.60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8.27</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亨通光电</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3,558,187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187,374,127.42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6.21</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688072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拓荆科技</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460,206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170,276,220.00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002916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深南电路</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538,310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118,164,428.10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3.91</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688167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炬光科技</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289,507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94,086,879.93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002851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麦格米特</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918,828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89,310,081.60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2.96</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849,572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85,976,686.40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2.85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688702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盛科通信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506,968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84,602,819.84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2.80</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1,813,240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183,048,316.72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6.06</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15,113,276.71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1,513,241.36</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9,457,881.45</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right"/>
              <w:rPr>
                <w:rFonts w:ascii="宋体" w:hAnsi="宋体"/>
                <w:color w:val="000000"/>
                <w:kern w:val="0"/>
                <w:sz w:val="25"/>
                <w:szCs w:val="24"/>
              </w:rPr>
            </w:pPr>
            <w:r>
              <w:rPr>
                <w:rFonts w:ascii="Times New Roman" w:hAnsi="Times New Roman"/>
                <w:color w:val="000000"/>
                <w:kern w:val="0"/>
                <w:sz w:val="25"/>
                <w:szCs w:val="24"/>
              </w:rPr>
              <w:t>10,971,122.81</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4" w:name="_Toc228201065"/>
      <w:r>
        <w:rPr>
          <w:rFonts w:ascii="Times New Roman" w:hAnsi="Times New Roman"/>
          <w:sz w:val="30"/>
        </w:rPr>
        <w:lastRenderedPageBreak/>
        <w:t>十一、基金的业绩</w:t>
      </w:r>
      <w:bookmarkEnd w:id="14"/>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（1）交银优择回报灵活配置混合A：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4.90%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6.66%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141.27%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133.33%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-7.53%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4.61%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-3.48%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7.32%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8.54%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9.75%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15.55%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8.53%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4.41%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15.43%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6.07%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（2）交银优择回报灵活配置混合C：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4.84%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6.60%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140.77%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132.83%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-7.68%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4.39%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-3.67%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7.13%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8.25%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15.40%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1.90%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8.34%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-9.65%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17.03%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5.78%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91001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bl>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注：本基金的业绩比较基准为50%×沪深300指数收益率+50%×中债综合全价指数收益率，每日进行再平衡过程。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910011" w:rsidRDefault="00E0625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交银施罗德优择回报灵活配置混合型证券投资基金</w:t>
      </w:r>
    </w:p>
    <w:p w:rsidR="00910011" w:rsidRDefault="00E0625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910011" w:rsidRDefault="00E0625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（2016年4月22日至2026年03月31日）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（1）交银优择回报灵活配置混合A</w:t>
      </w:r>
    </w:p>
    <w:p w:rsidR="00910011" w:rsidRDefault="00881B8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（2）交银优择回报灵活配置混合C</w:t>
      </w:r>
    </w:p>
    <w:p w:rsidR="00910011" w:rsidRDefault="00881B8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5" w:name="_Toc228201066"/>
      <w:r>
        <w:rPr>
          <w:rFonts w:ascii="Times New Roman" w:hAnsi="Times New Roman"/>
          <w:sz w:val="30"/>
        </w:rPr>
        <w:lastRenderedPageBreak/>
        <w:t>十二、基金的财产</w:t>
      </w:r>
      <w:bookmarkEnd w:id="15"/>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6" w:name="_Toc228201067"/>
      <w:r>
        <w:rPr>
          <w:rFonts w:ascii="Times New Roman" w:hAnsi="Times New Roman"/>
          <w:sz w:val="30"/>
        </w:rPr>
        <w:lastRenderedPageBreak/>
        <w:t>十三、基金资产的估值</w:t>
      </w:r>
      <w:bookmarkEnd w:id="16"/>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（四）估值程序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份额净值计算错误，基金管理人、基金托管人免除赔偿责任。但基金管理人、基金托管人应积极采</w:t>
      </w:r>
      <w:r>
        <w:rPr>
          <w:rFonts w:ascii="宋体" w:hAnsi="宋体"/>
          <w:sz w:val="24"/>
        </w:rPr>
        <w:lastRenderedPageBreak/>
        <w:t>取必要的措施减轻或消除由此造成的影响。</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7" w:name="_Toc228201068"/>
      <w:r>
        <w:rPr>
          <w:rFonts w:ascii="Times New Roman" w:hAnsi="Times New Roman"/>
          <w:sz w:val="30"/>
        </w:rPr>
        <w:lastRenderedPageBreak/>
        <w:t>十四、基金收益与分配</w:t>
      </w:r>
      <w:bookmarkEnd w:id="17"/>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8" w:name="_Toc228201069"/>
      <w:r>
        <w:rPr>
          <w:rFonts w:ascii="Times New Roman" w:hAnsi="Times New Roman"/>
          <w:sz w:val="30"/>
        </w:rPr>
        <w:lastRenderedPageBreak/>
        <w:t>十五、基金的费用与税收</w:t>
      </w:r>
      <w:bookmarkEnd w:id="18"/>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19" w:name="_Toc228201070"/>
      <w:r>
        <w:rPr>
          <w:rFonts w:ascii="Times New Roman" w:hAnsi="Times New Roman"/>
          <w:sz w:val="30"/>
        </w:rPr>
        <w:lastRenderedPageBreak/>
        <w:t>十六、基金的会计与审计</w:t>
      </w:r>
      <w:bookmarkEnd w:id="19"/>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0" w:name="_Toc228201071"/>
      <w:r>
        <w:rPr>
          <w:rFonts w:ascii="Times New Roman" w:hAnsi="Times New Roman"/>
          <w:sz w:val="30"/>
        </w:rPr>
        <w:lastRenderedPageBreak/>
        <w:t>十七、基金的信息披露</w:t>
      </w:r>
      <w:bookmarkEnd w:id="20"/>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（22）调整基金份额类别；</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13、中国证监会规定的其他信息。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1" w:name="_Toc228201072"/>
      <w:r>
        <w:rPr>
          <w:rFonts w:ascii="Times New Roman" w:hAnsi="Times New Roman"/>
          <w:sz w:val="30"/>
        </w:rPr>
        <w:lastRenderedPageBreak/>
        <w:t>十八、风险揭示</w:t>
      </w:r>
      <w:bookmarkEnd w:id="21"/>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本基金投资中小企业私募债，中小企业私募债是根据相关法律法规由非上市中</w:t>
      </w:r>
      <w:r>
        <w:rPr>
          <w:rFonts w:ascii="宋体" w:hAnsi="宋体"/>
          <w:sz w:val="24"/>
        </w:rPr>
        <w:lastRenderedPageBreak/>
        <w:t>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（七）基金合同提前终止风险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w:t>
      </w:r>
      <w:r>
        <w:rPr>
          <w:rFonts w:ascii="宋体" w:hAnsi="宋体"/>
          <w:sz w:val="24"/>
        </w:rPr>
        <w:lastRenderedPageBreak/>
        <w:t>股票。基金资产投资于科创板股票，会面临科创板机制下因投资标的、市场制度以及交易规则等差异带来的特有风险，包括但不限于市场风险、流动性风险、退市风险、系统性风险、政策风险等。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w:t>
      </w:r>
      <w:r>
        <w:rPr>
          <w:rFonts w:ascii="宋体" w:hAnsi="宋体"/>
          <w:sz w:val="24"/>
        </w:rPr>
        <w:lastRenderedPageBreak/>
        <w:t>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2" w:name="_Toc228201073"/>
      <w:r>
        <w:rPr>
          <w:rFonts w:ascii="Times New Roman" w:hAnsi="Times New Roman"/>
          <w:sz w:val="30"/>
        </w:rPr>
        <w:lastRenderedPageBreak/>
        <w:t>十九、基金合同的变更、终止与基金财产的清算</w:t>
      </w:r>
      <w:bookmarkEnd w:id="22"/>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3" w:name="_Toc228201074"/>
      <w:r>
        <w:rPr>
          <w:rFonts w:ascii="Times New Roman" w:hAnsi="Times New Roman"/>
          <w:sz w:val="30"/>
        </w:rPr>
        <w:lastRenderedPageBreak/>
        <w:t>二十、基金合同内容摘要</w:t>
      </w:r>
      <w:bookmarkEnd w:id="23"/>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（二）基金份额持有人大会召集、议事及表决的程序和规则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w:t>
      </w:r>
      <w:r>
        <w:rPr>
          <w:rFonts w:ascii="宋体" w:hAnsi="宋体"/>
          <w:sz w:val="24"/>
        </w:rPr>
        <w:lastRenderedPageBreak/>
        <w:t>无实质性不利影响的前提下调整本基金的申购费率、调低赎回费率、变更或增加收费方式、调整基金份额类别；</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6）在法律法规允许及对基金份额持有人利益无实质性不利影响的前提下，基金推出新业务或服务；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按照相关法律法规和基金合同的约定进入清算程序，不需召开基金份额持有人大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w:t>
      </w:r>
      <w:r>
        <w:rPr>
          <w:rFonts w:ascii="宋体" w:hAnsi="宋体"/>
          <w:sz w:val="24"/>
        </w:rPr>
        <w:lastRenderedPageBreak/>
        <w:t>知不参加收取书面表决意见的，不影响表决效力；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w:t>
      </w:r>
      <w:r>
        <w:rPr>
          <w:rFonts w:ascii="宋体" w:hAnsi="宋体"/>
          <w:sz w:val="24"/>
        </w:rPr>
        <w:lastRenderedPageBreak/>
        <w:t>理、估价、变现和分配。基金财产清算小组可以依法进行必要的民事活动。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w:t>
      </w:r>
      <w:r>
        <w:rPr>
          <w:rFonts w:ascii="宋体" w:hAnsi="宋体"/>
          <w:sz w:val="24"/>
        </w:rPr>
        <w:lastRenderedPageBreak/>
        <w:t>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4" w:name="_Toc228201075"/>
      <w:r>
        <w:rPr>
          <w:rFonts w:ascii="Times New Roman" w:hAnsi="Times New Roman"/>
          <w:sz w:val="30"/>
        </w:rPr>
        <w:lastRenderedPageBreak/>
        <w:t>二十一、托管协议的内容摘要</w:t>
      </w:r>
      <w:bookmarkEnd w:id="24"/>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2）每个交易日日终在扣除股指期货合约需缴纳的交易保证金后，保持不低于基金资产净值5％的现金或者到期日在一年以内的政府债券，其中现金不包括结算备付金、存出保证金、应收申购款等；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w:t>
      </w:r>
      <w:r>
        <w:rPr>
          <w:rFonts w:ascii="宋体" w:hAnsi="宋体"/>
          <w:sz w:val="24"/>
        </w:rPr>
        <w:lastRenderedPageBreak/>
        <w:t>一年以内的政府债券）、权证、资产支持证券、买入返售金融资产（不含质押式回购）等；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18）本基金持有的同一流通受限证券，其公允价值不得超过基金资产净值的10%；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w:t>
      </w:r>
      <w:r>
        <w:rPr>
          <w:rFonts w:ascii="宋体" w:hAnsi="宋体"/>
          <w:sz w:val="24"/>
        </w:rPr>
        <w:lastRenderedPageBreak/>
        <w:t>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w:t>
      </w:r>
      <w:r>
        <w:rPr>
          <w:rFonts w:ascii="宋体" w:hAnsi="宋体"/>
          <w:sz w:val="24"/>
        </w:rPr>
        <w:lastRenderedPageBreak/>
        <w:t>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（7）基金托管人对基金投资中期票据和中小企业私募债的监督：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1）基金管理人管理的基金在投资中期票据和中小企业私募债前，基金管理人须根据法律、法规、监管部门的规定，制定严格的关于投资中期票据和中小企业私</w:t>
      </w:r>
      <w:r>
        <w:rPr>
          <w:rFonts w:ascii="宋体" w:hAnsi="宋体"/>
          <w:sz w:val="24"/>
        </w:rPr>
        <w:lastRenderedPageBreak/>
        <w:t>募债的风险控制制度和流动性风险处置预案，并书面提供给基金托管人，基金托管人依据上述文件对基金管理人投资中期票据和中小企业私募债的额度和比例进行监督。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2）如未来有关监管部门发布的法律法规对证券投资基金投资中期票据和中小企业私募债另有规定的，从其约定。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w:t>
      </w:r>
      <w:r>
        <w:rPr>
          <w:rFonts w:ascii="宋体" w:hAnsi="宋体"/>
          <w:sz w:val="24"/>
        </w:rPr>
        <w:lastRenderedPageBreak/>
        <w:t>《运作办法》等有关法律法规，以及国家有关账户管理、利率管理、支付结算等的各项规定。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A类基金份额、C类基金份额的基金资产净值计算、A类基金份额、C类基金份额的基金份额净值计算、应收资金到账、基金费用开支及收入确定、基金收益分配、相关信息披露、基金宣传推介材料中登载基金业绩表现数据等进行监督和核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w:t>
      </w:r>
      <w:r>
        <w:rPr>
          <w:rFonts w:ascii="宋体" w:hAnsi="宋体"/>
          <w:sz w:val="24"/>
        </w:rPr>
        <w:lastRenderedPageBreak/>
        <w:t>督权，或采取拖延、欺诈等手段妨碍基金托管人进行有效监督，情节严重或经基金托管人提出警告仍不改正的，基金托管人应报告中国证监会。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A类基金份额、C类基金份额的基金资产净值和基金份额净值、根据基金管理人指令办理清算交收、相关信息披露和监督基金投资运作等行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（3）基金托管人按照规定开设基金财产的资金账户和证券账户，协助开立股指期货业务相关账户及交易编码。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4、基金证券账户和证券交易资金账户的开设和管理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w:t>
      </w:r>
      <w:r>
        <w:rPr>
          <w:rFonts w:ascii="宋体" w:hAnsi="宋体"/>
          <w:sz w:val="24"/>
        </w:rPr>
        <w:lastRenderedPageBreak/>
        <w:t>责任公司上海分公司/深圳分公司开设证券账户。</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w:t>
      </w:r>
      <w:r>
        <w:rPr>
          <w:rFonts w:ascii="宋体" w:hAnsi="宋体"/>
          <w:sz w:val="24"/>
        </w:rPr>
        <w:lastRenderedPageBreak/>
        <w:t>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A类基金份额、C类基金份额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w:t>
      </w:r>
      <w:r>
        <w:rPr>
          <w:rFonts w:ascii="宋体" w:hAnsi="宋体"/>
          <w:sz w:val="24"/>
        </w:rPr>
        <w:lastRenderedPageBreak/>
        <w:t>值；估值日无市价，但最近交易日后经济环境未发生重大变化且证券发行机构未发生影响证券价格的重大事件的，采用最近交易市价确定公允价值。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A类基金份额及C类基金份额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（3）由于一方当事人提供的信息错误，另一方当事人在采取了必要合理的措施后仍不能发现该错误，进而导致A类基金份额及C类基金份额的基金资产净值、基</w:t>
      </w:r>
      <w:r>
        <w:rPr>
          <w:rFonts w:ascii="宋体" w:hAnsi="宋体"/>
          <w:sz w:val="24"/>
        </w:rPr>
        <w:lastRenderedPageBreak/>
        <w:t>金份额净值计算错误造成投资人或基金的损失，以及由此造成以后交易日A类基金份额及C类基金份额的基金资产净值、基金份额净值计算顺延错误而引起的投资人或基金的损失，由提供错误信息的当事人一方负责赔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（6）基金管理人或基金托管人按估值方法的第4）项进行估值的，所造成的误差不作为基金资产估值错误处理。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w:t>
      </w:r>
      <w:r>
        <w:rPr>
          <w:rFonts w:ascii="宋体" w:hAnsi="宋体"/>
          <w:sz w:val="24"/>
        </w:rPr>
        <w:lastRenderedPageBreak/>
        <w:t>的编制，应于每月终了后5个工作日内完成。</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（1）基金投资所涉及的证券、期货交易场所遇法定节假日或因其他原因暂停营业时；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w:t>
      </w:r>
      <w:r>
        <w:rPr>
          <w:rFonts w:ascii="宋体" w:hAnsi="宋体"/>
          <w:sz w:val="24"/>
        </w:rPr>
        <w:lastRenderedPageBreak/>
        <w:t>额持有人名册的内容必须包括基金份额持有人的名称和持有的基金份额。</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（4）发生法律法规或基金合同规定的终止事项。</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5" w:name="_Toc228201076"/>
      <w:r>
        <w:rPr>
          <w:rFonts w:ascii="Times New Roman" w:hAnsi="Times New Roman"/>
          <w:sz w:val="30"/>
        </w:rPr>
        <w:lastRenderedPageBreak/>
        <w:t>二十二、对基金份额持有人的服务</w:t>
      </w:r>
      <w:bookmarkEnd w:id="25"/>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6" w:name="_Toc228201077"/>
      <w:r>
        <w:rPr>
          <w:rFonts w:ascii="Times New Roman" w:hAnsi="Times New Roman"/>
          <w:sz w:val="30"/>
        </w:rPr>
        <w:lastRenderedPageBreak/>
        <w:t>二十三、其他应披露事项</w:t>
      </w:r>
      <w:bookmarkEnd w:id="26"/>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交银施罗德基金管理有限公司关于交银施罗德优择回报灵活配置混合型证券投资基金基金经理变更公告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1001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10011" w:rsidRDefault="00E062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7" w:name="_Toc228201078"/>
      <w:r>
        <w:rPr>
          <w:rFonts w:ascii="Times New Roman" w:hAnsi="Times New Roman"/>
          <w:sz w:val="30"/>
        </w:rPr>
        <w:lastRenderedPageBreak/>
        <w:t>二十四、招募说明书的存放及查阅方式</w:t>
      </w:r>
      <w:bookmarkEnd w:id="27"/>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E0625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10011" w:rsidRDefault="00E06259">
      <w:pPr>
        <w:pStyle w:val="1"/>
        <w:snapToGrid w:val="0"/>
        <w:spacing w:beforeLines="0" w:before="240" w:after="240"/>
        <w:rPr>
          <w:rFonts w:ascii="宋体" w:hAnsi="宋体"/>
          <w:szCs w:val="30"/>
        </w:rPr>
      </w:pPr>
      <w:bookmarkStart w:id="28" w:name="_Toc228201079"/>
      <w:r>
        <w:rPr>
          <w:rFonts w:ascii="Times New Roman" w:hAnsi="Times New Roman"/>
          <w:sz w:val="30"/>
        </w:rPr>
        <w:lastRenderedPageBreak/>
        <w:t>二十五、备查文件</w:t>
      </w:r>
      <w:bookmarkEnd w:id="28"/>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（一）中国证监会准予交银施罗德优择回报灵活配置混合型证券投资基金募集注册的文件</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（二）《交银施罗德优择回报灵活配置混合型证券投资基金基金合同》</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（三）《交银施罗德优择回报灵活配置混合型证券投资基金托管协议》</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10011" w:rsidRDefault="00E0625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（六）关于申请募集注册交银施罗德优择回报灵活配置混合型证券投资基金的法律意见书</w:t>
      </w:r>
    </w:p>
    <w:sectPr w:rsidR="00910011">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532" w:rsidRDefault="00E06259">
      <w:r>
        <w:separator/>
      </w:r>
    </w:p>
  </w:endnote>
  <w:endnote w:type="continuationSeparator" w:id="0">
    <w:p w:rsidR="00D03532" w:rsidRDefault="00E06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91001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881B8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910011" w:rsidRDefault="00E0625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81B8A">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91001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881B8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910011" w:rsidRDefault="00E0625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81B8A">
                  <w:rPr>
                    <w:rFonts w:ascii="Times New Roman" w:hAnsi="Times New Roman"/>
                    <w:noProof/>
                    <w:kern w:val="0"/>
                    <w:sz w:val="18"/>
                    <w:szCs w:val="18"/>
                  </w:rPr>
                  <w:t>144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532" w:rsidRDefault="00E06259">
      <w:r>
        <w:separator/>
      </w:r>
    </w:p>
  </w:footnote>
  <w:footnote w:type="continuationSeparator" w:id="0">
    <w:p w:rsidR="00D03532" w:rsidRDefault="00E06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91001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E06259">
    <w:pPr>
      <w:pStyle w:val="a3"/>
      <w:jc w:val="right"/>
      <w:rPr>
        <w:rFonts w:ascii="宋体" w:hAnsi="宋体"/>
      </w:rPr>
    </w:pPr>
    <w:r>
      <w:rPr>
        <w:rFonts w:ascii="宋体" w:hAnsi="宋体" w:hint="eastAsia"/>
      </w:rPr>
      <w:t>交银施罗德优择回报灵活配置混合型证券投资基金招募说明书更新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910011">
    <w:pPr>
      <w:pStyle w:val="10"/>
      <w:jc w:val="right"/>
    </w:pPr>
  </w:p>
  <w:p w:rsidR="00910011" w:rsidRDefault="00910011">
    <w:pPr>
      <w:pStyle w:val="10"/>
      <w:jc w:val="right"/>
    </w:pPr>
  </w:p>
  <w:p w:rsidR="00910011" w:rsidRDefault="00910011">
    <w:pPr>
      <w:pStyle w:val="a3"/>
      <w:jc w:val="right"/>
    </w:pPr>
  </w:p>
  <w:p w:rsidR="00910011" w:rsidRDefault="00E06259">
    <w:pPr>
      <w:pStyle w:val="a3"/>
      <w:jc w:val="right"/>
      <w:rPr>
        <w:rFonts w:ascii="宋体" w:hAnsi="宋体"/>
      </w:rPr>
    </w:pPr>
    <w:r>
      <w:rPr>
        <w:rFonts w:ascii="宋体" w:hAnsi="宋体" w:hint="eastAsia"/>
      </w:rPr>
      <w:t>交银施罗德优择回报灵活配置混合型证券投资基金招募说明书更新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011" w:rsidRDefault="00910011">
    <w:pPr>
      <w:pStyle w:val="a3"/>
      <w:jc w:val="right"/>
    </w:pPr>
  </w:p>
  <w:p w:rsidR="00910011" w:rsidRDefault="00910011">
    <w:pPr>
      <w:pStyle w:val="a3"/>
      <w:jc w:val="right"/>
    </w:pPr>
  </w:p>
  <w:p w:rsidR="00910011" w:rsidRDefault="00910011">
    <w:pPr>
      <w:pStyle w:val="a3"/>
      <w:jc w:val="right"/>
    </w:pPr>
  </w:p>
  <w:p w:rsidR="00910011" w:rsidRDefault="00E06259">
    <w:pPr>
      <w:pStyle w:val="a3"/>
      <w:jc w:val="right"/>
      <w:rPr>
        <w:rFonts w:ascii="宋体" w:hAnsi="宋体"/>
      </w:rPr>
    </w:pPr>
    <w:r>
      <w:rPr>
        <w:rFonts w:ascii="宋体" w:hAnsi="宋体" w:hint="eastAsia"/>
      </w:rPr>
      <w:t>交银施罗德优择回报灵活配置混合型证券投资基金招募说明书更新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1B8A"/>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011"/>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3532"/>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06259"/>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92E644C3-115A-4695-8996-6B39537A6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145</Pages>
  <Words>15222</Words>
  <Characters>86772</Characters>
  <Application>Microsoft Office Word</Application>
  <DocSecurity>0</DocSecurity>
  <Lines>723</Lines>
  <Paragraphs>203</Paragraphs>
  <ScaleCrop>false</ScaleCrop>
  <Company>Microsoft</Company>
  <LinksUpToDate>false</LinksUpToDate>
  <CharactersWithSpaces>101791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2026-04-27T08:50:00Z</dcterms:created>
  <dcterms:modified xsi:type="dcterms:W3CDTF">2026-04-27T08:50:00Z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