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交银施罗德丰晟收益债券型证券投资基金（C类份额）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交银丰晟收益债券C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005578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2018-05-23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于海颖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2018-05-23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2006-05-01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在严格控制风险的前提下,力求获得高于业绩基准的投资收益。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可分离交易可转债的纯债部分,公开发行的次级债,资产支持证券,短期融资券,超级短期融资券,中小企业私募债,中期票据,债券回购,银行存款,同业存单,货币市场工具等资产和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基金的投资组合比例为投资于债券资产的比例不低于基金资产的80%,但在封闭期结束前三个月和转开放后三个月内,基金投资不受上述债券资产投资比例限制.本基金转为开放式运作后,现金或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杠杆放大策略；5、信用债券投资策略；6、资产支持证券投资策略；7、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详见《交银施罗德丰晟收益债券型证券投资基金招募说明书》第十部分“基金的投资”。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2、本基金合同于2018年5月23日生效，合同生效当年净值增长率按实际存续期计算。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（3）特有的流动性风险。本基金为封闭两年运作，之后转为开放式运作。本基金在封闭期内不办理申购赎回业务，也不上市交易，从而可能无法满足投资者的短期流动性需求；</w:t>
      </w:r>
    </w:p>
    <w:p>
      <w:pPr>
        <w:ind w:firstLine="420"/>
        <w:jc w:val="left"/>
        <w:rPr>
          <w:rFonts w:ascii="仿宋_GB2312" w:eastAsia="仿宋_GB2312"/>
          <w:szCs w:val="21"/>
        </w:rPr>
      </w:pPr>
      <w:r>
        <w:rPr>
          <w:rFonts w:hint="eastAsia" w:ascii="仿宋_GB2312" w:eastAsia="仿宋_GB2312"/>
          <w:szCs w:val="21"/>
        </w:rPr>
        <w:t>（4）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5）本基金投资资产支持证券，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6）基金合同提前终止风险。连续六十个工作日出现基金份额持有人数量不满200人或者基金资产净值低于5000万元情形的，基金管理人应向中国证监会报告，并可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因基金合同而产生的或与基金合同有关的一切争议，如经友好协商未能解决的，任何一方均有权将争议提交华南国际经济贸易仲裁委员会，按其届时有效的仲裁规则进行仲裁。仲裁地点为深圳市。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●《交银施罗德丰晟收益债券型证券投资基金基金合同》、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《交银施罗德丰晟收益债券型证券投资基金托管协议》、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《交银施罗德丰晟收益债券型证券投资基金招募说明书》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DC656C"/>
    <w:rsid w:val="00E51B6D"/>
    <w:rsid w:val="00F75715"/>
    <w:rsid w:val="00F811C4"/>
    <w:rsid w:val="00FC2918"/>
    <w:rsid w:val="4BC34E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615</Words>
  <Characters>3508</Characters>
  <Lines>29</Lines>
  <Paragraphs>8</Paragraphs>
  <TotalTime>0</TotalTime>
  <ScaleCrop>false</ScaleCrop>
  <LinksUpToDate>false</LinksUpToDate>
  <CharactersWithSpaces>4115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2026-04-24T01:22:00Z</dcterms:created>
  <dc:creator>Cc</dc:creator>
  <cp:lastModifiedBy>haotingting</cp:lastModifiedBy>
  <dcterms:modified xsi:type="dcterms:W3CDTF">2026-04-27T07:09:47Z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A22045AF3D9C474A906CD10410171207</vt:lpwstr>
  </property>
</Properties>
</file>