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92C0D">
      <w:pPr>
        <w:rPr>
          <w:sz w:val="32"/>
        </w:rPr>
      </w:pPr>
    </w:p>
    <w:p w:rsidR="00C92FC0" w:rsidRPr="00EB07BC" w:rsidRDefault="00E92C0D">
      <w:pPr>
        <w:rPr>
          <w:sz w:val="32"/>
        </w:rPr>
      </w:pPr>
    </w:p>
    <w:p w:rsidR="00C92FC0" w:rsidRPr="00EB07BC" w:rsidRDefault="00E92C0D">
      <w:pPr>
        <w:rPr>
          <w:sz w:val="32"/>
        </w:rPr>
      </w:pPr>
    </w:p>
    <w:p w:rsidR="00617C78" w:rsidRDefault="00617C7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7C78" w:rsidRDefault="00617C7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7C78" w:rsidRDefault="00617C7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7C78" w:rsidRDefault="00727E5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交银施罗德裕如纯债债券型证券投资基金</w:t>
      </w:r>
    </w:p>
    <w:p w:rsidR="00617C78" w:rsidRDefault="00727E5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17C78" w:rsidRDefault="00617C78">
      <w:pPr>
        <w:snapToGrid w:val="0"/>
        <w:spacing w:line="360" w:lineRule="auto"/>
        <w:jc w:val="center"/>
        <w:rPr>
          <w:rFonts w:ascii="宋体" w:hAnsi="宋体"/>
          <w:b/>
          <w:sz w:val="30"/>
          <w:szCs w:val="30"/>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727E5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17C78" w:rsidRDefault="00727E5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基金托管人：浙商银行股份有限公司</w:t>
      </w: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617C7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7C78" w:rsidRDefault="00727E5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617C78" w:rsidRDefault="00617C78">
      <w:pPr>
        <w:autoSpaceDE w:val="0"/>
        <w:autoSpaceDN w:val="0"/>
        <w:adjustRightInd w:val="0"/>
        <w:snapToGrid w:val="0"/>
        <w:spacing w:line="360" w:lineRule="auto"/>
        <w:ind w:left="1347" w:rightChars="6" w:right="13"/>
        <w:rPr>
          <w:rFonts w:ascii="宋体" w:hAnsi="宋体"/>
          <w:kern w:val="0"/>
          <w:sz w:val="32"/>
          <w:szCs w:val="32"/>
        </w:rPr>
        <w:sectPr w:rsidR="00617C78">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17C78" w:rsidRDefault="00727E54">
      <w:pPr>
        <w:pStyle w:val="1"/>
        <w:snapToGrid w:val="0"/>
        <w:spacing w:beforeLines="0" w:before="240" w:after="240"/>
        <w:rPr>
          <w:rFonts w:ascii="宋体" w:hAnsi="宋体"/>
          <w:kern w:val="0"/>
        </w:rPr>
      </w:pPr>
      <w:bookmarkStart w:id="0" w:name="_Toc324920538"/>
      <w:bookmarkStart w:id="1" w:name="_Toc496884613"/>
      <w:bookmarkStart w:id="2" w:name="_Toc227914996"/>
      <w:r>
        <w:rPr>
          <w:rFonts w:ascii="Times New Roman" w:hAnsi="Times New Roman"/>
          <w:kern w:val="0"/>
        </w:rPr>
        <w:lastRenderedPageBreak/>
        <w:t>重要提示</w:t>
      </w:r>
      <w:bookmarkEnd w:id="0"/>
      <w:bookmarkEnd w:id="1"/>
      <w:bookmarkEnd w:id="2"/>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交银施罗德裕如纯债债券型证券投资基金（以下简称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693</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日正式生效。</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万元情形时基金管理人将依基金合同约定提前终止基金合同的风险；投资中小企业私募债的特定风险；投资资产支持证券的特定风险；本基金的特有风险；其他风险等等。</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617C78" w:rsidRDefault="00727E5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617C78" w:rsidRDefault="00617C78">
      <w:pPr>
        <w:autoSpaceDE w:val="0"/>
        <w:autoSpaceDN w:val="0"/>
        <w:adjustRightInd w:val="0"/>
        <w:snapToGrid w:val="0"/>
        <w:spacing w:before="51" w:line="360" w:lineRule="auto"/>
        <w:ind w:left="120" w:rightChars="6" w:right="13" w:firstLine="480"/>
        <w:rPr>
          <w:rFonts w:ascii="宋体" w:hAnsi="宋体"/>
          <w:kern w:val="0"/>
          <w:szCs w:val="24"/>
        </w:rPr>
        <w:sectPr w:rsidR="00617C78">
          <w:headerReference w:type="default" r:id="rId14"/>
          <w:pgSz w:w="11920" w:h="16840"/>
          <w:pgMar w:top="1440" w:right="1680" w:bottom="280" w:left="1680" w:header="0" w:footer="1073" w:gutter="0"/>
          <w:pgNumType w:start="1"/>
          <w:cols w:space="720"/>
        </w:sectPr>
      </w:pPr>
    </w:p>
    <w:p w:rsidR="00E92C0D" w:rsidRPr="00E92C0D" w:rsidRDefault="00727E54" w:rsidP="00E92C0D">
      <w:pPr>
        <w:pStyle w:val="ad"/>
        <w:snapToGrid w:val="0"/>
        <w:spacing w:after="240" w:line="360" w:lineRule="auto"/>
        <w:jc w:val="center"/>
        <w:rPr>
          <w:rFonts w:ascii="宋体" w:hAnsi="宋体"/>
          <w:noProof/>
          <w:sz w:val="24"/>
        </w:rPr>
      </w:pPr>
      <w:r w:rsidRPr="00E92C0D">
        <w:rPr>
          <w:rFonts w:ascii="宋体" w:hAnsi="宋体"/>
          <w:color w:val="000000"/>
          <w:position w:val="-4"/>
          <w:sz w:val="24"/>
          <w:szCs w:val="30"/>
        </w:rPr>
        <w:lastRenderedPageBreak/>
        <w:t>目</w:t>
      </w:r>
      <w:r w:rsidRPr="00E92C0D">
        <w:rPr>
          <w:rFonts w:ascii="宋体" w:hAnsi="宋体"/>
          <w:color w:val="000000"/>
          <w:position w:val="-4"/>
          <w:sz w:val="24"/>
          <w:szCs w:val="30"/>
        </w:rPr>
        <w:tab/>
        <w:t>录</w:t>
      </w:r>
      <w:r w:rsidR="00E92C0D" w:rsidRPr="00E92C0D">
        <w:rPr>
          <w:rFonts w:ascii="宋体" w:hAnsi="宋体"/>
          <w:color w:val="000000"/>
          <w:position w:val="-4"/>
          <w:sz w:val="24"/>
          <w:szCs w:val="30"/>
        </w:rPr>
        <w:fldChar w:fldCharType="begin"/>
      </w:r>
      <w:r w:rsidR="00E92C0D" w:rsidRPr="00E92C0D">
        <w:rPr>
          <w:rFonts w:ascii="宋体" w:hAnsi="宋体"/>
          <w:color w:val="000000"/>
          <w:position w:val="-4"/>
          <w:sz w:val="24"/>
          <w:szCs w:val="30"/>
        </w:rPr>
        <w:instrText xml:space="preserve"> TOC \o "1-3" \f - \h \t "-1" </w:instrText>
      </w:r>
      <w:r w:rsidR="00E92C0D" w:rsidRPr="00E92C0D">
        <w:rPr>
          <w:rFonts w:ascii="宋体" w:hAnsi="宋体"/>
          <w:color w:val="000000"/>
          <w:position w:val="-4"/>
          <w:sz w:val="24"/>
          <w:szCs w:val="30"/>
        </w:rPr>
        <w:fldChar w:fldCharType="separate"/>
      </w:r>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4996" w:history="1">
        <w:r w:rsidRPr="00E92C0D">
          <w:rPr>
            <w:rStyle w:val="aa"/>
            <w:rFonts w:ascii="宋体" w:hAnsi="宋体" w:hint="eastAsia"/>
            <w:noProof/>
            <w:kern w:val="0"/>
            <w:sz w:val="24"/>
          </w:rPr>
          <w:t>重要提示</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_Toc227914996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4997" w:history="1">
        <w:r w:rsidRPr="00E92C0D">
          <w:rPr>
            <w:rStyle w:val="aa"/>
            <w:rFonts w:ascii="宋体" w:hAnsi="宋体" w:hint="eastAsia"/>
            <w:noProof/>
            <w:sz w:val="24"/>
          </w:rPr>
          <w:t>一、绪言</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_Toc227914997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4</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4998" w:history="1">
        <w:r w:rsidRPr="00E92C0D">
          <w:rPr>
            <w:rStyle w:val="aa"/>
            <w:rFonts w:ascii="宋体" w:hAnsi="宋体" w:hint="eastAsia"/>
            <w:noProof/>
            <w:sz w:val="24"/>
          </w:rPr>
          <w:t>二、释义</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_Toc227914998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5</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4999" w:history="1">
        <w:r w:rsidRPr="00E92C0D">
          <w:rPr>
            <w:rStyle w:val="aa"/>
            <w:rFonts w:ascii="宋体" w:hAnsi="宋体" w:hint="eastAsia"/>
            <w:noProof/>
            <w:sz w:val="24"/>
          </w:rPr>
          <w:t>三、基金管理人</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_Toc227914999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10</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0" w:history="1">
        <w:r w:rsidRPr="00E92C0D">
          <w:rPr>
            <w:rStyle w:val="aa"/>
            <w:rFonts w:ascii="宋体" w:hAnsi="宋体" w:hint="eastAsia"/>
            <w:noProof/>
            <w:sz w:val="24"/>
          </w:rPr>
          <w:t>四、基金托管人</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_Toc227915000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18</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1" w:history="1">
        <w:r w:rsidRPr="00E92C0D">
          <w:rPr>
            <w:rStyle w:val="aa"/>
            <w:rFonts w:ascii="宋体" w:hAnsi="宋体" w:hint="eastAsia"/>
            <w:noProof/>
            <w:sz w:val="24"/>
          </w:rPr>
          <w:t>五、相关服务机构</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_Toc227915001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22</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2" w:history="1">
        <w:r w:rsidRPr="00E92C0D">
          <w:rPr>
            <w:rStyle w:val="aa"/>
            <w:rFonts w:ascii="宋体" w:hAnsi="宋体" w:hint="eastAsia"/>
            <w:noProof/>
            <w:sz w:val="24"/>
          </w:rPr>
          <w:t>六、基金的募集</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_Toc227915002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30</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3" w:history="1">
        <w:r w:rsidRPr="00E92C0D">
          <w:rPr>
            <w:rStyle w:val="aa"/>
            <w:rFonts w:ascii="宋体" w:hAnsi="宋体" w:hint="eastAsia"/>
            <w:noProof/>
            <w:sz w:val="24"/>
          </w:rPr>
          <w:t>七、基金合同的生效</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_Toc227915003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31</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4" w:history="1">
        <w:r w:rsidRPr="00E92C0D">
          <w:rPr>
            <w:rStyle w:val="aa"/>
            <w:rFonts w:ascii="宋体" w:hAnsi="宋体" w:hint="eastAsia"/>
            <w:noProof/>
            <w:sz w:val="24"/>
          </w:rPr>
          <w:t>八、基金份额的申购与赎回</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_Toc227915004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32</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5" w:history="1">
        <w:r w:rsidRPr="00E92C0D">
          <w:rPr>
            <w:rStyle w:val="aa"/>
            <w:rFonts w:ascii="宋体" w:hAnsi="宋体" w:hint="eastAsia"/>
            <w:noProof/>
            <w:sz w:val="24"/>
          </w:rPr>
          <w:t>九、基金的转换</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_Toc227915005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46</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6" w:history="1">
        <w:r w:rsidRPr="00E92C0D">
          <w:rPr>
            <w:rStyle w:val="aa"/>
            <w:rFonts w:ascii="宋体" w:hAnsi="宋体" w:hint="eastAsia"/>
            <w:noProof/>
            <w:sz w:val="24"/>
          </w:rPr>
          <w:t>十、基金的投资</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_Toc227915006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53</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7" w:history="1">
        <w:r w:rsidRPr="00E92C0D">
          <w:rPr>
            <w:rStyle w:val="aa"/>
            <w:rFonts w:ascii="宋体" w:hAnsi="宋体" w:hint="eastAsia"/>
            <w:noProof/>
            <w:sz w:val="24"/>
          </w:rPr>
          <w:t>十一、基金的业绩</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_Toc227915007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63</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8" w:history="1">
        <w:r w:rsidRPr="00E92C0D">
          <w:rPr>
            <w:rStyle w:val="aa"/>
            <w:rFonts w:ascii="宋体" w:hAnsi="宋体" w:hint="eastAsia"/>
            <w:noProof/>
            <w:sz w:val="24"/>
          </w:rPr>
          <w:t>十二、基金的财产</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_Toc227915008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66</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09" w:history="1">
        <w:r w:rsidRPr="00E92C0D">
          <w:rPr>
            <w:rStyle w:val="aa"/>
            <w:rFonts w:ascii="宋体" w:hAnsi="宋体" w:hint="eastAsia"/>
            <w:noProof/>
            <w:sz w:val="24"/>
          </w:rPr>
          <w:t>十三、基金资产的估值</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_Toc227915009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67</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0" w:history="1">
        <w:r w:rsidRPr="00E92C0D">
          <w:rPr>
            <w:rStyle w:val="aa"/>
            <w:rFonts w:ascii="宋体" w:hAnsi="宋体" w:hint="eastAsia"/>
            <w:noProof/>
            <w:sz w:val="24"/>
          </w:rPr>
          <w:t>十四、基金收益与分配</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_Toc227915010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72</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1" w:history="1">
        <w:r w:rsidRPr="00E92C0D">
          <w:rPr>
            <w:rStyle w:val="aa"/>
            <w:rFonts w:ascii="宋体" w:hAnsi="宋体" w:hint="eastAsia"/>
            <w:noProof/>
            <w:sz w:val="24"/>
          </w:rPr>
          <w:t>十五、基金的费用与税收</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_Toc227915011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74</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2" w:history="1">
        <w:r w:rsidRPr="00E92C0D">
          <w:rPr>
            <w:rStyle w:val="aa"/>
            <w:rFonts w:ascii="宋体" w:hAnsi="宋体" w:hint="eastAsia"/>
            <w:noProof/>
            <w:sz w:val="24"/>
          </w:rPr>
          <w:t>十六、基金的会计与审计</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_Toc227915012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77</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3" w:history="1">
        <w:r w:rsidRPr="00E92C0D">
          <w:rPr>
            <w:rStyle w:val="aa"/>
            <w:rFonts w:ascii="宋体" w:hAnsi="宋体" w:hint="eastAsia"/>
            <w:noProof/>
            <w:sz w:val="24"/>
          </w:rPr>
          <w:t>十七、基金的信息披露</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_Toc227915013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78</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4" w:history="1">
        <w:r w:rsidRPr="00E92C0D">
          <w:rPr>
            <w:rStyle w:val="aa"/>
            <w:rFonts w:ascii="宋体" w:hAnsi="宋体" w:hint="eastAsia"/>
            <w:noProof/>
            <w:sz w:val="24"/>
          </w:rPr>
          <w:t>十八、侧袋机制</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_Toc227915014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85</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5" w:history="1">
        <w:r w:rsidRPr="00E92C0D">
          <w:rPr>
            <w:rStyle w:val="aa"/>
            <w:rFonts w:ascii="宋体" w:hAnsi="宋体" w:hint="eastAsia"/>
            <w:noProof/>
            <w:sz w:val="24"/>
          </w:rPr>
          <w:t>十九、风险揭示</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_Toc227915015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88</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6" w:history="1">
        <w:r w:rsidRPr="00E92C0D">
          <w:rPr>
            <w:rStyle w:val="aa"/>
            <w:rFonts w:ascii="宋体" w:hAnsi="宋体" w:hint="eastAsia"/>
            <w:noProof/>
            <w:sz w:val="24"/>
          </w:rPr>
          <w:t>二十、基金合同的变更、终止与基金财产的清算</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_Toc227915016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95</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7" w:history="1">
        <w:r w:rsidRPr="00E92C0D">
          <w:rPr>
            <w:rStyle w:val="aa"/>
            <w:rFonts w:ascii="宋体" w:hAnsi="宋体" w:hint="eastAsia"/>
            <w:noProof/>
            <w:sz w:val="24"/>
          </w:rPr>
          <w:t>二十一、基金合同内容摘要</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_Toc227915017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97</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8" w:history="1">
        <w:r w:rsidRPr="00E92C0D">
          <w:rPr>
            <w:rStyle w:val="aa"/>
            <w:rFonts w:ascii="宋体" w:hAnsi="宋体" w:hint="eastAsia"/>
            <w:noProof/>
            <w:sz w:val="24"/>
          </w:rPr>
          <w:t>二十二、托管协议的内容摘要</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_Toc227915018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113</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19" w:history="1">
        <w:r w:rsidRPr="00E92C0D">
          <w:rPr>
            <w:rStyle w:val="aa"/>
            <w:rFonts w:ascii="宋体" w:hAnsi="宋体" w:hint="eastAsia"/>
            <w:noProof/>
            <w:sz w:val="24"/>
          </w:rPr>
          <w:t>二十三、对基金份额持有人的服务</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_Toc227915019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123</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20" w:history="1">
        <w:r w:rsidRPr="00E92C0D">
          <w:rPr>
            <w:rStyle w:val="aa"/>
            <w:rFonts w:ascii="宋体" w:hAnsi="宋体" w:hint="eastAsia"/>
            <w:noProof/>
            <w:sz w:val="24"/>
          </w:rPr>
          <w:t>二十四、其他应披露事项</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_Toc227915020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125</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21" w:history="1">
        <w:r w:rsidRPr="00E92C0D">
          <w:rPr>
            <w:rStyle w:val="aa"/>
            <w:rFonts w:ascii="宋体" w:hAnsi="宋体" w:hint="eastAsia"/>
            <w:noProof/>
            <w:sz w:val="24"/>
          </w:rPr>
          <w:t>二十五、招募说明书的存放及查阅方式</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_Toc227915021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127</w:t>
        </w:r>
        <w:r w:rsidRPr="00E92C0D">
          <w:rPr>
            <w:rFonts w:ascii="宋体" w:hAnsi="宋体"/>
            <w:noProof/>
            <w:sz w:val="24"/>
          </w:rPr>
          <w:fldChar w:fldCharType="end"/>
        </w:r>
      </w:hyperlink>
    </w:p>
    <w:p w:rsidR="00E92C0D" w:rsidRPr="00E92C0D" w:rsidRDefault="00E92C0D" w:rsidP="00E92C0D">
      <w:pPr>
        <w:pStyle w:val="10"/>
        <w:tabs>
          <w:tab w:val="right" w:leader="dot" w:pos="8550"/>
        </w:tabs>
        <w:spacing w:line="360" w:lineRule="auto"/>
        <w:rPr>
          <w:rFonts w:ascii="宋体" w:hAnsi="宋体" w:cstheme="minorBidi"/>
          <w:noProof/>
          <w:sz w:val="24"/>
        </w:rPr>
      </w:pPr>
      <w:hyperlink w:anchor="_Toc227915022" w:history="1">
        <w:r w:rsidRPr="00E92C0D">
          <w:rPr>
            <w:rStyle w:val="aa"/>
            <w:rFonts w:ascii="宋体" w:hAnsi="宋体" w:hint="eastAsia"/>
            <w:noProof/>
            <w:sz w:val="24"/>
          </w:rPr>
          <w:t>二十六、备查文件</w:t>
        </w:r>
        <w:r w:rsidRPr="00E92C0D">
          <w:rPr>
            <w:rFonts w:ascii="宋体" w:hAnsi="宋体"/>
            <w:noProof/>
            <w:sz w:val="24"/>
          </w:rPr>
          <w:tab/>
        </w:r>
        <w:r w:rsidRPr="00E92C0D">
          <w:rPr>
            <w:rFonts w:ascii="宋体" w:hAnsi="宋体"/>
            <w:noProof/>
            <w:sz w:val="24"/>
          </w:rPr>
          <w:fldChar w:fldCharType="begin"/>
        </w:r>
        <w:r w:rsidRPr="00E92C0D">
          <w:rPr>
            <w:rFonts w:ascii="宋体" w:hAnsi="宋体"/>
            <w:noProof/>
            <w:sz w:val="24"/>
          </w:rPr>
          <w:instrText xml:space="preserve"> PAGEREF _Toc227915022 \h </w:instrText>
        </w:r>
        <w:r w:rsidRPr="00E92C0D">
          <w:rPr>
            <w:rFonts w:ascii="宋体" w:hAnsi="宋体"/>
            <w:noProof/>
            <w:sz w:val="24"/>
          </w:rPr>
        </w:r>
        <w:r w:rsidRPr="00E92C0D">
          <w:rPr>
            <w:rFonts w:ascii="宋体" w:hAnsi="宋体"/>
            <w:noProof/>
            <w:sz w:val="24"/>
          </w:rPr>
          <w:fldChar w:fldCharType="separate"/>
        </w:r>
        <w:r w:rsidRPr="00E92C0D">
          <w:rPr>
            <w:rFonts w:ascii="宋体" w:hAnsi="宋体"/>
            <w:noProof/>
            <w:sz w:val="24"/>
          </w:rPr>
          <w:t>128</w:t>
        </w:r>
        <w:r w:rsidRPr="00E92C0D">
          <w:rPr>
            <w:rFonts w:ascii="宋体" w:hAnsi="宋体"/>
            <w:noProof/>
            <w:sz w:val="24"/>
          </w:rPr>
          <w:fldChar w:fldCharType="end"/>
        </w:r>
      </w:hyperlink>
    </w:p>
    <w:p w:rsidR="00617C78" w:rsidRPr="00E92C0D" w:rsidRDefault="00E92C0D" w:rsidP="00E92C0D">
      <w:pPr>
        <w:pStyle w:val="ad"/>
        <w:snapToGrid w:val="0"/>
        <w:spacing w:after="240" w:line="360" w:lineRule="auto"/>
        <w:jc w:val="center"/>
        <w:rPr>
          <w:rFonts w:ascii="宋体" w:hAnsi="宋体"/>
          <w:color w:val="000000"/>
          <w:sz w:val="24"/>
        </w:rPr>
      </w:pPr>
      <w:r w:rsidRPr="00E92C0D">
        <w:rPr>
          <w:rFonts w:ascii="宋体" w:hAnsi="宋体"/>
          <w:color w:val="000000"/>
          <w:position w:val="-4"/>
          <w:sz w:val="24"/>
          <w:szCs w:val="30"/>
        </w:rPr>
        <w:fldChar w:fldCharType="end"/>
      </w:r>
      <w:bookmarkStart w:id="3" w:name="_GoBack"/>
      <w:bookmarkEnd w:id="3"/>
    </w:p>
    <w:p w:rsidR="00617C78" w:rsidRDefault="00617C78">
      <w:pPr>
        <w:autoSpaceDE w:val="0"/>
        <w:autoSpaceDN w:val="0"/>
        <w:adjustRightInd w:val="0"/>
        <w:snapToGrid w:val="0"/>
        <w:spacing w:line="360" w:lineRule="auto"/>
        <w:ind w:left="120" w:rightChars="6" w:right="13"/>
        <w:rPr>
          <w:rFonts w:ascii="宋体" w:hAnsi="宋体"/>
          <w:kern w:val="0"/>
          <w:szCs w:val="24"/>
        </w:rPr>
        <w:sectPr w:rsidR="00617C78">
          <w:pgSz w:w="11920" w:h="16840"/>
          <w:pgMar w:top="1480" w:right="1680" w:bottom="280" w:left="1680" w:header="0" w:footer="1073" w:gutter="0"/>
          <w:cols w:space="720"/>
        </w:sectPr>
      </w:pPr>
    </w:p>
    <w:p w:rsidR="00617C78" w:rsidRDefault="00727E54">
      <w:pPr>
        <w:pStyle w:val="1"/>
        <w:snapToGrid w:val="0"/>
        <w:spacing w:beforeLines="0" w:before="240" w:after="240"/>
        <w:rPr>
          <w:rFonts w:ascii="宋体" w:hAnsi="宋体"/>
          <w:szCs w:val="30"/>
        </w:rPr>
      </w:pPr>
      <w:bookmarkStart w:id="4" w:name="_Toc227914997"/>
      <w:r>
        <w:rPr>
          <w:rFonts w:ascii="Times New Roman" w:hAnsi="Times New Roman"/>
          <w:sz w:val="30"/>
        </w:rPr>
        <w:lastRenderedPageBreak/>
        <w:t>一、绪言</w:t>
      </w:r>
      <w:bookmarkEnd w:id="4"/>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裕如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裕如纯债债券型证券投资基金基金合同》（以下简称“基金合同”）编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5" w:name="_Toc227914998"/>
      <w:r>
        <w:rPr>
          <w:rFonts w:ascii="Times New Roman" w:hAnsi="Times New Roman"/>
          <w:sz w:val="30"/>
        </w:rPr>
        <w:lastRenderedPageBreak/>
        <w:t>二、释义</w:t>
      </w:r>
      <w:bookmarkEnd w:id="5"/>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1、基金或本基金：指交银施罗德裕如纯债债券型证券投资基金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3、基金托管人或本基金托管人：指浙商银行股份有限公司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4、基金合同或《基金合同》：指《交银施罗德裕如纯债债券型证券投资基金基金合同》及对基金合同的任何有效修订和补充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5、托管协议：指基金管理人与基金托管人就本基金签订之《交银施罗德裕如纯债债券型证券投资基金托管协议》及对该托管协议的任何有效修订和补充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6、招募说明书、本招募说明书或《招募说明书》：指《交银施罗德裕如纯债债券型证券投资基金招募说明书》及其更新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7、基金份额发售公告：指《交银施罗德裕如纯债债券型证券投资基金基金份额发售公告》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8、基金产品资料概要：指《交银施罗德裕如纯债债券型证券投资基金基金产品资料概要》及其更新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 2017年8月31日颁布、同年10月1日实施的《公开募集开放式证券投资基金流动性风险管理规定》及颁布机关对其不时做出的修订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18、银行业监督管理机构：指中国人民银行和/或中国银行业监督管理委员会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42、认购：指在基金募集期内，投资人根据基金合同和招募说明书的规定申请购买基金份额的行为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45、销售服务费：指从基金资产中计提的，用于本基金市场推广、销售以及基金份额持有人服务的费用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份额类别：指本基金根据认购/申购费用、赎回费率、销售服务费收取标准和方式的不同，将基金份额分为不同的类别。在投资人认购/申购时收取认购/申购费用、赎回时收取赎回费用的，称为A类基金份额；在投资人认购/申购时不收取认购/申购费用、赎回时收取赎回费用，并从本类别基金资产中计提销售服务费的，称为C类基金份额；在投资人申购时不收取申购费用、赎回时收取赎回费用，并从本类别基金资产中计提销售服务费的，称为E类基金份额；C类基金份额与E类基金份额设置不同的赎回费收取标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52、基金收益：指基金投资所得债券利息、买卖证券价差、银行存款利息、已实现的其他合法收入及因运用基金财产带来的成本和费用的节约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53、基金资产总值：指基金拥有的各类有价证券、银行存款本息、基金应收申</w:t>
      </w:r>
      <w:r>
        <w:rPr>
          <w:rFonts w:ascii="宋体" w:hAnsi="宋体"/>
          <w:sz w:val="24"/>
        </w:rPr>
        <w:lastRenderedPageBreak/>
        <w:t>购款及其他资产的价值总和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6" w:name="_Toc227914999"/>
      <w:r>
        <w:rPr>
          <w:rFonts w:ascii="Times New Roman" w:hAnsi="Times New Roman"/>
          <w:sz w:val="30"/>
        </w:rPr>
        <w:lastRenderedPageBreak/>
        <w:t>三、基金管理人</w:t>
      </w:r>
      <w:bookmarkEnd w:id="6"/>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基金经理。上海财经大学金融学博士，10年证券投资行业从业经验。2016年至2017年任国金证券研究所研究员。2017年加入交银施罗德基金管理有限公司，历任固定收益部研究员，基金经理助理。曾任交银施罗德裕景纯债一年定期开放债券型证券投资基金(2023年06月09日至2026年03月06日)、交银施罗德鑫选回报混合型证券投资基金(2023年06月09日至2024年05月22日)、交银施罗德增利债券证券投资基金(2023年06月09日至2024年11月23日)的基金经理。现任交银施罗德中债1-3年农发行债券指数证券投资基金(2023年06月09日至今)、交银施罗德裕坤纯债一年定期开放债券型发起式证券投资基金(2023年06月09日至今)、交银施罗德裕泰两年定期开放债券型证券投资基金(2023年06月09日至今)、交银施罗德裕如纯债债券型证券投资基金(2023年06月09日至今)、交银施罗德中债1-3年政策性金融债指数证券投资基金(2023年08月23日至今)、交银施罗德裕祥纯债债券型证券投资基金(2024年02月08日至今)、交银施罗德中债0-3年政策性金融债指数证券投资基金(2024年12月19日至今)、交银施罗德丰润收益债券型证券投资基金(2025年01月09日至今)、交银施罗德裕盈纯债债券型证券投资基金(2025年01月17日至今)、交银施罗德境尚收益债券型证券投资基金(2026年01月08日至今)的基金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于海颖女士(2018年05月25日至2021年01月15日)；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魏玉敏女士(2018年08月29日至2023年09月11日)；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于海颖女士(2023年09月07日至2024年11月23日)。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上述人员之间不存在近亲属关系。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（7）玩忽职守，不按照规定履行职责；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7" w:name="_Toc227915000"/>
      <w:r>
        <w:rPr>
          <w:rFonts w:ascii="Times New Roman" w:hAnsi="Times New Roman"/>
          <w:sz w:val="30"/>
        </w:rPr>
        <w:lastRenderedPageBreak/>
        <w:t>四、基金托管人</w:t>
      </w:r>
      <w:bookmarkEnd w:id="7"/>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名称：浙商银行股份有限公司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住所：浙江省杭州市萧山区鸿宁路1788号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法定代表人：陈海强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电话：0571-88269636</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传真：0571-88268688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成立时间：1993年04月16日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注册资本：人民币27,464,635,963元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批准设立机关和批准设立文号：中国银行业监督管理委员会银监复〔2004〕91号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基金托管资格批文及文号：《关于核准浙商银行股份有限公司证券投资基金托管资格的批复》；证监许可〔2013〕1519号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国务院银行业监督管理机构批准的其他业务。本行经中国人民银行批准，可以经营结汇、售汇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刚先生，本公司资产托管部总经理。赵先生曾任中国工商银行四川省分行项目信贷处经理，浙商银行成都分行风险管理、授信评审、公司银行部总经理助理、副总、总经理，浙商银行兰州分行风险监控官、副行长，浙商银行成都分行副行长，浙商银行重庆分行行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3、发展概况及基金托管业务经营情况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浙商银行是十二家全国性股份制商业银行之一，于2004年8月18日正式开业，总部设在浙江杭州，系“A+H”上市银行、国内系统重要性银行。开业以来，浙商银行立足浙江、放眼全局，全力服务国家战略，努力为社会提供优质、高效的金融服务，已成为一家基础扎实、效益优良、风控完善的优质商业银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浙商银行锚定“一流的商业银行”发展愿景，始终坚持以全面加强党的领导为根本保证，以深耕浙江、服务实体为落脚点，以改革创新、完善治理为基本路径，以防范风险、安全发展为底线要求，深入践行管理立行、服务优行、科技兴行、人才强行，持续打造特色竞争优势，系统夯实稳健发展根基，全面开启高质量发展新征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2025年，浙商银行营业收入625.14亿元，比上年下降7.59%；归属于本行股东的净利润129.31亿元，比上年下降14.85%。截至报告期末，总资产3.48万亿元，比上年末增长4.68%，其中：发放贷款和垫款总额1.92万亿元，比上年末增长3.53%；总负债3.27万亿元，比上年末增长4.83%，其中：吸收存款余额2.04万亿元，比上年末增长6.30%；不良贷款率1.36%、拨备覆盖率155.37%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浙商银行在全国22个省（自治区、直辖市）及香港特别行政区，设立了373家分支机构，实现了对浙江大本营、长三角、粤港澳大湾区等重点区域的有效覆盖，旗下有浙银金租、浙银理财两家子公司。在英国《银行家》(The Banker)杂志“2025年全球银行1000强”榜单中，浙商银行按一级资本计位列82位。中诚信国际给予浙商银行金融机构评级中最高等级AAA主体信用评级，标普和穆迪给予浙商银行“投资级”国际评级。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浙商银行资产托管部是总行独立的一级管理部门，下设业务管理中心、营销中心、运营中心、监督中心、数字化中心等5个二级部门，保证了托管业务前、中、后台的完整与独立。截至2025年12月31日，浙商银行资产托管部从业人员共49名，估值清算合作机构派驻人员17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浙商银行于2013年11月13日取得基金托管资格。截至2025年12月31日，浙商银行托管证券投资基金266只，托管基金的基金资产净值合计5819.11亿元，基金份额合计5525.40亿份。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（二）基金托管人内部风险控制制度说明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严格遵守国家有关托管业务的法律、法规、规章、行政性规定、行业准则和行</w:t>
      </w:r>
      <w:r>
        <w:rPr>
          <w:rFonts w:ascii="宋体" w:hAnsi="宋体"/>
          <w:sz w:val="24"/>
        </w:rPr>
        <w:lastRenderedPageBreak/>
        <w:t>内有关管理规定，守法经营、规范运作、严格监察，确保业务的稳健运行，保证基金资产的安全完整，确保有关信息的真实、准确、完整、及时，保护基金份额持有人的合法权益。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浙商银行总行资产托管部是全行资产托管业务的管理和运营部门，资产托管部专门设置了监督稽核团队，配备了专职内部监察稽核人员负责托管业务的内部控制和风险管理工作，具有独立行使监督稽核工作的职权和能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3.内部风险控制原则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建立了托管系统和完善的制度控制体系。制度体系包含管理制度、实施细则、岗位职责、业务操作流程，可以保证托管业务的规范操作、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负有对基金管理人的投资运作行使监督权的职责。根据《基金法》、《公开募集证券投资基金运作管理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基金法》、《公开募集证券投资基金运作管理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基金托管人发现基金管理人有重大违规行为，立即报告中国证监会，同时，通知基金管理人限期纠正，并将纠正结果报告中国证监会。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基金托管人发现基金管理人的指令违反法律、行政法规和其他有关规定，或者</w:t>
      </w:r>
      <w:r>
        <w:rPr>
          <w:rFonts w:ascii="宋体" w:hAnsi="宋体"/>
          <w:sz w:val="24"/>
        </w:rPr>
        <w:lastRenderedPageBreak/>
        <w:t>违反基金合同约定的，应当拒绝执行，立即通知基金管理人，并及时向中国证监会报告。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基金托管人发现基金管理人依据交易程序已经生效的指令违反法律、行政法规和其他有关规定，或者违反基金合同约定的，应当立即通知基金管理人，并及时向中国证监会报告。</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8" w:name="_Toc227915001"/>
      <w:r>
        <w:rPr>
          <w:rFonts w:ascii="Times New Roman" w:hAnsi="Times New Roman"/>
          <w:sz w:val="30"/>
        </w:rPr>
        <w:lastRenderedPageBreak/>
        <w:t>五、相关服务机构</w:t>
      </w:r>
      <w:bookmarkEnd w:id="8"/>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个人投资者可以通过基金管理人网上直销交易平台办理开户、本基金A类基金份额和E类基金份额的申购、赎回、转换、定期定额投资等业务，具体交易细则请参阅基金管理人网站。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本基金A类基金份额除直销机构外的其他销售机构：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（6）名称：华西证券股份有限公司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（7）名称：国信证券股份有限公司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（8）名称：中信建投证券股份有限公司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（9）名称：国金证券股份有限公司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（10）名称：光大证券股份有限公司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（11）名称：上海基煜基金销售有限公司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（12）名称：北京汇成基金销售有限公司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（13）名称：上海挖财基金销售有限公司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（14）名称：南京苏宁基金销售有限公司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（15）名称：上海利得基金销售有限公司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办公地址：上海市虹口区东大名路1098号浦江国际金融广场53层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（16）名称：上海联泰基金销售有限公司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（17）名称：上海万得基金销售有限公司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（18）名称：北京创金启富基金销售有限公司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（19）名称：腾安基金销售（深圳）有限公司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（20）名称：蚂蚁（杭州）基金销售有限公司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本基金E类基金份额暂仅通过直销机构销售。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9" w:name="_Toc227915002"/>
      <w:r>
        <w:rPr>
          <w:rFonts w:ascii="Times New Roman" w:hAnsi="Times New Roman"/>
          <w:sz w:val="30"/>
        </w:rPr>
        <w:lastRenderedPageBreak/>
        <w:t>六、基金的募集</w:t>
      </w:r>
      <w:bookmarkEnd w:id="9"/>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本基金由基金管理人依照《基金法》、《运作办法》、《销售办法》、基金合同及其他有关规定，并经中国证监会2018年4月16日证监许可[2018]693号文准予募集注册。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本基金为契约型开放式债券型证券投资基金。基金存续期间为不定期。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本基金于2018年5月22日当日进行发售，本基金设立募集期共募集210,015,777.03份基金份额，有效认购户数为350户。</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0" w:name="_Toc227915003"/>
      <w:r>
        <w:rPr>
          <w:rFonts w:ascii="Times New Roman" w:hAnsi="Times New Roman"/>
          <w:sz w:val="30"/>
        </w:rPr>
        <w:lastRenderedPageBreak/>
        <w:t>七、基金合同的生效</w:t>
      </w:r>
      <w:bookmarkEnd w:id="10"/>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根据有关规定，本基金满足基金合同生效条件，基金合同已于2018年5月25日正式生效。自基金合同生效之日起，本基金管理人正式开始管理本基金。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1" w:name="_Toc227915004"/>
      <w:r>
        <w:rPr>
          <w:rFonts w:ascii="Times New Roman" w:hAnsi="Times New Roman"/>
          <w:sz w:val="30"/>
        </w:rPr>
        <w:lastRenderedPageBreak/>
        <w:t>八、基金份额的申购与赎回</w:t>
      </w:r>
      <w:bookmarkEnd w:id="11"/>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住所：中国(上海)自由贸易试验区城中路188号交通银行大楼二层（裙）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个人投资者可以通过基金管理人网上直销交易平台办理开户、本基金A类基金份额和E类基金份额的申购、赎回、定期定额投资、转换等业务，具体交易细则请参阅基金管理人网站。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本基金A类基金份额已于2018年6月21日起开放申购、赎回业务。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本基金E类基金份额已于2023年8月30日起开放申购、赎回业务。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基金管理人届时发布的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余额的数量限制，基金管理人必须在调整实施前依照《信息披露办法》的有关规定在指定媒介上刊登公告并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3、申购和赎回申请的确认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E类基金份额。投资人申购A类基金份额在申购时支付申购费用、赎回时收取赎回费用，申购C类基金份额或E类基金份额不支付申购费用、赎回时收取赎回费用，并从该类别基金资产中计提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7C7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617C7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或E类基金份额收取赎回费用，该费用随基金份额的持有时间递减。本基金A类基金份额、C类基金份额和E类基金份额的赎回费用由该类基金份额赎回人承担，对于持续持有期间少于7天的投资人收取的赎回费全额计入基金财产，对于持续持有期间大于等于7天的投资人收取的赎回费总额的25%应归基金财产，其余用于支付登记费和其他必要的手续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7C7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7C7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7C7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7C7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7C78" w:rsidRDefault="00617C7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A类基金份额、C类基金份额或E类基金份额的有效份额为净申购金额除以当日该类基金份额的基金份额净值，有效份额单位为份，申购份额计算结果按四舍五入方法，保留到小数点后2位，由此产生的收益或损失由基金财产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C类基金份额和E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例二：某养老金客户投资100,000元通过基金管理人的直销柜台申购本基金的A类基金份额，假设申购当日A类基金份额净值为1.0400元，申购费率为0.32%，则其可得到的申购份额为：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净申购金额=100,000/（1+0.32%）=99,681.02元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（3）E类基金份额的申购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如果投资者选择申购E类基金份额，则申购份额的计算方法如下：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申购份额=申购总金额/T日E类基金份额净值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例四：某投资者投资100,000元申购本基金的E类基金份额，假设申购当日E类基金份额净值为1.0400元，则其可得到的申购份额为：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即：投资者投资100,000元申购本基金的E类基金份额，假设申购当日E类基金份额净值为1.0400元，则其可得到96,153.85份E类基金份额。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C类基金份额或E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如果投资者赎回A类基金份额，则赎回金额的计算方法如下：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例五：某投资者在持有期限为20天时赎回100,000份A类基金份额，对应的赎回费率为0.1%，假设赎回当日A类基金份额净值是1.0160元，则其可得到的赎回金额为：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即：投资者在持有期限为20天时赎回100,000份A类基金份额，对应的赎回费率为0.1%，假设赎回当日A类基金份额净值是1.0160元，则其可得到的赎回金额为101,498.40元。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例六：某投资者在持有期限为20天时赎回100,000份C类基金份额，对应的赎回费率为0.1%，假设赎回当日C类基金份额净值是1.0160元，则其可得到的赎回金额为：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即：投资者在持有期限为20天时赎回100,000份C类基金份额，对应的赎回费率为0.1%，假设赎回当日C类基金份额净值是1.0160元，则其可得到的赎回金额为101,498.40元。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（3）E类基金份额的赎回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投资者赎回E类基金份额，赎回金额的计算方法如下：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赎回费用=赎回份额×T日E类基金份额净值×赎回费率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赎回金额=赎回份额×T日E类基金份额净值—赎回费用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例七：某投资者在持有期限为6天时赎回100,000份E类基金份额，对应的赎回费率为1.5%，假设赎回当日E类基金份额净值是1.0160元，则其可得到的赎回金额为：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赎回费用=100,000×1.0160×1.5%＝1,524.00元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即：投资者在持有期限为6天时赎回100,000份E类基金份额，对应的赎回费率为1.5%，假设赎回当日E类基金份额净值是1.0160元，则其可得到的赎回金额为100,076.00元。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E类基金份额净值＝E类基金份额的基金资产净值总额/发行在外的E类基金份额总数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C类基金份额和E类基金份额的基金份额净值的计算，均保留到小数点后4位，小数点后第5位四舍五入，由此误差产生的收益或损失由基金财产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w:t>
      </w:r>
      <w:r>
        <w:rPr>
          <w:rFonts w:ascii="宋体" w:hAnsi="宋体"/>
          <w:sz w:val="24"/>
        </w:rPr>
        <w:lastRenderedPageBreak/>
        <w:t>额的比例超过50%，或者变相规避50%集中度的。出现上述情形时，基金管理人有权将上述申购申请全部或部分确认失败。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8、当前一估值日基金资产净值50%以上的资产出现无可参考的活跃市场价格且采用估值技术仍导致公允价值存在重大不确定性时，经与基金托管人协商确认后，基金管理人应当暂停接受申购申请。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w:t>
      </w:r>
      <w:r>
        <w:rPr>
          <w:rFonts w:ascii="宋体" w:hAnsi="宋体"/>
          <w:sz w:val="24"/>
        </w:rPr>
        <w:lastRenderedPageBreak/>
        <w:t>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发生巨额赎回且单个基金份额持有人的赎回申请超过上一日基金总份额20%的情形下，基金管理人可以对基金份额持有人当日超过20%的赎回申请进行延期办理；对于基金份额持有人未超过上述比例的部分，基金管理人可以根据前段“（1）全额赎回”或“（2）部分延期赎回”的约定方式与其他基金份额持有人的</w:t>
      </w:r>
      <w:r>
        <w:rPr>
          <w:rFonts w:ascii="宋体" w:hAnsi="宋体"/>
          <w:sz w:val="24"/>
        </w:rPr>
        <w:lastRenderedPageBreak/>
        <w:t>赎回申请一并办理。如基金份额持有人在当日选择取消赎回，则其当日未获受理的部分赎回申请将被撤销。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w:t>
      </w:r>
      <w:r>
        <w:rPr>
          <w:rFonts w:ascii="宋体" w:hAnsi="宋体"/>
          <w:sz w:val="24"/>
        </w:rPr>
        <w:lastRenderedPageBreak/>
        <w:t>规定。投资人在办理定期定额投资计划时可自行约定每期扣款金额，每期扣款金额必须不低于基金管理人在相关公告或更新的招募说明书中所规定的定期定额投资计划最低申购金额。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20日刊登公告自2021年4月21日起开通本基金A类基金份额的定期定额投资计划业务，本基金2023年8月29日刊登公告自2023年8月30日起增设E类基金份额并开通E类基金份额的定期定额投资计划业务，具体开通销售机构名单和业务规则参见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2" w:name="_Toc227915005"/>
      <w:r>
        <w:rPr>
          <w:rFonts w:ascii="Times New Roman" w:hAnsi="Times New Roman"/>
          <w:sz w:val="30"/>
        </w:rPr>
        <w:lastRenderedPageBreak/>
        <w:t>九、基金的转换</w:t>
      </w:r>
      <w:bookmarkEnd w:id="12"/>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8月23日刊登公告自2022年8月26日起开放A类基金份额的日常转换业务。本基金2023年8月29日刊登公告自2023年8月30日起增设E类基金份额并开通E类基金份额的日常转换业务。本基金尚未开放C类基金份额的日常转换业务，故本章内容目前仅适用于本基金A类基金份额和E类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销售的同一基金管理人管理的、在同一注册登记机构处注册登记的基金。投资人办理基金转换业务时，转出方的基金必须处于可赎回状态，转入方的基金必须处于可申购状态。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3" w:name="_Toc227915006"/>
      <w:r>
        <w:rPr>
          <w:rFonts w:ascii="Times New Roman" w:hAnsi="Times New Roman"/>
          <w:sz w:val="30"/>
        </w:rPr>
        <w:lastRenderedPageBreak/>
        <w:t>十、基金的投资</w:t>
      </w:r>
      <w:bookmarkEnd w:id="13"/>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本基金在严格控制风险和保持资产流动性的基础上，通过积极主动的投资管理，力争持续稳定地实现超越业绩比较基准的投资回报。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到期日在一年以内的政府债券的投资比例合计不低于基金资产净值的5%，其中现金不包括结算备付金、存出保证金、应收申购款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w:t>
      </w:r>
      <w:r>
        <w:rPr>
          <w:rFonts w:ascii="宋体" w:hAnsi="宋体"/>
          <w:sz w:val="24"/>
        </w:rPr>
        <w:lastRenderedPageBreak/>
        <w:t>经济运行关键指标，运用数量化工具对宏观经济运行及货币财政政策变化跟踪与分析，对未来市场利率趋势进行分析预测，据此确定合理的债券组合目标久期。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基金管理人通过以下方面的分析来确定债券组合的目标久期：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（2）利率变动趋势分析。在宏观经济环境分析的基础上，密切关注月度CPI、PPI等物价指数，货币信贷、汇率等金融运行数据，预测未来利率的变动趋势。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5、杠杆放大策略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本基金信用债券的投资遵循以下流程：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7、资产支持证券投资策略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w:t>
      </w:r>
      <w:r>
        <w:rPr>
          <w:rFonts w:ascii="宋体" w:hAnsi="宋体"/>
          <w:sz w:val="24"/>
        </w:rPr>
        <w:lastRenderedPageBreak/>
        <w:t>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（10）本基金进入全国银行间同业市场进行债券回购的资金余额不得超过基金资产净值的40%；本基金在全国银行间同业市场中的债券回购最长期限为1 年，债券回购到期后不得展期；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w:t>
      </w:r>
      <w:r>
        <w:rPr>
          <w:rFonts w:ascii="宋体" w:hAnsi="宋体"/>
          <w:sz w:val="24"/>
        </w:rPr>
        <w:lastRenderedPageBreak/>
        <w:t>15%；因证券市场波动、基金规模变动等基金管理人之外的因素致使基金不符合该比例限制的，基金管理人不得主动新增流动性受限资产的投资；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w:t>
      </w:r>
      <w:r>
        <w:rPr>
          <w:rFonts w:ascii="宋体" w:hAnsi="宋体"/>
          <w:sz w:val="24"/>
        </w:rPr>
        <w:lastRenderedPageBreak/>
        <w:t>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中债综合全价指数收益率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侧袋账户的实施条件、实施程序、运作安排、投资安排、特定资产的处置变现和支付等对投资者权益有重大影响的事项详见本招募说明书“侧袋机制”部分的规定。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本基金托管人浙商银行股份有限公司根据本基金合同规定，于2026年04月20日复核了本报告中的财务指标、净值表现和投资组合报告等内容，保证复核内容不存在虚假记载、误导性陈述或者重大遗漏。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611,589,246.72</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99.65</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611,589,246.72</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99.65</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1,984,594.04</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147,321.43</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613,721,162.19</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 报告期末按公允价值占基金资产净值比例大小排序的前十名股票投资明细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19,993,284.53</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3.78</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591,595,962.19</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111.76</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328,225,805.48</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62.01</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611,589,246.72</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115.54</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230208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国开</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52,113,589.04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9.85</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国开</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51,051,095.89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9.64</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50,612,698.63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9.56</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250313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50,361,301.37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9.51</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49,512,876.71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9.35</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2026年02月14日,央行公示银罚决字[2026]27号行政处罚决定书,给予上海浦东发展银行股份有限公司罚没共计4250.4356万元人民币的行政处罚。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2026年02月14日,央行绍兴市分行公示绍银罚决字[2026]1号行政处罚决定书,给予浙江绍兴瑞丰农村商业银行股份有限公司316.8万元人民币的行政处罚。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2025年12月19日,国家金融监督管理总局公示行政处罚决定书,给予上海浦东发展银行股份有限公司1560万元人民币的行政处罚。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2025年10月31日,国家金融监督管理总局公示行政处罚决定书,给予上海浦东发展银行股份有限公司1270万元人民币的行政处罚。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2025年10月29日,国家外汇管理局上海市分局公示上海汇管罚字[2025]10号行政处罚决定书,给予上海浦东发展银行股份有限公司罚没共计7.5万元人民币的行政处罚。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w:t>
      </w:r>
      <w:r>
        <w:rPr>
          <w:rFonts w:ascii="宋体" w:hAnsi="宋体"/>
          <w:sz w:val="24"/>
        </w:rPr>
        <w:lastRenderedPageBreak/>
        <w:t>处罚决定书,给予国家开发银行罚没共计1394.42万元人民币的行政处罚。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147,321.43</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right"/>
              <w:rPr>
                <w:rFonts w:ascii="宋体" w:hAnsi="宋体"/>
                <w:color w:val="000000"/>
                <w:kern w:val="0"/>
                <w:sz w:val="25"/>
                <w:szCs w:val="24"/>
              </w:rPr>
            </w:pPr>
            <w:r>
              <w:rPr>
                <w:rFonts w:ascii="Times New Roman" w:hAnsi="Times New Roman"/>
                <w:color w:val="000000"/>
                <w:kern w:val="0"/>
                <w:sz w:val="25"/>
                <w:szCs w:val="24"/>
              </w:rPr>
              <w:t>147,321.43</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4" w:name="_Toc227915007"/>
      <w:r>
        <w:rPr>
          <w:rFonts w:ascii="Times New Roman" w:hAnsi="Times New Roman"/>
          <w:sz w:val="30"/>
        </w:rPr>
        <w:lastRenderedPageBreak/>
        <w:t>十一、基金的业绩</w:t>
      </w:r>
      <w:bookmarkEnd w:id="14"/>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（1）交银裕如纯债债券A：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5.71%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2.29%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2.46%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3.81%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月</w:t>
            </w:r>
            <w:r>
              <w:rPr>
                <w:rFonts w:ascii="Times New Roman" w:hAnsi="Times New Roman"/>
                <w:color w:val="000000"/>
                <w:kern w:val="0"/>
                <w:sz w:val="25"/>
                <w:szCs w:val="24"/>
              </w:rPr>
              <w:t>25</w:t>
            </w:r>
            <w:r>
              <w:rPr>
                <w:rFonts w:ascii="Times New Roman" w:hAnsi="Times New Roman"/>
                <w:color w:val="000000"/>
                <w:kern w:val="0"/>
                <w:sz w:val="25"/>
                <w:szCs w:val="24"/>
              </w:rPr>
              <w:t>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（2）交银裕如纯债债券E：</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7C7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1.74%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注：1、本基金业绩比较基准为中债综合全价指数。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2、本基金C类份额为0。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17C78" w:rsidRDefault="00727E5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交银施罗德裕如纯债债券型证券投资基金份额累计净值增长率与业绩比较基准收益率的历史走势对比图</w:t>
      </w:r>
    </w:p>
    <w:p w:rsidR="00617C78" w:rsidRDefault="00727E5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（2018年5月25日至2026年03月31日）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（1）交银裕如纯债债券A</w:t>
      </w:r>
    </w:p>
    <w:p w:rsidR="00617C78" w:rsidRDefault="00E92C0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58.5pt">
            <v:imagedata r:id="rId15" o:title="1521256610242020828"/>
          </v:shape>
        </w:pic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（2）交银裕如纯债债券E</w:t>
      </w:r>
    </w:p>
    <w:p w:rsidR="00617C78" w:rsidRDefault="00E92C0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358.5pt">
            <v:imagedata r:id="rId16" o:title="1521256610242020828"/>
          </v:shape>
        </w:pic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2、本基金C类份额为0。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3、本基金自2023年8月30日起，开始销售E类份额，投资者提交的申购申请于2023年8月31日被确认并将有效份额登记在册。</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5" w:name="_Toc227915008"/>
      <w:r>
        <w:rPr>
          <w:rFonts w:ascii="Times New Roman" w:hAnsi="Times New Roman"/>
          <w:sz w:val="30"/>
        </w:rPr>
        <w:lastRenderedPageBreak/>
        <w:t>十二、基金的财产</w:t>
      </w:r>
      <w:bookmarkEnd w:id="15"/>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6" w:name="_Toc227915009"/>
      <w:r>
        <w:rPr>
          <w:rFonts w:ascii="Times New Roman" w:hAnsi="Times New Roman"/>
          <w:sz w:val="30"/>
        </w:rPr>
        <w:lastRenderedPageBreak/>
        <w:t>十三、基金资产的估值</w:t>
      </w:r>
      <w:bookmarkEnd w:id="16"/>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①在交易所市场上市交易或挂牌转让的固定收益品种（另有规定的除外），选取第三方估值机构提供的相应品种当日的估值净价估值。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②对在交易所市场上市交易的可转换债券，按照每日收盘价作为估值全价。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在交易所市场挂牌转让的资产支持证券和私募证券，估值日不存在活跃市场时采用估值技术确定其公允价值进行估值。如成本能够近似体现公允价值，应持续评估上述做法的适当性，并在情况发生改变时做出适当调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①首次公开发行未上市的债券，采用估值技术确定公允价值，在估值技术难以可靠计量公允价值的情况下，按成本估值。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在交易所市场发行未上市或未挂牌转让的债券，对存在活跃市场的情况下，应以活跃市场上未经调整的报价作为计量日的公允价值进行估值；对于活跃市场报价未能代表计量日公允价值的情况下，按成本应对市场报价进行调整，确认计量日的公允价值；对于不存在市场活动或市场活动很少的情况下，则采用估值技术确定公允价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w:t>
      </w:r>
      <w:r>
        <w:rPr>
          <w:rFonts w:ascii="宋体" w:hAnsi="宋体"/>
          <w:sz w:val="24"/>
        </w:rPr>
        <w:lastRenderedPageBreak/>
        <w:t>有发生大的变动的情况下，按成本估值。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（4）存款的估值方法</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持有的银行定期存款或通知存款以本金列示，按协议或合同利率逐日确认利息收入。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（5）本基金可以采用第三方估值机构按照上述公允价值确定原则提供的估值价格数据。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（7）当发生大额申购或赎回情形时，基金管理人可以对本基金采用摆动定价机制，以确保基金估值的公平性。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（五）估值错误的处理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w:t>
      </w:r>
      <w:r>
        <w:rPr>
          <w:rFonts w:ascii="宋体" w:hAnsi="宋体"/>
          <w:sz w:val="24"/>
        </w:rPr>
        <w:lastRenderedPageBreak/>
        <w:t>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7" w:name="_Toc227915010"/>
      <w:r>
        <w:rPr>
          <w:rFonts w:ascii="Times New Roman" w:hAnsi="Times New Roman"/>
          <w:sz w:val="30"/>
        </w:rPr>
        <w:lastRenderedPageBreak/>
        <w:t>十四、基金收益与分配</w:t>
      </w:r>
      <w:bookmarkEnd w:id="17"/>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1、由于本基金A类基金份额不收取销售服务费，C类基金份额和E类基金份额收取销售服务费，各基金份额类别对应的可供分配利润将有所不同；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C类基金份额和E类基金份额分别选择不同的收益分配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8" w:name="_Toc227915011"/>
      <w:r>
        <w:rPr>
          <w:rFonts w:ascii="Times New Roman" w:hAnsi="Times New Roman"/>
          <w:sz w:val="30"/>
        </w:rPr>
        <w:lastRenderedPageBreak/>
        <w:t>十五、基金的费用与税收</w:t>
      </w:r>
      <w:bookmarkEnd w:id="18"/>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9、本基金从C类基金份额、E类基金份额的基金财产中计提的销售服务费；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于次月首日起5个工作日内向基金托管人发送基金管理费划款指令，基金托管人复核后从基金财产中一次性支付给基金管理人。若遇法定节假日、休息日或不可抗力致使无法按时支付的，支付日期顺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本基金的托管费按前一日基金资产净值的0.1%年费率计提。托管费的计算方法如下：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于次月首日起5个工作日内向基金托管人发送基金托管费划款指令，基金托管人复核后从基金财产中一次性支取。若遇法定节假日、休息日或不可抗力致使无法按时支付的，支付日期顺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（3）C类基金份额、E类基金份额的销售服务费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于次月首日起5个工作日内向基金托管人发送划款指令，由基金托管人复核后从基金财产中一次性支付给基金管理人，由基金管理人代付给销售机构。若遇法定节假日、休息日或不可抗力致使无法按时支付的，支付日期顺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E类基金份额的销售服务费按前一日E类基金资产净值的0.1%年费率计提。计算方法如下：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H为E类基金份额每日应计提的销售服务费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E为E类基金份额前一日基金资产净值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销售服务费每日计算，按月支付，由基金管理人于次月首日起5个工作日内向基金托管人发送划款指令，由基金托管人复核后从基金财产中一次性支付给基金管理人，由基金管理人代付给销售机构。若遇法定节假日、休息日或不可抗力致使无法按时支付的，支付日期顺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本基金的销售服务费将专门用于本基金的推广、销售与基金份额持有人服务。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或E类基金份额的销售服务费率，无须召开基金份额持有人大会。基金管理人必须依照有关规定于新的费率实施日前在指定媒介上刊登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19" w:name="_Toc227915012"/>
      <w:r>
        <w:rPr>
          <w:rFonts w:ascii="Times New Roman" w:hAnsi="Times New Roman"/>
          <w:sz w:val="30"/>
        </w:rPr>
        <w:lastRenderedPageBreak/>
        <w:t>十六、基金的会计与审计</w:t>
      </w:r>
      <w:bookmarkEnd w:id="19"/>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0" w:name="_Toc227915013"/>
      <w:r>
        <w:rPr>
          <w:rFonts w:ascii="Times New Roman" w:hAnsi="Times New Roman"/>
          <w:sz w:val="30"/>
        </w:rPr>
        <w:lastRenderedPageBreak/>
        <w:t>十七、基金的信息披露</w:t>
      </w:r>
      <w:bookmarkEnd w:id="20"/>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的A类基金份额、C类基金份额和E类基金份额所对应的基金份额净值和基金份额累计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基金管理人应当在不晚于半年度和年度最后一日的次日，在指定网站披露半年度和年度最后一日的A类基金份额、C类基金份额和E类基金份额所对应的基金份额净值和基金份额累计净值。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（25）基金信息披露义务人认为可能对基金份额持有人权益或者基金份额的价格产生重大影响的其他事项或中国证监会规定的其他事项。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本基金投资资产支持证券，基金管理人应在基金年度报告及中期报告中披露其持有的资产支持证券总额、资产支持证券市值占基金净资产的比例和报告期末所有</w:t>
      </w:r>
      <w:r>
        <w:rPr>
          <w:rFonts w:ascii="宋体" w:hAnsi="宋体"/>
          <w:sz w:val="24"/>
        </w:rPr>
        <w:lastRenderedPageBreak/>
        <w:t>的资产支持证券明细。基金管理人应在基金季度报告中披露其持有的资产支持证券总额、资产支持证券市值占基金净资产的比例和报告期末按市值占基金净资产比例大小排序的前10名资产支持证券明细。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13、基金投资中小企业私募债情况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基金管理人应在基金招募说明书的显著位置披露投资中小企业私募债券的流动性风险和信用风险，说明投资中小企业私募债券对基金总体风险的影响。基金管理人在本基金投资中小企业私募债券后两个交易日内，在中国证监会指定媒介披露所投资中小企业私募债券的名称、数量、期限、收益率等信息。本基金应当在季度报告、中期报告、年度报告等定期报告和招募说明书（更新）等文件中披露中小企业私募债券的投资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w:t>
      </w:r>
      <w:r>
        <w:rPr>
          <w:rFonts w:ascii="宋体" w:hAnsi="宋体"/>
          <w:sz w:val="24"/>
        </w:rPr>
        <w:lastRenderedPageBreak/>
        <w:t>规定将信息置备于各自住所，供社会公众查阅、复制。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1" w:name="_Toc227915014"/>
      <w:r>
        <w:rPr>
          <w:rFonts w:ascii="Times New Roman" w:hAnsi="Times New Roman"/>
          <w:sz w:val="30"/>
        </w:rPr>
        <w:lastRenderedPageBreak/>
        <w:t>十八、侧袋机制</w:t>
      </w:r>
      <w:bookmarkEnd w:id="21"/>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17C78" w:rsidRDefault="00727E54">
      <w:pPr>
        <w:pStyle w:val="1"/>
        <w:snapToGrid w:val="0"/>
        <w:spacing w:beforeLines="0" w:before="240" w:after="240"/>
        <w:rPr>
          <w:rFonts w:ascii="宋体" w:hAnsi="宋体"/>
          <w:szCs w:val="30"/>
        </w:rPr>
      </w:pPr>
      <w:bookmarkStart w:id="22" w:name="_Toc227915015"/>
      <w:r>
        <w:rPr>
          <w:rFonts w:ascii="Times New Roman" w:hAnsi="Times New Roman"/>
          <w:sz w:val="30"/>
        </w:rPr>
        <w:lastRenderedPageBreak/>
        <w:t>十九、风险揭示</w:t>
      </w:r>
      <w:bookmarkEnd w:id="22"/>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财务状况、市场前景、行业竞争、人员素质等，这些都会导致企业的盈利发生变化。虽然基金可以通过投资多样化来分散这种非系统风险，但不能完全规避。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发生巨额赎回且单个基金份额持有人的赎回申请超过上一日基金总份额20%的情形下，基金管理人可以对基金份额持有人当日超过20%的赎回申请进行延期办理；对于基金份额持有人未超过上述比例的部分，基金管理人可以根据前段“（1）全额赎回”或“（2）部分延期赎回”的约定方式与其他基金份额持有人的赎回申请一并办理。如基金份额持有人在当日选择取消赎回，则其当日未获受理的部分赎回申请将被撤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w:t>
      </w:r>
      <w:r>
        <w:rPr>
          <w:rFonts w:ascii="宋体" w:hAnsi="宋体"/>
          <w:sz w:val="24"/>
        </w:rPr>
        <w:lastRenderedPageBreak/>
        <w:t>款项，但不得超过20个工作日，并应当在指定媒介上进行公告。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1、本基金为债券型基金，投资于债券资产的比例不低于基金资产的80%，因投资债券资产而面临债券资产市场的系统性风险和个券风险；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3、基金合同提前终止风险。连续六十个工作日出现基金份额持有人数量不满200人或者基金资产净值低于5000万元情形的，基金管理人可向中国证监会报告并提前终止基金合同，不需召开基金份额持有人大会。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（六）投资中小企业私募债的特定风险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w:t>
      </w:r>
      <w:r>
        <w:rPr>
          <w:rFonts w:ascii="宋体" w:hAnsi="宋体"/>
          <w:sz w:val="24"/>
        </w:rPr>
        <w:lastRenderedPageBreak/>
        <w:t>完善产生的风险；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3" w:name="_Toc227915016"/>
      <w:r>
        <w:rPr>
          <w:rFonts w:ascii="Times New Roman" w:hAnsi="Times New Roman"/>
          <w:sz w:val="30"/>
        </w:rPr>
        <w:lastRenderedPageBreak/>
        <w:t>二十、基金合同的变更、终止与基金财产的清算</w:t>
      </w:r>
      <w:bookmarkEnd w:id="23"/>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3、连续60个工作日出现基金份额持有人数量不满200人或者基金资产净值低于5000万元情形的，基金管理人可向中国证监会报告并提前终止基金合同，不需召开基金份额持有人大会；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4" w:name="_Toc227915017"/>
      <w:r>
        <w:rPr>
          <w:rFonts w:ascii="Times New Roman" w:hAnsi="Times New Roman"/>
          <w:sz w:val="30"/>
        </w:rPr>
        <w:lastRenderedPageBreak/>
        <w:t>二十一、基金合同内容摘要</w:t>
      </w:r>
      <w:bookmarkEnd w:id="24"/>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3）调整本基金的申购费率、调低赎回费率、变更或增加收费方式；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w:t>
      </w:r>
      <w:r>
        <w:rPr>
          <w:rFonts w:ascii="宋体" w:hAnsi="宋体"/>
          <w:sz w:val="24"/>
        </w:rPr>
        <w:lastRenderedPageBreak/>
        <w:t>基金管理人，基金管理人应当配合；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w:t>
      </w:r>
      <w:r>
        <w:rPr>
          <w:rFonts w:ascii="宋体" w:hAnsi="宋体"/>
          <w:sz w:val="24"/>
        </w:rPr>
        <w:lastRenderedPageBreak/>
        <w:t>关允许的其他方式召开，会议的召开方式由会议召集人确定。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w:t>
      </w:r>
      <w:r>
        <w:rPr>
          <w:rFonts w:ascii="宋体" w:hAnsi="宋体"/>
          <w:sz w:val="24"/>
        </w:rPr>
        <w:lastRenderedPageBreak/>
        <w:t>持有人大会。重新召集的基金份额持有人大会应当有代表基金总份额三分之一以上（含三分之一）基金份额的持有人直接出具表决意见或授权他人代表出具表决意见；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w:t>
      </w:r>
      <w:r>
        <w:rPr>
          <w:rFonts w:ascii="宋体" w:hAnsi="宋体"/>
          <w:sz w:val="24"/>
        </w:rPr>
        <w:lastRenderedPageBreak/>
        <w:t>份额持有人大会，不影响基金份额持有人大会作出的决议的效力。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w:t>
      </w:r>
      <w:r>
        <w:rPr>
          <w:rFonts w:ascii="宋体" w:hAnsi="宋体"/>
          <w:sz w:val="24"/>
        </w:rPr>
        <w:lastRenderedPageBreak/>
        <w:t>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（3）连续60个工作日出现基金份额持有人数量不满200人或者基金资产净值低于5000万元情形的，基金管理人可向中国证监会报告并提前终止基金合同，不需召开基金份额持有人大会；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7）对基金剩余财产进行分配。</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律师费由败诉方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5" w:name="_Toc227915018"/>
      <w:r>
        <w:rPr>
          <w:rFonts w:ascii="Times New Roman" w:hAnsi="Times New Roman"/>
          <w:sz w:val="30"/>
        </w:rPr>
        <w:lastRenderedPageBreak/>
        <w:t>二十二、托管协议的内容摘要</w:t>
      </w:r>
      <w:bookmarkEnd w:id="25"/>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名称：浙商银行股份有限公司（简称：浙商银行）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住所：浙江省杭州市萧山区鸿宁路1788号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办公地址：浙江省杭州市拱墅区环城西路76号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邮政编码：310000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法定代表人：陆建强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成立日期：1993年4月16日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基金托管业务批准文号：证监许可〔2013〕1519号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注册资本：人民币21,268,696,778元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到期日在一年以内的政府债券的投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（7）本基金持有的同一(指同一信用级别)资产支持证券的比例，不得超过该资产支持证券规模的10%；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（10）本基金进入全国银行间同业市场进行债券回购的资金余额不得超过基金资产净值的40%；本基金在全国银行间同业市场中的债券回购最长期限为1 年，债券回购到期后不得展期；</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 15%；因证券市场波动、基金规模变动等基金管理人之外的因素致使基金不符合该比例限制的，基金管理人不得主动新增流动性受限资产的投资；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基金托管人根据有关法律法规的规定及《基金合同》的约定，对本托管协</w:t>
      </w:r>
      <w:r>
        <w:rPr>
          <w:rFonts w:ascii="宋体" w:hAnsi="宋体"/>
          <w:sz w:val="24"/>
        </w:rPr>
        <w:lastRenderedPageBreak/>
        <w:t>议第十五条第九款基金投资禁止行为通过事后监督方式进行监督。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基金投资中小企业私募债券，基金管理人应根据审慎原则，制定严格的投资决策流程、风险控制制度和信用风险、流动性风险处置预案，并经董事会批准，以防范信用风险、流动性风险等各种风险。</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中小企业私募债券是否符合比例限制进行事后监督，如发现异常情况，应及时以书面形式通知基金管理人。基金管理人应积极配合和协助乙方的监督和核查。基金因投资中小企业私募债券导致的信用风险、流动性风险，</w:t>
      </w:r>
      <w:r>
        <w:rPr>
          <w:rFonts w:ascii="宋体" w:hAnsi="宋体"/>
          <w:sz w:val="24"/>
        </w:rPr>
        <w:lastRenderedPageBreak/>
        <w:t>基金托管人不承担任何责任。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9.若基金托管人发现基金管理人依据交易程序已经生效的指令违反法律、行政法规和其他有关规定，或者违反《基金合同》约定的，应当立即通知基金管理人，由此造成的损失不由基金托管人承担。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w:t>
      </w:r>
      <w:r>
        <w:rPr>
          <w:rFonts w:ascii="宋体" w:hAnsi="宋体"/>
          <w:sz w:val="24"/>
        </w:rPr>
        <w:lastRenderedPageBreak/>
        <w:t>理人指令办理清算交收、相关信息披露和监督基金投资运作等行为。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（3）基金托管人按照规定开设基金财产的资金账户和证券账户等投资所需的账户。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w:t>
      </w:r>
      <w:r>
        <w:rPr>
          <w:rFonts w:ascii="宋体" w:hAnsi="宋体"/>
          <w:sz w:val="24"/>
        </w:rPr>
        <w:lastRenderedPageBreak/>
        <w:t>理人应负责向有关当事人追偿基金财产的损失，基金托管人对此不承担任何责任。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（3）基金证券账户的开立和证券账户卡的保管由基金托管人负责，账户资产的管理和运用由基金管理人负责。</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w:t>
      </w:r>
      <w:r>
        <w:rPr>
          <w:rFonts w:ascii="宋体" w:hAnsi="宋体"/>
          <w:sz w:val="24"/>
        </w:rPr>
        <w:lastRenderedPageBreak/>
        <w:t>登记结算有限责任公司上海分公司/深圳分公司或票据营业中心的代保管库，保管凭证由基金托管人持有。实物证券、银行定期存款证实书等有价凭证的购买和转让，按基金管理人和基金托管人双方约定办理。基金托管人对由基金托管人以外机构实际有效控制的资产不承担保管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各类基金份额的基金份额净值是按照每个交易日闭市后，该类基金份额的基金资产净值除以当日该类基金份额的余额数量计算，精确到0.0001元，小数点后第五位四舍五入。国家另有规定的，从其规定。</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的基金份额净值结果发送基金托管人，经基金托管人复核无误后，由基金管理人依据基金合同和相关法律法规的规定对外公布。月末、年中和年末估值复核与基金会计账目的核对同时进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上海国际经济贸易仲裁委员会，仲裁地点为上海市，按照上海国际经济贸易仲裁委员会届时有效的仲裁规则进行仲裁。仲裁裁决是终局的，对当事人均有约束力，除非仲裁裁决另有规定，仲裁费用、律师费由败诉方承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6" w:name="_Toc227915019"/>
      <w:r>
        <w:rPr>
          <w:rFonts w:ascii="Times New Roman" w:hAnsi="Times New Roman"/>
          <w:sz w:val="30"/>
        </w:rPr>
        <w:lastRenderedPageBreak/>
        <w:t>二十三、对基金份额持有人的服务</w:t>
      </w:r>
      <w:bookmarkEnd w:id="26"/>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和E类基金份额的申购、赎回、转换、定期定额投资等业务。通过网上直销交易平台办理本基金A类基金份额申购和定期定额投资业务的个人投资者将享受前端申购费率的优惠。具体优惠费率请参见公司网站列示的网上直销交易平台申购、定期定额投资及转换费率表或相关公告。基金网上直销交易平台已开通的银行卡及各银行卡交易金额限额请参阅本基金管理人网站。</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本基金开通A类基金份额和E类基金份额的转换业务，具体实施方法请参见相关</w:t>
      </w:r>
      <w:r>
        <w:rPr>
          <w:rFonts w:ascii="宋体" w:hAnsi="宋体"/>
          <w:sz w:val="24"/>
        </w:rPr>
        <w:lastRenderedPageBreak/>
        <w:t>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（五）基金红利再投资</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基金份额持有人可对其持有的A类、C类以及E类基金份额分别选择不同的收益分配方式。再投资红利按红利再投日（即除息日）除息后的基金份额净值自动转为相应类别的基金份额，并免收申购费用。</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本基金开通A类基金份额和E类基金份额的定期定额投资业务，具体实施方法请参见相关公告。</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（七）如本招募说明书存在任何您/贵机构无法理解的内容，请通过上述方式联系基金管理人。请确保投资前，您/贵机构已经全面理解了本招募说明书。</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7" w:name="_Toc227915020"/>
      <w:r>
        <w:rPr>
          <w:rFonts w:ascii="Times New Roman" w:hAnsi="Times New Roman"/>
          <w:sz w:val="30"/>
        </w:rPr>
        <w:lastRenderedPageBreak/>
        <w:t>二十四、其他应披露事项</w:t>
      </w:r>
      <w:bookmarkEnd w:id="27"/>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交银施罗德基金管理有限公司关于交银施罗德裕如纯债债券型证券投资基金分红公告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17C7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交银施罗德裕如纯债债券型证券投资基金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7C78" w:rsidRDefault="00727E5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8" w:name="_Toc227915021"/>
      <w:r>
        <w:rPr>
          <w:rFonts w:ascii="Times New Roman" w:hAnsi="Times New Roman"/>
          <w:sz w:val="30"/>
        </w:rPr>
        <w:lastRenderedPageBreak/>
        <w:t>二十五、招募说明书的存放及查阅方式</w:t>
      </w:r>
      <w:bookmarkEnd w:id="28"/>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727E5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7C78" w:rsidRDefault="00727E54">
      <w:pPr>
        <w:pStyle w:val="1"/>
        <w:snapToGrid w:val="0"/>
        <w:spacing w:beforeLines="0" w:before="240" w:after="240"/>
        <w:rPr>
          <w:rFonts w:ascii="宋体" w:hAnsi="宋体"/>
          <w:szCs w:val="30"/>
        </w:rPr>
      </w:pPr>
      <w:bookmarkStart w:id="29" w:name="_Toc227915022"/>
      <w:r>
        <w:rPr>
          <w:rFonts w:ascii="Times New Roman" w:hAnsi="Times New Roman"/>
          <w:sz w:val="30"/>
        </w:rPr>
        <w:lastRenderedPageBreak/>
        <w:t>二十六、备查文件</w:t>
      </w:r>
      <w:bookmarkEnd w:id="29"/>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（一）中国证监会准予交银施罗德裕如纯债债券型证券投资基金募集注册的文件</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（二）《交银施罗德裕如纯债债券型证券投资基金基金合同》</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（三）《交银施罗德裕如纯债债券型证券投资基金托管协议》</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17C78" w:rsidRDefault="00727E5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（六）关于申请募集注册交银施罗德裕如纯债债券型证券投资基金的法律意见书</w:t>
      </w:r>
    </w:p>
    <w:sectPr w:rsidR="00617C78">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705" w:rsidRDefault="00727E54">
      <w:r>
        <w:separator/>
      </w:r>
    </w:p>
  </w:endnote>
  <w:endnote w:type="continuationSeparator" w:id="0">
    <w:p w:rsidR="00D24705" w:rsidRDefault="00727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617C7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E92C0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17C78" w:rsidRDefault="00727E5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92C0D">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617C7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E92C0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17C78" w:rsidRDefault="00727E5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92C0D">
                  <w:rPr>
                    <w:rFonts w:ascii="Times New Roman" w:hAnsi="Times New Roman"/>
                    <w:noProof/>
                    <w:kern w:val="0"/>
                    <w:sz w:val="18"/>
                    <w:szCs w:val="18"/>
                  </w:rPr>
                  <w:t>128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705" w:rsidRDefault="00727E54">
      <w:r>
        <w:separator/>
      </w:r>
    </w:p>
  </w:footnote>
  <w:footnote w:type="continuationSeparator" w:id="0">
    <w:p w:rsidR="00D24705" w:rsidRDefault="00727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617C7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727E54">
    <w:pPr>
      <w:pStyle w:val="a3"/>
      <w:jc w:val="right"/>
      <w:rPr>
        <w:rFonts w:ascii="宋体" w:hAnsi="宋体"/>
      </w:rPr>
    </w:pPr>
    <w:r>
      <w:rPr>
        <w:rFonts w:ascii="宋体" w:hAnsi="宋体" w:hint="eastAsia"/>
      </w:rPr>
      <w:t>交银施罗德裕如纯债债券型证券投资基金招募说明书更新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617C78">
    <w:pPr>
      <w:pStyle w:val="10"/>
      <w:jc w:val="right"/>
    </w:pPr>
  </w:p>
  <w:p w:rsidR="00617C78" w:rsidRDefault="00617C78">
    <w:pPr>
      <w:pStyle w:val="10"/>
      <w:jc w:val="right"/>
    </w:pPr>
  </w:p>
  <w:p w:rsidR="00617C78" w:rsidRDefault="00617C78">
    <w:pPr>
      <w:pStyle w:val="a3"/>
      <w:jc w:val="right"/>
    </w:pPr>
  </w:p>
  <w:p w:rsidR="00617C78" w:rsidRDefault="00727E54">
    <w:pPr>
      <w:pStyle w:val="a3"/>
      <w:jc w:val="right"/>
      <w:rPr>
        <w:rFonts w:ascii="宋体" w:hAnsi="宋体"/>
      </w:rPr>
    </w:pPr>
    <w:r>
      <w:rPr>
        <w:rFonts w:ascii="宋体" w:hAnsi="宋体" w:hint="eastAsia"/>
      </w:rPr>
      <w:t>交银施罗德裕如纯债债券型证券投资基金招募说明书更新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78" w:rsidRDefault="00617C78">
    <w:pPr>
      <w:pStyle w:val="a3"/>
      <w:jc w:val="right"/>
    </w:pPr>
  </w:p>
  <w:p w:rsidR="00617C78" w:rsidRDefault="00617C78">
    <w:pPr>
      <w:pStyle w:val="a3"/>
      <w:jc w:val="right"/>
    </w:pPr>
  </w:p>
  <w:p w:rsidR="00617C78" w:rsidRDefault="00617C78">
    <w:pPr>
      <w:pStyle w:val="a3"/>
      <w:jc w:val="right"/>
    </w:pPr>
  </w:p>
  <w:p w:rsidR="00617C78" w:rsidRDefault="00727E54">
    <w:pPr>
      <w:pStyle w:val="a3"/>
      <w:jc w:val="right"/>
      <w:rPr>
        <w:rFonts w:ascii="宋体" w:hAnsi="宋体"/>
      </w:rPr>
    </w:pPr>
    <w:r>
      <w:rPr>
        <w:rFonts w:ascii="宋体" w:hAnsi="宋体" w:hint="eastAsia"/>
      </w:rPr>
      <w:t>交银施罗德裕如纯债债券型证券投资基金招募说明书更新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17C78"/>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27E54"/>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4705"/>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C0D"/>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0BAF9393-01E5-46DC-A43D-4823046E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129</Pages>
  <Words>13535</Words>
  <Characters>77154</Characters>
  <Application>Microsoft Office Word</Application>
  <DocSecurity>0</DocSecurity>
  <Lines>642</Lines>
  <Paragraphs>181</Paragraphs>
  <ScaleCrop>false</ScaleCrop>
  <Company>Microsoft</Company>
  <LinksUpToDate>false</LinksUpToDate>
  <CharactersWithSpaces>90508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2026-04-24T01:22:00Z</dcterms:created>
  <dcterms:modified xsi:type="dcterms:W3CDTF">2026-04-24T01:23:00Z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