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2"/>
        </w:rPr>
      </w:pPr>
    </w:p>
    <w:p>
      <w:pPr>
        <w:rPr>
          <w:sz w:val="32"/>
        </w:rPr>
      </w:pPr>
    </w:p>
    <w:p>
      <w:pPr>
        <w:rPr>
          <w:sz w:val="32"/>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交银施罗德品质增长一年持有期混合型证券投资基金</w:t>
      </w:r>
    </w:p>
    <w:p>
      <w:pPr>
        <w:autoSpaceDE w:val="0"/>
        <w:autoSpaceDN w:val="0"/>
        <w:adjustRightInd w:val="0"/>
        <w:snapToGrid w:val="0"/>
        <w:spacing w:before="63" w:line="360" w:lineRule="auto"/>
        <w:ind w:right="13" w:rightChars="6"/>
        <w:jc w:val="center"/>
        <w:rPr>
          <w:rFonts w:ascii="宋体" w:hAnsi="宋体"/>
          <w:b/>
          <w:kern w:val="0"/>
          <w:sz w:val="44"/>
          <w:szCs w:val="44"/>
        </w:rPr>
      </w:pPr>
      <w:r>
        <w:rPr>
          <w:rFonts w:ascii="宋体" w:hAnsi="宋体"/>
          <w:b/>
          <w:spacing w:val="2"/>
          <w:w w:val="99"/>
          <w:kern w:val="0"/>
          <w:sz w:val="44"/>
          <w:szCs w:val="44"/>
        </w:rPr>
        <w:t>招募说明书(更新)</w:t>
      </w:r>
    </w:p>
    <w:p>
      <w:pPr>
        <w:snapToGrid w:val="0"/>
        <w:spacing w:line="360" w:lineRule="auto"/>
        <w:jc w:val="center"/>
        <w:rPr>
          <w:rFonts w:ascii="宋体" w:hAnsi="宋体"/>
          <w:b/>
          <w:sz w:val="30"/>
          <w:szCs w:val="30"/>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基金托管人：中信银行股份有限公司</w:t>
      </w: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b/>
          <w:kern w:val="0"/>
          <w:sz w:val="28"/>
          <w:szCs w:val="32"/>
        </w:rPr>
      </w:pPr>
      <w:r>
        <w:rPr>
          <w:rFonts w:ascii="Times New Roman" w:hAnsi="Times New Roman"/>
          <w:b/>
          <w:spacing w:val="2"/>
          <w:w w:val="99"/>
          <w:kern w:val="0"/>
          <w:sz w:val="28"/>
          <w:szCs w:val="32"/>
        </w:rPr>
        <w:t>二〇二六年四月</w:t>
      </w:r>
    </w:p>
    <w:p>
      <w:pPr>
        <w:autoSpaceDE w:val="0"/>
        <w:autoSpaceDN w:val="0"/>
        <w:adjustRightInd w:val="0"/>
        <w:snapToGrid w:val="0"/>
        <w:spacing w:line="360" w:lineRule="auto"/>
        <w:ind w:left="1347" w:right="13" w:rightChars="6"/>
        <w:rPr>
          <w:rFonts w:ascii="宋体" w:hAnsi="宋体"/>
          <w:kern w:val="0"/>
          <w:sz w:val="32"/>
          <w:szCs w:val="32"/>
        </w:rPr>
        <w:sectPr>
          <w:headerReference r:id="rId5" w:type="first"/>
          <w:footerReference r:id="rId8" w:type="first"/>
          <w:headerReference r:id="rId3" w:type="default"/>
          <w:footerReference r:id="rId6" w:type="default"/>
          <w:headerReference r:id="rId4" w:type="even"/>
          <w:footerReference r:id="rId7" w:type="even"/>
          <w:pgSz w:w="11920" w:h="16840"/>
          <w:pgMar w:top="1560" w:right="1680" w:bottom="280" w:left="1680" w:header="0" w:footer="1073" w:gutter="0"/>
          <w:pgNumType w:start="1"/>
          <w:cols w:space="720" w:num="1"/>
          <w:titlePg/>
          <w:docGrid w:linePitch="286" w:charSpace="0"/>
        </w:sectPr>
      </w:pPr>
    </w:p>
    <w:p>
      <w:pPr>
        <w:pStyle w:val="2"/>
        <w:snapToGrid w:val="0"/>
        <w:spacing w:before="240" w:beforeLines="0" w:after="240"/>
        <w:rPr>
          <w:rFonts w:ascii="宋体" w:hAnsi="宋体"/>
          <w:kern w:val="0"/>
        </w:rPr>
      </w:pPr>
      <w:bookmarkStart w:id="0" w:name="_Toc324920538"/>
      <w:bookmarkStart w:id="1" w:name="_Toc496884613"/>
      <w:bookmarkStart w:id="2" w:name="_Toc228201037"/>
      <w:r>
        <w:rPr>
          <w:rFonts w:ascii="Times New Roman" w:hAnsi="Times New Roman"/>
          <w:kern w:val="0"/>
        </w:rPr>
        <w:t>重要提示</w:t>
      </w:r>
      <w:bookmarkEnd w:id="0"/>
      <w:bookmarkEnd w:id="1"/>
      <w:bookmarkEnd w:id="2"/>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品质增长一年持有期混合型证券投资基金（以下简称“本基金”）经2021年4月27日中国证券监督管理委员会（以下简称“中国证监会”）证监许可【2021】1519号文准予募集注册。本基金基金合同于2021年7月23日正式生效。</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投资股指期货的特定风险；投资资产支持证券的特定风险；投资流通受限证券的特定风险；投资科创板股票的特定风险；投资存托凭证的特定风险；连续50个工作日出现基金份额持有人数量不满200人或基金资产净值低于5000万元情形时基金合同终止的风险；投资本基金的其他风险等等。本基金是一只混合型基金，其预期风险和预期收益高于债券型基金和货币市场基金，低于股票型基金。</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香港联合交易所”）上市的股票（以下简称“港股通标的股票”）的，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风险揭示”章节的具体内容。</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每份基金份额的最短持有期限为一年，在最短持有期限内该份基金份额不可赎回，自最短持有期限届满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因此，对于基金份额持有人而言，存在投资本基金后一年内无法赎回的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风险揭示”章节内容。</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本基金单一投资者持有基金份额数不得超过基金份额总数的50%，但在基金运作过程中因基金份额赎回等情形导致被动超过前述50%比例的除外。</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本招募说明书所载内容截止日为2026年04月21日，有关财务数据和净值表现截止日为2026年03月31日。本招募说明书所载的财务数据未经审计。</w:t>
      </w:r>
    </w:p>
    <w:p>
      <w:pPr>
        <w:autoSpaceDE w:val="0"/>
        <w:autoSpaceDN w:val="0"/>
        <w:adjustRightInd w:val="0"/>
        <w:snapToGrid w:val="0"/>
        <w:spacing w:before="51" w:line="360" w:lineRule="auto"/>
        <w:ind w:left="120" w:right="13" w:rightChars="6" w:firstLine="480"/>
        <w:rPr>
          <w:rFonts w:ascii="宋体" w:hAnsi="宋体"/>
          <w:kern w:val="0"/>
          <w:szCs w:val="24"/>
        </w:rPr>
        <w:sectPr>
          <w:headerReference r:id="rId9" w:type="default"/>
          <w:pgSz w:w="11920" w:h="16840"/>
          <w:pgMar w:top="1440" w:right="1680" w:bottom="280" w:left="1680" w:header="0" w:footer="1073" w:gutter="0"/>
          <w:pgNumType w:start="1"/>
          <w:cols w:space="720" w:num="1"/>
        </w:sectPr>
      </w:pPr>
    </w:p>
    <w:p>
      <w:pPr>
        <w:pStyle w:val="20"/>
        <w:snapToGrid w:val="0"/>
        <w:spacing w:after="240" w:line="360" w:lineRule="auto"/>
        <w:jc w:val="center"/>
        <w:rPr>
          <w:rFonts w:ascii="宋体" w:hAnsi="宋体"/>
          <w:sz w:val="24"/>
        </w:rPr>
      </w:pPr>
      <w:r>
        <w:rPr>
          <w:rFonts w:ascii="宋体" w:hAnsi="宋体"/>
          <w:color w:val="000000"/>
          <w:position w:val="-4"/>
          <w:sz w:val="24"/>
          <w:szCs w:val="30"/>
        </w:rPr>
        <w:t>目</w:t>
      </w:r>
      <w:r>
        <w:rPr>
          <w:rFonts w:ascii="宋体" w:hAnsi="宋体"/>
          <w:color w:val="000000"/>
          <w:position w:val="-4"/>
          <w:sz w:val="24"/>
          <w:szCs w:val="30"/>
        </w:rPr>
        <w:tab/>
      </w:r>
      <w:r>
        <w:rPr>
          <w:rFonts w:ascii="宋体" w:hAnsi="宋体"/>
          <w:color w:val="000000"/>
          <w:position w:val="-4"/>
          <w:sz w:val="24"/>
          <w:szCs w:val="30"/>
        </w:rPr>
        <w:t>录</w:t>
      </w:r>
      <w:r>
        <w:rPr>
          <w:rFonts w:ascii="宋体" w:hAnsi="宋体"/>
          <w:color w:val="000000"/>
          <w:position w:val="-4"/>
          <w:sz w:val="24"/>
          <w:szCs w:val="30"/>
        </w:rPr>
        <w:fldChar w:fldCharType="begin"/>
      </w:r>
      <w:r>
        <w:rPr>
          <w:rFonts w:ascii="宋体" w:hAnsi="宋体"/>
          <w:color w:val="000000"/>
          <w:position w:val="-4"/>
          <w:sz w:val="24"/>
          <w:szCs w:val="30"/>
        </w:rPr>
        <w:instrText xml:space="preserve"> TOC \o "1-3" \f - \h \t "-1" </w:instrText>
      </w:r>
      <w:r>
        <w:rPr>
          <w:rFonts w:ascii="宋体" w:hAnsi="宋体"/>
          <w:color w:val="000000"/>
          <w:position w:val="-4"/>
          <w:sz w:val="24"/>
          <w:szCs w:val="30"/>
        </w:rPr>
        <w:fldChar w:fldCharType="separate"/>
      </w:r>
    </w:p>
    <w:p>
      <w:pPr>
        <w:pStyle w:val="10"/>
        <w:tabs>
          <w:tab w:val="right" w:leader="dot" w:pos="8550"/>
        </w:tabs>
        <w:spacing w:line="360" w:lineRule="auto"/>
        <w:rPr>
          <w:rFonts w:ascii="宋体" w:hAnsi="宋体" w:cstheme="minorBidi"/>
          <w:sz w:val="24"/>
        </w:rPr>
      </w:pPr>
      <w:r>
        <w:fldChar w:fldCharType="begin"/>
      </w:r>
      <w:r>
        <w:instrText xml:space="preserve"> HYPERLINK \l "_Toc228201037" </w:instrText>
      </w:r>
      <w:r>
        <w:fldChar w:fldCharType="separate"/>
      </w:r>
      <w:r>
        <w:rPr>
          <w:rStyle w:val="18"/>
          <w:rFonts w:hint="eastAsia" w:ascii="宋体" w:hAnsi="宋体"/>
          <w:kern w:val="0"/>
          <w:sz w:val="24"/>
        </w:rPr>
        <w:t>重要提示</w:t>
      </w:r>
      <w:r>
        <w:rPr>
          <w:rFonts w:ascii="宋体" w:hAnsi="宋体"/>
          <w:sz w:val="24"/>
        </w:rPr>
        <w:tab/>
      </w:r>
      <w:r>
        <w:rPr>
          <w:rFonts w:ascii="宋体" w:hAnsi="宋体"/>
          <w:sz w:val="24"/>
        </w:rPr>
        <w:fldChar w:fldCharType="begin"/>
      </w:r>
      <w:r>
        <w:rPr>
          <w:rFonts w:ascii="宋体" w:hAnsi="宋体"/>
          <w:sz w:val="24"/>
        </w:rPr>
        <w:instrText xml:space="preserve"> PAGEREF _Toc228201037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"_Toc228201038" </w:instrText>
      </w:r>
      <w:r>
        <w:fldChar w:fldCharType="separate"/>
      </w:r>
      <w:r>
        <w:rPr>
          <w:rStyle w:val="18"/>
          <w:rFonts w:hint="eastAsia" w:ascii="宋体" w:hAnsi="宋体"/>
          <w:sz w:val="24"/>
        </w:rPr>
        <w:t>一、绪言</w:t>
      </w:r>
      <w:r>
        <w:rPr>
          <w:rFonts w:ascii="宋体" w:hAnsi="宋体"/>
          <w:sz w:val="24"/>
        </w:rPr>
        <w:tab/>
      </w:r>
      <w:r>
        <w:rPr>
          <w:rFonts w:ascii="宋体" w:hAnsi="宋体"/>
          <w:sz w:val="24"/>
        </w:rPr>
        <w:fldChar w:fldCharType="begin"/>
      </w:r>
      <w:r>
        <w:rPr>
          <w:rFonts w:ascii="宋体" w:hAnsi="宋体"/>
          <w:sz w:val="24"/>
        </w:rPr>
        <w:instrText xml:space="preserve"> PAGEREF _Toc228201038 \h </w:instrText>
      </w:r>
      <w:r>
        <w:rPr>
          <w:rFonts w:ascii="宋体" w:hAnsi="宋体"/>
          <w:sz w:val="24"/>
        </w:rPr>
        <w:fldChar w:fldCharType="separate"/>
      </w:r>
      <w:r>
        <w:rPr>
          <w:rFonts w:ascii="宋体" w:hAnsi="宋体"/>
          <w:sz w:val="24"/>
        </w:rPr>
        <w:t>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"_Toc228201039" </w:instrText>
      </w:r>
      <w:r>
        <w:fldChar w:fldCharType="separate"/>
      </w:r>
      <w:r>
        <w:rPr>
          <w:rStyle w:val="18"/>
          <w:rFonts w:hint="eastAsia" w:ascii="宋体" w:hAnsi="宋体"/>
          <w:sz w:val="24"/>
        </w:rPr>
        <w:t>二、释义</w:t>
      </w:r>
      <w:r>
        <w:rPr>
          <w:rFonts w:ascii="宋体" w:hAnsi="宋体"/>
          <w:sz w:val="24"/>
        </w:rPr>
        <w:tab/>
      </w:r>
      <w:r>
        <w:rPr>
          <w:rFonts w:ascii="宋体" w:hAnsi="宋体"/>
          <w:sz w:val="24"/>
        </w:rPr>
        <w:fldChar w:fldCharType="begin"/>
      </w:r>
      <w:r>
        <w:rPr>
          <w:rFonts w:ascii="宋体" w:hAnsi="宋体"/>
          <w:sz w:val="24"/>
        </w:rPr>
        <w:instrText xml:space="preserve"> PAGEREF _Toc228201039 \h </w:instrText>
      </w:r>
      <w:r>
        <w:rPr>
          <w:rFonts w:ascii="宋体" w:hAnsi="宋体"/>
          <w:sz w:val="24"/>
        </w:rPr>
        <w:fldChar w:fldCharType="separate"/>
      </w:r>
      <w:r>
        <w:rPr>
          <w:rFonts w:ascii="宋体" w:hAnsi="宋体"/>
          <w:sz w:val="24"/>
        </w:rPr>
        <w:t>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"_Toc228201040" </w:instrText>
      </w:r>
      <w:r>
        <w:fldChar w:fldCharType="separate"/>
      </w:r>
      <w:r>
        <w:rPr>
          <w:rStyle w:val="18"/>
          <w:rFonts w:hint="eastAsia" w:ascii="宋体" w:hAnsi="宋体"/>
          <w:sz w:val="24"/>
        </w:rPr>
        <w:t>三、基金管理人</w:t>
      </w:r>
      <w:r>
        <w:rPr>
          <w:rFonts w:ascii="宋体" w:hAnsi="宋体"/>
          <w:sz w:val="24"/>
        </w:rPr>
        <w:tab/>
      </w:r>
      <w:r>
        <w:rPr>
          <w:rFonts w:ascii="宋体" w:hAnsi="宋体"/>
          <w:sz w:val="24"/>
        </w:rPr>
        <w:fldChar w:fldCharType="begin"/>
      </w:r>
      <w:r>
        <w:rPr>
          <w:rFonts w:ascii="宋体" w:hAnsi="宋体"/>
          <w:sz w:val="24"/>
        </w:rPr>
        <w:instrText xml:space="preserve"> PAGEREF _Toc228201040 \h </w:instrText>
      </w:r>
      <w:r>
        <w:rPr>
          <w:rFonts w:ascii="宋体" w:hAnsi="宋体"/>
          <w:sz w:val="24"/>
        </w:rPr>
        <w:fldChar w:fldCharType="separate"/>
      </w:r>
      <w:r>
        <w:rPr>
          <w:rFonts w:ascii="宋体" w:hAnsi="宋体"/>
          <w:sz w:val="24"/>
        </w:rPr>
        <w:t>11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"_Toc228201041" </w:instrText>
      </w:r>
      <w:r>
        <w:fldChar w:fldCharType="separate"/>
      </w:r>
      <w:r>
        <w:rPr>
          <w:rStyle w:val="18"/>
          <w:rFonts w:hint="eastAsia" w:ascii="宋体" w:hAnsi="宋体"/>
          <w:sz w:val="24"/>
        </w:rPr>
        <w:t>四、基金托管人</w:t>
      </w:r>
      <w:r>
        <w:rPr>
          <w:rFonts w:ascii="宋体" w:hAnsi="宋体"/>
          <w:sz w:val="24"/>
        </w:rPr>
        <w:tab/>
      </w:r>
      <w:r>
        <w:rPr>
          <w:rFonts w:ascii="宋体" w:hAnsi="宋体"/>
          <w:sz w:val="24"/>
        </w:rPr>
        <w:fldChar w:fldCharType="begin"/>
      </w:r>
      <w:r>
        <w:rPr>
          <w:rFonts w:ascii="宋体" w:hAnsi="宋体"/>
          <w:sz w:val="24"/>
        </w:rPr>
        <w:instrText xml:space="preserve"> PAGEREF _Toc228201041 \h </w:instrText>
      </w:r>
      <w:r>
        <w:rPr>
          <w:rFonts w:ascii="宋体" w:hAnsi="宋体"/>
          <w:sz w:val="24"/>
        </w:rPr>
        <w:fldChar w:fldCharType="separate"/>
      </w:r>
      <w:r>
        <w:rPr>
          <w:rFonts w:ascii="宋体" w:hAnsi="宋体"/>
          <w:sz w:val="24"/>
        </w:rPr>
        <w:t>18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"_Toc228201042" </w:instrText>
      </w:r>
      <w:r>
        <w:fldChar w:fldCharType="separate"/>
      </w:r>
      <w:r>
        <w:rPr>
          <w:rStyle w:val="18"/>
          <w:rFonts w:hint="eastAsia" w:ascii="宋体" w:hAnsi="宋体"/>
          <w:sz w:val="24"/>
        </w:rPr>
        <w:t>五、相关服务机构</w:t>
      </w:r>
      <w:r>
        <w:rPr>
          <w:rFonts w:ascii="宋体" w:hAnsi="宋体"/>
          <w:sz w:val="24"/>
        </w:rPr>
        <w:tab/>
      </w:r>
      <w:r>
        <w:rPr>
          <w:rFonts w:ascii="宋体" w:hAnsi="宋体"/>
          <w:sz w:val="24"/>
        </w:rPr>
        <w:fldChar w:fldCharType="begin"/>
      </w:r>
      <w:r>
        <w:rPr>
          <w:rFonts w:ascii="宋体" w:hAnsi="宋体"/>
          <w:sz w:val="24"/>
        </w:rPr>
        <w:instrText xml:space="preserve"> PAGEREF _Toc228201042 \h </w:instrText>
      </w:r>
      <w:r>
        <w:rPr>
          <w:rFonts w:ascii="宋体" w:hAnsi="宋体"/>
          <w:sz w:val="24"/>
        </w:rPr>
        <w:fldChar w:fldCharType="separate"/>
      </w:r>
      <w:r>
        <w:rPr>
          <w:rFonts w:ascii="宋体" w:hAnsi="宋体"/>
          <w:sz w:val="24"/>
        </w:rPr>
        <w:t>22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"_Toc228201043" </w:instrText>
      </w:r>
      <w:r>
        <w:fldChar w:fldCharType="separate"/>
      </w:r>
      <w:r>
        <w:rPr>
          <w:rStyle w:val="18"/>
          <w:rFonts w:hint="eastAsia" w:ascii="宋体" w:hAnsi="宋体"/>
          <w:sz w:val="24"/>
        </w:rPr>
        <w:t>六、基金的募集</w:t>
      </w:r>
      <w:r>
        <w:rPr>
          <w:rFonts w:ascii="宋体" w:hAnsi="宋体"/>
          <w:sz w:val="24"/>
        </w:rPr>
        <w:tab/>
      </w:r>
      <w:r>
        <w:rPr>
          <w:rFonts w:ascii="宋体" w:hAnsi="宋体"/>
          <w:sz w:val="24"/>
        </w:rPr>
        <w:fldChar w:fldCharType="begin"/>
      </w:r>
      <w:r>
        <w:rPr>
          <w:rFonts w:ascii="宋体" w:hAnsi="宋体"/>
          <w:sz w:val="24"/>
        </w:rPr>
        <w:instrText xml:space="preserve"> PAGEREF _Toc228201043 \h </w:instrText>
      </w:r>
      <w:r>
        <w:rPr>
          <w:rFonts w:ascii="宋体" w:hAnsi="宋体"/>
          <w:sz w:val="24"/>
        </w:rPr>
        <w:fldChar w:fldCharType="separate"/>
      </w:r>
      <w:r>
        <w:rPr>
          <w:rFonts w:ascii="宋体" w:hAnsi="宋体"/>
          <w:sz w:val="24"/>
        </w:rPr>
        <w:t>50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"_Toc228201044" </w:instrText>
      </w:r>
      <w:r>
        <w:fldChar w:fldCharType="separate"/>
      </w:r>
      <w:r>
        <w:rPr>
          <w:rStyle w:val="18"/>
          <w:rFonts w:hint="eastAsia" w:ascii="宋体" w:hAnsi="宋体"/>
          <w:sz w:val="24"/>
        </w:rPr>
        <w:t>七、基金合同的生效</w:t>
      </w:r>
      <w:r>
        <w:rPr>
          <w:rFonts w:ascii="宋体" w:hAnsi="宋体"/>
          <w:sz w:val="24"/>
        </w:rPr>
        <w:tab/>
      </w:r>
      <w:r>
        <w:rPr>
          <w:rFonts w:ascii="宋体" w:hAnsi="宋体"/>
          <w:sz w:val="24"/>
        </w:rPr>
        <w:fldChar w:fldCharType="begin"/>
      </w:r>
      <w:r>
        <w:rPr>
          <w:rFonts w:ascii="宋体" w:hAnsi="宋体"/>
          <w:sz w:val="24"/>
        </w:rPr>
        <w:instrText xml:space="preserve"> PAGEREF _Toc228201044 \h </w:instrText>
      </w:r>
      <w:r>
        <w:rPr>
          <w:rFonts w:ascii="宋体" w:hAnsi="宋体"/>
          <w:sz w:val="24"/>
        </w:rPr>
        <w:fldChar w:fldCharType="separate"/>
      </w:r>
      <w:r>
        <w:rPr>
          <w:rFonts w:ascii="宋体" w:hAnsi="宋体"/>
          <w:sz w:val="24"/>
        </w:rPr>
        <w:t>51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"_Toc228201045" </w:instrText>
      </w:r>
      <w:r>
        <w:fldChar w:fldCharType="separate"/>
      </w:r>
      <w:r>
        <w:rPr>
          <w:rStyle w:val="18"/>
          <w:rFonts w:hint="eastAsia" w:ascii="宋体" w:hAnsi="宋体"/>
          <w:sz w:val="24"/>
        </w:rPr>
        <w:t>八、基金份额的申购与赎回</w:t>
      </w:r>
      <w:r>
        <w:rPr>
          <w:rFonts w:ascii="宋体" w:hAnsi="宋体"/>
          <w:sz w:val="24"/>
        </w:rPr>
        <w:tab/>
      </w:r>
      <w:r>
        <w:rPr>
          <w:rFonts w:ascii="宋体" w:hAnsi="宋体"/>
          <w:sz w:val="24"/>
        </w:rPr>
        <w:fldChar w:fldCharType="begin"/>
      </w:r>
      <w:r>
        <w:rPr>
          <w:rFonts w:ascii="宋体" w:hAnsi="宋体"/>
          <w:sz w:val="24"/>
        </w:rPr>
        <w:instrText xml:space="preserve"> PAGEREF _Toc228201045 \h </w:instrText>
      </w:r>
      <w:r>
        <w:rPr>
          <w:rFonts w:ascii="宋体" w:hAnsi="宋体"/>
          <w:sz w:val="24"/>
        </w:rPr>
        <w:fldChar w:fldCharType="separate"/>
      </w:r>
      <w:r>
        <w:rPr>
          <w:rFonts w:ascii="宋体" w:hAnsi="宋体"/>
          <w:sz w:val="24"/>
        </w:rPr>
        <w:t>52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"_Toc228201046" </w:instrText>
      </w:r>
      <w:r>
        <w:fldChar w:fldCharType="separate"/>
      </w:r>
      <w:r>
        <w:rPr>
          <w:rStyle w:val="18"/>
          <w:rFonts w:hint="eastAsia" w:ascii="宋体" w:hAnsi="宋体"/>
          <w:sz w:val="24"/>
        </w:rPr>
        <w:t>九、基金的转换</w:t>
      </w:r>
      <w:r>
        <w:rPr>
          <w:rFonts w:ascii="宋体" w:hAnsi="宋体"/>
          <w:sz w:val="24"/>
        </w:rPr>
        <w:tab/>
      </w:r>
      <w:r>
        <w:rPr>
          <w:rFonts w:ascii="宋体" w:hAnsi="宋体"/>
          <w:sz w:val="24"/>
        </w:rPr>
        <w:fldChar w:fldCharType="begin"/>
      </w:r>
      <w:r>
        <w:rPr>
          <w:rFonts w:ascii="宋体" w:hAnsi="宋体"/>
          <w:sz w:val="24"/>
        </w:rPr>
        <w:instrText xml:space="preserve"> PAGEREF _Toc228201046 \h </w:instrText>
      </w:r>
      <w:r>
        <w:rPr>
          <w:rFonts w:ascii="宋体" w:hAnsi="宋体"/>
          <w:sz w:val="24"/>
        </w:rPr>
        <w:fldChar w:fldCharType="separate"/>
      </w:r>
      <w:r>
        <w:rPr>
          <w:rFonts w:ascii="宋体" w:hAnsi="宋体"/>
          <w:sz w:val="24"/>
        </w:rPr>
        <w:t>65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"_Toc228201047" </w:instrText>
      </w:r>
      <w:r>
        <w:fldChar w:fldCharType="separate"/>
      </w:r>
      <w:r>
        <w:rPr>
          <w:rStyle w:val="18"/>
          <w:rFonts w:hint="eastAsia" w:ascii="宋体" w:hAnsi="宋体"/>
          <w:sz w:val="24"/>
        </w:rPr>
        <w:t>十、基金的投资</w:t>
      </w:r>
      <w:r>
        <w:rPr>
          <w:rFonts w:ascii="宋体" w:hAnsi="宋体"/>
          <w:sz w:val="24"/>
        </w:rPr>
        <w:tab/>
      </w:r>
      <w:r>
        <w:rPr>
          <w:rFonts w:ascii="宋体" w:hAnsi="宋体"/>
          <w:sz w:val="24"/>
        </w:rPr>
        <w:fldChar w:fldCharType="begin"/>
      </w:r>
      <w:r>
        <w:rPr>
          <w:rFonts w:ascii="宋体" w:hAnsi="宋体"/>
          <w:sz w:val="24"/>
        </w:rPr>
        <w:instrText xml:space="preserve"> PAGEREF _Toc228201047 \h </w:instrText>
      </w:r>
      <w:r>
        <w:rPr>
          <w:rFonts w:ascii="宋体" w:hAnsi="宋体"/>
          <w:sz w:val="24"/>
        </w:rPr>
        <w:fldChar w:fldCharType="separate"/>
      </w:r>
      <w:r>
        <w:rPr>
          <w:rFonts w:ascii="宋体" w:hAnsi="宋体"/>
          <w:sz w:val="24"/>
        </w:rPr>
        <w:t>72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"_Toc228201048" </w:instrText>
      </w:r>
      <w:r>
        <w:fldChar w:fldCharType="separate"/>
      </w:r>
      <w:r>
        <w:rPr>
          <w:rStyle w:val="18"/>
          <w:rFonts w:hint="eastAsia" w:ascii="宋体" w:hAnsi="宋体"/>
          <w:sz w:val="24"/>
        </w:rPr>
        <w:t>十一、基金的业绩</w:t>
      </w:r>
      <w:r>
        <w:rPr>
          <w:rFonts w:ascii="宋体" w:hAnsi="宋体"/>
          <w:sz w:val="24"/>
        </w:rPr>
        <w:tab/>
      </w:r>
      <w:r>
        <w:rPr>
          <w:rFonts w:ascii="宋体" w:hAnsi="宋体"/>
          <w:sz w:val="24"/>
        </w:rPr>
        <w:fldChar w:fldCharType="begin"/>
      </w:r>
      <w:r>
        <w:rPr>
          <w:rFonts w:ascii="宋体" w:hAnsi="宋体"/>
          <w:sz w:val="24"/>
        </w:rPr>
        <w:instrText xml:space="preserve"> PAGEREF _Toc228201048 \h </w:instrText>
      </w:r>
      <w:r>
        <w:rPr>
          <w:rFonts w:ascii="宋体" w:hAnsi="宋体"/>
          <w:sz w:val="24"/>
        </w:rPr>
        <w:fldChar w:fldCharType="separate"/>
      </w:r>
      <w:r>
        <w:rPr>
          <w:rFonts w:ascii="宋体" w:hAnsi="宋体"/>
          <w:sz w:val="24"/>
        </w:rPr>
        <w:t>84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"_Toc228201049" </w:instrText>
      </w:r>
      <w:r>
        <w:fldChar w:fldCharType="separate"/>
      </w:r>
      <w:r>
        <w:rPr>
          <w:rStyle w:val="18"/>
          <w:rFonts w:hint="eastAsia" w:ascii="宋体" w:hAnsi="宋体"/>
          <w:sz w:val="24"/>
        </w:rPr>
        <w:t>十二、基金的财产</w:t>
      </w:r>
      <w:r>
        <w:rPr>
          <w:rFonts w:ascii="宋体" w:hAnsi="宋体"/>
          <w:sz w:val="24"/>
        </w:rPr>
        <w:tab/>
      </w:r>
      <w:r>
        <w:rPr>
          <w:rFonts w:ascii="宋体" w:hAnsi="宋体"/>
          <w:sz w:val="24"/>
        </w:rPr>
        <w:fldChar w:fldCharType="begin"/>
      </w:r>
      <w:r>
        <w:rPr>
          <w:rFonts w:ascii="宋体" w:hAnsi="宋体"/>
          <w:sz w:val="24"/>
        </w:rPr>
        <w:instrText xml:space="preserve"> PAGEREF _Toc228201049 \h </w:instrText>
      </w:r>
      <w:r>
        <w:rPr>
          <w:rFonts w:ascii="宋体" w:hAnsi="宋体"/>
          <w:sz w:val="24"/>
        </w:rPr>
        <w:fldChar w:fldCharType="separate"/>
      </w:r>
      <w:r>
        <w:rPr>
          <w:rFonts w:ascii="宋体" w:hAnsi="宋体"/>
          <w:sz w:val="24"/>
        </w:rPr>
        <w:t>87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"_Toc228201050" </w:instrText>
      </w:r>
      <w:r>
        <w:fldChar w:fldCharType="separate"/>
      </w:r>
      <w:r>
        <w:rPr>
          <w:rStyle w:val="18"/>
          <w:rFonts w:hint="eastAsia" w:ascii="宋体" w:hAnsi="宋体"/>
          <w:sz w:val="24"/>
        </w:rPr>
        <w:t>十三、基金资产的估值</w:t>
      </w:r>
      <w:r>
        <w:rPr>
          <w:rFonts w:ascii="宋体" w:hAnsi="宋体"/>
          <w:sz w:val="24"/>
        </w:rPr>
        <w:tab/>
      </w:r>
      <w:r>
        <w:rPr>
          <w:rFonts w:ascii="宋体" w:hAnsi="宋体"/>
          <w:sz w:val="24"/>
        </w:rPr>
        <w:fldChar w:fldCharType="begin"/>
      </w:r>
      <w:r>
        <w:rPr>
          <w:rFonts w:ascii="宋体" w:hAnsi="宋体"/>
          <w:sz w:val="24"/>
        </w:rPr>
        <w:instrText xml:space="preserve"> PAGEREF _Toc228201050 \h </w:instrText>
      </w:r>
      <w:r>
        <w:rPr>
          <w:rFonts w:ascii="宋体" w:hAnsi="宋体"/>
          <w:sz w:val="24"/>
        </w:rPr>
        <w:fldChar w:fldCharType="separate"/>
      </w:r>
      <w:r>
        <w:rPr>
          <w:rFonts w:ascii="宋体" w:hAnsi="宋体"/>
          <w:sz w:val="24"/>
        </w:rPr>
        <w:t>88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"_Toc228201051" </w:instrText>
      </w:r>
      <w:r>
        <w:fldChar w:fldCharType="separate"/>
      </w:r>
      <w:r>
        <w:rPr>
          <w:rStyle w:val="18"/>
          <w:rFonts w:hint="eastAsia" w:ascii="宋体" w:hAnsi="宋体"/>
          <w:sz w:val="24"/>
        </w:rPr>
        <w:t>十四、基金收益与分配</w:t>
      </w:r>
      <w:r>
        <w:rPr>
          <w:rFonts w:ascii="宋体" w:hAnsi="宋体"/>
          <w:sz w:val="24"/>
        </w:rPr>
        <w:tab/>
      </w:r>
      <w:r>
        <w:rPr>
          <w:rFonts w:ascii="宋体" w:hAnsi="宋体"/>
          <w:sz w:val="24"/>
        </w:rPr>
        <w:fldChar w:fldCharType="begin"/>
      </w:r>
      <w:r>
        <w:rPr>
          <w:rFonts w:ascii="宋体" w:hAnsi="宋体"/>
          <w:sz w:val="24"/>
        </w:rPr>
        <w:instrText xml:space="preserve"> PAGEREF _Toc228201051 \h </w:instrText>
      </w:r>
      <w:r>
        <w:rPr>
          <w:rFonts w:ascii="宋体" w:hAnsi="宋体"/>
          <w:sz w:val="24"/>
        </w:rPr>
        <w:fldChar w:fldCharType="separate"/>
      </w:r>
      <w:r>
        <w:rPr>
          <w:rFonts w:ascii="宋体" w:hAnsi="宋体"/>
          <w:sz w:val="24"/>
        </w:rPr>
        <w:t>95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"_Toc228201052" </w:instrText>
      </w:r>
      <w:r>
        <w:fldChar w:fldCharType="separate"/>
      </w:r>
      <w:r>
        <w:rPr>
          <w:rStyle w:val="18"/>
          <w:rFonts w:hint="eastAsia" w:ascii="宋体" w:hAnsi="宋体"/>
          <w:sz w:val="24"/>
        </w:rPr>
        <w:t>十五、基金的费用与税收</w:t>
      </w:r>
      <w:r>
        <w:rPr>
          <w:rFonts w:ascii="宋体" w:hAnsi="宋体"/>
          <w:sz w:val="24"/>
        </w:rPr>
        <w:tab/>
      </w:r>
      <w:r>
        <w:rPr>
          <w:rFonts w:ascii="宋体" w:hAnsi="宋体"/>
          <w:sz w:val="24"/>
        </w:rPr>
        <w:fldChar w:fldCharType="begin"/>
      </w:r>
      <w:r>
        <w:rPr>
          <w:rFonts w:ascii="宋体" w:hAnsi="宋体"/>
          <w:sz w:val="24"/>
        </w:rPr>
        <w:instrText xml:space="preserve"> PAGEREF _Toc228201052 \h </w:instrText>
      </w:r>
      <w:r>
        <w:rPr>
          <w:rFonts w:ascii="宋体" w:hAnsi="宋体"/>
          <w:sz w:val="24"/>
        </w:rPr>
        <w:fldChar w:fldCharType="separate"/>
      </w:r>
      <w:r>
        <w:rPr>
          <w:rFonts w:ascii="宋体" w:hAnsi="宋体"/>
          <w:sz w:val="24"/>
        </w:rPr>
        <w:t>97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"_Toc228201053" </w:instrText>
      </w:r>
      <w:r>
        <w:fldChar w:fldCharType="separate"/>
      </w:r>
      <w:r>
        <w:rPr>
          <w:rStyle w:val="18"/>
          <w:rFonts w:hint="eastAsia" w:ascii="宋体" w:hAnsi="宋体"/>
          <w:sz w:val="24"/>
        </w:rPr>
        <w:t>十六、基金的会计与审计</w:t>
      </w:r>
      <w:r>
        <w:rPr>
          <w:rFonts w:ascii="宋体" w:hAnsi="宋体"/>
          <w:sz w:val="24"/>
        </w:rPr>
        <w:tab/>
      </w:r>
      <w:r>
        <w:rPr>
          <w:rFonts w:ascii="宋体" w:hAnsi="宋体"/>
          <w:sz w:val="24"/>
        </w:rPr>
        <w:fldChar w:fldCharType="begin"/>
      </w:r>
      <w:r>
        <w:rPr>
          <w:rFonts w:ascii="宋体" w:hAnsi="宋体"/>
          <w:sz w:val="24"/>
        </w:rPr>
        <w:instrText xml:space="preserve"> PAGEREF _Toc228201053 \h </w:instrText>
      </w:r>
      <w:r>
        <w:rPr>
          <w:rFonts w:ascii="宋体" w:hAnsi="宋体"/>
          <w:sz w:val="24"/>
        </w:rPr>
        <w:fldChar w:fldCharType="separate"/>
      </w:r>
      <w:r>
        <w:rPr>
          <w:rFonts w:ascii="宋体" w:hAnsi="宋体"/>
          <w:sz w:val="24"/>
        </w:rPr>
        <w:t>100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"_Toc228201054" </w:instrText>
      </w:r>
      <w:r>
        <w:fldChar w:fldCharType="separate"/>
      </w:r>
      <w:r>
        <w:rPr>
          <w:rStyle w:val="18"/>
          <w:rFonts w:hint="eastAsia" w:ascii="宋体" w:hAnsi="宋体"/>
          <w:sz w:val="24"/>
        </w:rPr>
        <w:t>十七、基金的信息披露</w:t>
      </w:r>
      <w:r>
        <w:rPr>
          <w:rFonts w:ascii="宋体" w:hAnsi="宋体"/>
          <w:sz w:val="24"/>
        </w:rPr>
        <w:tab/>
      </w:r>
      <w:r>
        <w:rPr>
          <w:rFonts w:ascii="宋体" w:hAnsi="宋体"/>
          <w:sz w:val="24"/>
        </w:rPr>
        <w:fldChar w:fldCharType="begin"/>
      </w:r>
      <w:r>
        <w:rPr>
          <w:rFonts w:ascii="宋体" w:hAnsi="宋体"/>
          <w:sz w:val="24"/>
        </w:rPr>
        <w:instrText xml:space="preserve"> PAGEREF _Toc228201054 \h </w:instrText>
      </w:r>
      <w:r>
        <w:rPr>
          <w:rFonts w:ascii="宋体" w:hAnsi="宋体"/>
          <w:sz w:val="24"/>
        </w:rPr>
        <w:fldChar w:fldCharType="separate"/>
      </w:r>
      <w:r>
        <w:rPr>
          <w:rFonts w:ascii="宋体" w:hAnsi="宋体"/>
          <w:sz w:val="24"/>
        </w:rPr>
        <w:t>101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"_Toc228201055" </w:instrText>
      </w:r>
      <w:r>
        <w:fldChar w:fldCharType="separate"/>
      </w:r>
      <w:r>
        <w:rPr>
          <w:rStyle w:val="18"/>
          <w:rFonts w:hint="eastAsia" w:ascii="宋体" w:hAnsi="宋体"/>
          <w:sz w:val="24"/>
        </w:rPr>
        <w:t>十八、侧袋机制</w:t>
      </w:r>
      <w:r>
        <w:rPr>
          <w:rFonts w:ascii="宋体" w:hAnsi="宋体"/>
          <w:sz w:val="24"/>
        </w:rPr>
        <w:tab/>
      </w:r>
      <w:r>
        <w:rPr>
          <w:rFonts w:ascii="宋体" w:hAnsi="宋体"/>
          <w:sz w:val="24"/>
        </w:rPr>
        <w:fldChar w:fldCharType="begin"/>
      </w:r>
      <w:r>
        <w:rPr>
          <w:rFonts w:ascii="宋体" w:hAnsi="宋体"/>
          <w:sz w:val="24"/>
        </w:rPr>
        <w:instrText xml:space="preserve"> PAGEREF _Toc228201055 \h </w:instrText>
      </w:r>
      <w:r>
        <w:rPr>
          <w:rFonts w:ascii="宋体" w:hAnsi="宋体"/>
          <w:sz w:val="24"/>
        </w:rPr>
        <w:fldChar w:fldCharType="separate"/>
      </w:r>
      <w:r>
        <w:rPr>
          <w:rFonts w:ascii="宋体" w:hAnsi="宋体"/>
          <w:sz w:val="24"/>
        </w:rPr>
        <w:t>108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"_Toc228201056" </w:instrText>
      </w:r>
      <w:r>
        <w:fldChar w:fldCharType="separate"/>
      </w:r>
      <w:r>
        <w:rPr>
          <w:rStyle w:val="18"/>
          <w:rFonts w:hint="eastAsia" w:ascii="宋体" w:hAnsi="宋体"/>
          <w:sz w:val="24"/>
        </w:rPr>
        <w:t>十九、风险揭示</w:t>
      </w:r>
      <w:r>
        <w:rPr>
          <w:rFonts w:ascii="宋体" w:hAnsi="宋体"/>
          <w:sz w:val="24"/>
        </w:rPr>
        <w:tab/>
      </w:r>
      <w:r>
        <w:rPr>
          <w:rFonts w:ascii="宋体" w:hAnsi="宋体"/>
          <w:sz w:val="24"/>
        </w:rPr>
        <w:fldChar w:fldCharType="begin"/>
      </w:r>
      <w:r>
        <w:rPr>
          <w:rFonts w:ascii="宋体" w:hAnsi="宋体"/>
          <w:sz w:val="24"/>
        </w:rPr>
        <w:instrText xml:space="preserve"> PAGEREF _Toc228201056 \h </w:instrText>
      </w:r>
      <w:r>
        <w:rPr>
          <w:rFonts w:ascii="宋体" w:hAnsi="宋体"/>
          <w:sz w:val="24"/>
        </w:rPr>
        <w:fldChar w:fldCharType="separate"/>
      </w:r>
      <w:r>
        <w:rPr>
          <w:rFonts w:ascii="宋体" w:hAnsi="宋体"/>
          <w:sz w:val="24"/>
        </w:rPr>
        <w:t>111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"_Toc228201057" </w:instrText>
      </w:r>
      <w:r>
        <w:fldChar w:fldCharType="separate"/>
      </w:r>
      <w:r>
        <w:rPr>
          <w:rStyle w:val="18"/>
          <w:rFonts w:hint="eastAsia" w:ascii="宋体" w:hAnsi="宋体"/>
          <w:sz w:val="24"/>
        </w:rPr>
        <w:t>二十、基金合同的变更、终止与基金财产的清算</w:t>
      </w:r>
      <w:r>
        <w:rPr>
          <w:rFonts w:ascii="宋体" w:hAnsi="宋体"/>
          <w:sz w:val="24"/>
        </w:rPr>
        <w:tab/>
      </w:r>
      <w:r>
        <w:rPr>
          <w:rFonts w:ascii="宋体" w:hAnsi="宋体"/>
          <w:sz w:val="24"/>
        </w:rPr>
        <w:fldChar w:fldCharType="begin"/>
      </w:r>
      <w:r>
        <w:rPr>
          <w:rFonts w:ascii="宋体" w:hAnsi="宋体"/>
          <w:sz w:val="24"/>
        </w:rPr>
        <w:instrText xml:space="preserve"> PAGEREF _Toc228201057 \h </w:instrText>
      </w:r>
      <w:r>
        <w:rPr>
          <w:rFonts w:ascii="宋体" w:hAnsi="宋体"/>
          <w:sz w:val="24"/>
        </w:rPr>
        <w:fldChar w:fldCharType="separate"/>
      </w:r>
      <w:r>
        <w:rPr>
          <w:rFonts w:ascii="宋体" w:hAnsi="宋体"/>
          <w:sz w:val="24"/>
        </w:rPr>
        <w:t>122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"_Toc228201058" </w:instrText>
      </w:r>
      <w:r>
        <w:fldChar w:fldCharType="separate"/>
      </w:r>
      <w:r>
        <w:rPr>
          <w:rStyle w:val="18"/>
          <w:rFonts w:hint="eastAsia" w:ascii="宋体" w:hAnsi="宋体"/>
          <w:sz w:val="24"/>
        </w:rPr>
        <w:t>二十一、基金合同内容摘要</w:t>
      </w:r>
      <w:r>
        <w:rPr>
          <w:rFonts w:ascii="宋体" w:hAnsi="宋体"/>
          <w:sz w:val="24"/>
        </w:rPr>
        <w:tab/>
      </w:r>
      <w:r>
        <w:rPr>
          <w:rFonts w:ascii="宋体" w:hAnsi="宋体"/>
          <w:sz w:val="24"/>
        </w:rPr>
        <w:fldChar w:fldCharType="begin"/>
      </w:r>
      <w:r>
        <w:rPr>
          <w:rFonts w:ascii="宋体" w:hAnsi="宋体"/>
          <w:sz w:val="24"/>
        </w:rPr>
        <w:instrText xml:space="preserve"> PAGEREF _Toc228201058 \h </w:instrText>
      </w:r>
      <w:r>
        <w:rPr>
          <w:rFonts w:ascii="宋体" w:hAnsi="宋体"/>
          <w:sz w:val="24"/>
        </w:rPr>
        <w:fldChar w:fldCharType="separate"/>
      </w:r>
      <w:r>
        <w:rPr>
          <w:rFonts w:ascii="宋体" w:hAnsi="宋体"/>
          <w:sz w:val="24"/>
        </w:rPr>
        <w:t>124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"_Toc228201059" </w:instrText>
      </w:r>
      <w:r>
        <w:fldChar w:fldCharType="separate"/>
      </w:r>
      <w:r>
        <w:rPr>
          <w:rStyle w:val="18"/>
          <w:rFonts w:hint="eastAsia" w:ascii="宋体" w:hAnsi="宋体"/>
          <w:sz w:val="24"/>
        </w:rPr>
        <w:t>二十二、托管协议的内容摘要</w:t>
      </w:r>
      <w:r>
        <w:rPr>
          <w:rFonts w:ascii="宋体" w:hAnsi="宋体"/>
          <w:sz w:val="24"/>
        </w:rPr>
        <w:tab/>
      </w:r>
      <w:r>
        <w:rPr>
          <w:rFonts w:ascii="宋体" w:hAnsi="宋体"/>
          <w:sz w:val="24"/>
        </w:rPr>
        <w:fldChar w:fldCharType="begin"/>
      </w:r>
      <w:r>
        <w:rPr>
          <w:rFonts w:ascii="宋体" w:hAnsi="宋体"/>
          <w:sz w:val="24"/>
        </w:rPr>
        <w:instrText xml:space="preserve"> PAGEREF _Toc228201059 \h </w:instrText>
      </w:r>
      <w:r>
        <w:rPr>
          <w:rFonts w:ascii="宋体" w:hAnsi="宋体"/>
          <w:sz w:val="24"/>
        </w:rPr>
        <w:fldChar w:fldCharType="separate"/>
      </w:r>
      <w:r>
        <w:rPr>
          <w:rFonts w:ascii="宋体" w:hAnsi="宋体"/>
          <w:sz w:val="24"/>
        </w:rPr>
        <w:t>141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"_Toc228201060" </w:instrText>
      </w:r>
      <w:r>
        <w:fldChar w:fldCharType="separate"/>
      </w:r>
      <w:r>
        <w:rPr>
          <w:rStyle w:val="18"/>
          <w:rFonts w:hint="eastAsia" w:ascii="宋体" w:hAnsi="宋体"/>
          <w:sz w:val="24"/>
        </w:rPr>
        <w:t>二十三、对基金份额持有人的服务</w:t>
      </w:r>
      <w:r>
        <w:rPr>
          <w:rFonts w:ascii="宋体" w:hAnsi="宋体"/>
          <w:sz w:val="24"/>
        </w:rPr>
        <w:tab/>
      </w:r>
      <w:r>
        <w:rPr>
          <w:rFonts w:ascii="宋体" w:hAnsi="宋体"/>
          <w:sz w:val="24"/>
        </w:rPr>
        <w:fldChar w:fldCharType="begin"/>
      </w:r>
      <w:r>
        <w:rPr>
          <w:rFonts w:ascii="宋体" w:hAnsi="宋体"/>
          <w:sz w:val="24"/>
        </w:rPr>
        <w:instrText xml:space="preserve"> PAGEREF _Toc228201060 \h </w:instrText>
      </w:r>
      <w:r>
        <w:rPr>
          <w:rFonts w:ascii="宋体" w:hAnsi="宋体"/>
          <w:sz w:val="24"/>
        </w:rPr>
        <w:fldChar w:fldCharType="separate"/>
      </w:r>
      <w:r>
        <w:rPr>
          <w:rFonts w:ascii="宋体" w:hAnsi="宋体"/>
          <w:sz w:val="24"/>
        </w:rPr>
        <w:t>161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"_Toc228201061" </w:instrText>
      </w:r>
      <w:r>
        <w:fldChar w:fldCharType="separate"/>
      </w:r>
      <w:r>
        <w:rPr>
          <w:rStyle w:val="18"/>
          <w:rFonts w:hint="eastAsia" w:ascii="宋体" w:hAnsi="宋体"/>
          <w:sz w:val="24"/>
        </w:rPr>
        <w:t>二十四、其他应披露事项</w:t>
      </w:r>
      <w:r>
        <w:rPr>
          <w:rFonts w:ascii="宋体" w:hAnsi="宋体"/>
          <w:sz w:val="24"/>
        </w:rPr>
        <w:tab/>
      </w:r>
      <w:r>
        <w:rPr>
          <w:rFonts w:ascii="宋体" w:hAnsi="宋体"/>
          <w:sz w:val="24"/>
        </w:rPr>
        <w:fldChar w:fldCharType="begin"/>
      </w:r>
      <w:r>
        <w:rPr>
          <w:rFonts w:ascii="宋体" w:hAnsi="宋体"/>
          <w:sz w:val="24"/>
        </w:rPr>
        <w:instrText xml:space="preserve"> PAGEREF _Toc228201061 \h </w:instrText>
      </w:r>
      <w:r>
        <w:rPr>
          <w:rFonts w:ascii="宋体" w:hAnsi="宋体"/>
          <w:sz w:val="24"/>
        </w:rPr>
        <w:fldChar w:fldCharType="separate"/>
      </w:r>
      <w:r>
        <w:rPr>
          <w:rFonts w:ascii="宋体" w:hAnsi="宋体"/>
          <w:sz w:val="24"/>
        </w:rPr>
        <w:t>163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"_Toc228201062" </w:instrText>
      </w:r>
      <w:r>
        <w:fldChar w:fldCharType="separate"/>
      </w:r>
      <w:r>
        <w:rPr>
          <w:rStyle w:val="18"/>
          <w:rFonts w:hint="eastAsia" w:ascii="宋体" w:hAnsi="宋体"/>
          <w:sz w:val="24"/>
        </w:rPr>
        <w:t>二十五、招募说明书的存放及查阅方式</w:t>
      </w:r>
      <w:r>
        <w:rPr>
          <w:rFonts w:ascii="宋体" w:hAnsi="宋体"/>
          <w:sz w:val="24"/>
        </w:rPr>
        <w:tab/>
      </w:r>
      <w:r>
        <w:rPr>
          <w:rFonts w:ascii="宋体" w:hAnsi="宋体"/>
          <w:sz w:val="24"/>
        </w:rPr>
        <w:fldChar w:fldCharType="begin"/>
      </w:r>
      <w:r>
        <w:rPr>
          <w:rFonts w:ascii="宋体" w:hAnsi="宋体"/>
          <w:sz w:val="24"/>
        </w:rPr>
        <w:instrText xml:space="preserve"> PAGEREF _Toc228201062 \h </w:instrText>
      </w:r>
      <w:r>
        <w:rPr>
          <w:rFonts w:ascii="宋体" w:hAnsi="宋体"/>
          <w:sz w:val="24"/>
        </w:rPr>
        <w:fldChar w:fldCharType="separate"/>
      </w:r>
      <w:r>
        <w:rPr>
          <w:rFonts w:ascii="宋体" w:hAnsi="宋体"/>
          <w:sz w:val="24"/>
        </w:rPr>
        <w:t>165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"_Toc228201063" </w:instrText>
      </w:r>
      <w:r>
        <w:fldChar w:fldCharType="separate"/>
      </w:r>
      <w:r>
        <w:rPr>
          <w:rStyle w:val="18"/>
          <w:rFonts w:hint="eastAsia" w:ascii="宋体" w:hAnsi="宋体"/>
          <w:sz w:val="24"/>
        </w:rPr>
        <w:t>二十六、备查文件</w:t>
      </w:r>
      <w:r>
        <w:rPr>
          <w:rFonts w:ascii="宋体" w:hAnsi="宋体"/>
          <w:sz w:val="24"/>
        </w:rPr>
        <w:tab/>
      </w:r>
      <w:r>
        <w:rPr>
          <w:rFonts w:ascii="宋体" w:hAnsi="宋体"/>
          <w:sz w:val="24"/>
        </w:rPr>
        <w:fldChar w:fldCharType="begin"/>
      </w:r>
      <w:r>
        <w:rPr>
          <w:rFonts w:ascii="宋体" w:hAnsi="宋体"/>
          <w:sz w:val="24"/>
        </w:rPr>
        <w:instrText xml:space="preserve"> PAGEREF _Toc228201063 \h </w:instrText>
      </w:r>
      <w:r>
        <w:rPr>
          <w:rFonts w:ascii="宋体" w:hAnsi="宋体"/>
          <w:sz w:val="24"/>
        </w:rPr>
        <w:fldChar w:fldCharType="separate"/>
      </w:r>
      <w:r>
        <w:rPr>
          <w:rFonts w:ascii="宋体" w:hAnsi="宋体"/>
          <w:sz w:val="24"/>
        </w:rPr>
        <w:t>166</w:t>
      </w:r>
      <w:r>
        <w:rPr>
          <w:rFonts w:ascii="宋体" w:hAnsi="宋体"/>
          <w:sz w:val="24"/>
        </w:rPr>
        <w:fldChar w:fldCharType="end"/>
      </w:r>
      <w:r>
        <w:rPr>
          <w:rFonts w:ascii="宋体" w:hAnsi="宋体"/>
          <w:sz w:val="24"/>
        </w:rPr>
        <w:fldChar w:fldCharType="end"/>
      </w:r>
    </w:p>
    <w:p>
      <w:pPr>
        <w:pStyle w:val="20"/>
        <w:snapToGrid w:val="0"/>
        <w:spacing w:after="240" w:line="360" w:lineRule="auto"/>
        <w:jc w:val="center"/>
        <w:rPr>
          <w:rFonts w:ascii="宋体" w:hAnsi="宋体"/>
          <w:color w:val="000000"/>
          <w:sz w:val="24"/>
        </w:rPr>
      </w:pPr>
      <w:r>
        <w:rPr>
          <w:rFonts w:ascii="宋体" w:hAnsi="宋体"/>
          <w:color w:val="000000"/>
          <w:position w:val="-4"/>
          <w:sz w:val="24"/>
          <w:szCs w:val="30"/>
        </w:rPr>
        <w:fldChar w:fldCharType="end"/>
      </w:r>
    </w:p>
    <w:p>
      <w:pPr>
        <w:autoSpaceDE w:val="0"/>
        <w:autoSpaceDN w:val="0"/>
        <w:adjustRightInd w:val="0"/>
        <w:snapToGrid w:val="0"/>
        <w:spacing w:line="360" w:lineRule="auto"/>
        <w:ind w:left="120" w:right="13" w:rightChars="6"/>
        <w:rPr>
          <w:rFonts w:ascii="宋体" w:hAnsi="宋体"/>
          <w:kern w:val="0"/>
          <w:szCs w:val="24"/>
        </w:rPr>
        <w:sectPr>
          <w:pgSz w:w="11920" w:h="16840"/>
          <w:pgMar w:top="1480" w:right="1680" w:bottom="280" w:left="1680" w:header="0" w:footer="1073" w:gutter="0"/>
          <w:cols w:space="720" w:num="1"/>
        </w:sectPr>
      </w:pPr>
    </w:p>
    <w:p>
      <w:pPr>
        <w:pStyle w:val="2"/>
        <w:snapToGrid w:val="0"/>
        <w:spacing w:before="240" w:beforeLines="0" w:after="240"/>
        <w:rPr>
          <w:rFonts w:ascii="宋体" w:hAnsi="宋体"/>
          <w:szCs w:val="30"/>
        </w:rPr>
      </w:pPr>
      <w:bookmarkStart w:id="3" w:name="_Toc228201038"/>
      <w:r>
        <w:rPr>
          <w:rFonts w:ascii="Times New Roman" w:hAnsi="Times New Roman"/>
          <w:sz w:val="30"/>
        </w:rPr>
        <w:t>一、绪言</w:t>
      </w:r>
      <w:bookmarkEnd w:id="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品质增长一年持有期混合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品质增长一年持有期混合型证券投资基金基金合同》（以下简称“基金合同”）编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line="360" w:lineRule="auto"/>
        <w:ind w:firstLine="480" w:firstLineChars="200"/>
        <w:jc w:val="left"/>
        <w:rPr>
          <w:rFonts w:ascii="宋体" w:hAnsi="宋体"/>
          <w:b w:val="0"/>
          <w:bCs/>
          <w:szCs w:val="24"/>
        </w:rPr>
      </w:pPr>
      <w:r>
        <w:rPr>
          <w:rFonts w:hint="eastAsia" w:ascii="宋体" w:hAnsi="宋体"/>
          <w:b w:val="0"/>
          <w:bCs/>
          <w:kern w:val="0"/>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4" w:name="_Toc228201039"/>
      <w:r>
        <w:rPr>
          <w:rFonts w:ascii="Times New Roman" w:hAnsi="Times New Roman"/>
          <w:sz w:val="30"/>
        </w:rPr>
        <w:t>二、释义</w:t>
      </w:r>
      <w:bookmarkEnd w:id="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在本招募说明书中，除非文意另有所指，下列词语或简称具有如下含义：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1、基金或本基金：指交银施罗德品质增长一年持有期混合型证券投资基金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2、基金管理人：指交银施罗德基金管理有限公司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3、基金托管人：指中信银行股份有限公司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4、基金合同：指《交银施罗德品质增长一年持有期混合型证券投资基金基金合同》及对基金合同的任何有效修订和补充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5、托管协议：指基金管理人与基金托管人就本基金签订之《交银施罗德品质增长一年持有期混合型证券投资基金托管协议》及对该托管协议的任何有效修订和补充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6、招募说明书或本招募说明书：指《交银施罗德品质增长一年持有期混合型证券投资基金招募说明书》及其更新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7、基金产品资料概要：指《交银施罗德品质增长一年持有期混合型证券投资基金基金产品资料概要》及其更新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8、基金份额发售公告：指《交银施罗德品质增长一年持有期混合型证券投资基金基金份额发售公告》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10、《基金法》：指《中华人民共和国证券投资基金法》及颁布机关对其不时做出的修订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11、《销售办法》：指《公开募集证券投资基金销售机构监督管理办法》及颁布机关对其不时做出的修订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12、《信息披露办法》：指《公开募集证券投资基金信息披露管理办法》及颁布机关对其不时做出的修订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13、《运作办法》：指《公开募集证券投资基金运作管理办法》及颁布机关对其不时做出的修订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15、中国证监会：指中国证券监督管理委员会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16、银行业监督管理机构：指中国人民银行和/或中国银行保险监督管理委员会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18、个人投资者：指依据有关法律法规规定可投资于证券投资基金的自然人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21、投资人、投资者：指个人投资者、机构投资者、合格境外投资者以及法律法规或中国证监会允许购买证券投资基金的其他投资人的合称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22、基金份额持有人：指依基金合同和招募说明书合法取得基金份额的投资人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29、基金合同生效日：指基金募集达到法律法规规定及基金合同规定的条件，基金管理人向中国证监会办理基金备案手续完毕，并获得中国证监会书面确认的日期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31、基金募集期：指自基金份额发售之日起至发售结束之日止的期间，最长不得超过3个月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32、存续期：指基金合同生效至终止之间的不定期期限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33、工作日：指上海证券交易所、深圳证券交易所的正常交易日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34、T日：指销售机构在规定时间受理投资人申购、赎回或其他业务申请的开放日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35、T+n日：指自T日起第n个工作日（不包含T日）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最短持有期限：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年度对日：指某一特定日期在后续日历年度中的对应日期，若该日历年度中不存在对应日期的，则该年度对日为该特定日期在后续日历年度中对应月度的最后一日。如该年度对日为非工作日的，则顺延至下一个工作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38、开放日：指为投资人办理基金份额申购、赎回或其他业务的工作日（若该工作日为非港股通交易日，则本基金可不开放）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39、开放时间：指开放日基金接受申购、赎回或其他交易的时间段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40、《业务规则》：指中国证券登记结算有限责任公司相关业务规则及其不时做出的修订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41、认购：指在基金募集期内，投资人根据基金合同和招募说明书的规定申请购买基金份额的行为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42、申购：指基金合同生效后，投资人根据基金合同和招募说明书的规定申请购买基金份额的行为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43、赎回：指基金合同生效后，基金份额持有人按基金合同和招募说明书规定的条件要求将基金份额兑换为现金的行为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44、基金转换：指基金份额持有人按照基金合同和基金管理人届时有效公告规定的条件，申请将其持有基金管理人管理的、某一基金的基金份额转换为基金管理人管理的其他基金基金份额的行为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45、转托管：指基金份额持有人在本基金的不同销售机构之间实施的变更所持基金份额销售机构的操作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巨额赎回：指本基金单个开放日，基金净赎回申请（赎回申请份额总数加上基金转换中转出申请份额总数后扣除申购申请份额总数及基金转换中转入申请份额总数后的余额）超过上一开放日基金总份额的10%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48、元：指人民币元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49、基金收益：指基金投资所得红利、股息、债券利息、买卖证券价差、银行存款利息、已实现的其他合法收入及因运用基金财产带来的成本和费用的节约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50、基金资产总值：指基金拥有的各类有价证券、股指期货合约、银行存款本息、基金应收款项及其他资产的价值总和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51、基金资产净值：指基金资产总值减去基金负债后的价值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52、基金份额净值：指计算日基金资产净值除以计算日基金份额总数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53、基金资产估值：指计算评估基金资产和负债的价值，以确定基金资产净值和基金份额净值的过程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54、港股通：指内地投资者委托内地证券公司，经由内地证券交易所在香港设立的证券交易服务公司，向香港联合交易所进行申报，买卖规定范围内的香港联合交易所上市的股票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55、销售服务费：指从基金财产中计提的，用于本基金市场推广、销售以及基金份额持有人服务的费用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56、A类基金份额：指在投资人认购/申购时收取认购/申购费用且不从本类别基金资产中计提销售服务费的基金份额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57、C类基金份额：指在投资人认购/申购时不收取认购/申购费用，并从本类别基金资产中计提销售服务费的基金份额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58、规定媒介：指符合中国证监会规定条件的用以进行信息披露的全国性报刊及《信息披露办法》规定的互联网网站（包括基金管理人网站、基金托管人网站、中国证监会基金电子披露网站）等媒介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63、不可抗力：指基金合同当事人不能预见、不能避免且不能克服的客观事件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5" w:name="_Toc228201040"/>
      <w:r>
        <w:rPr>
          <w:rFonts w:ascii="Times New Roman" w:hAnsi="Times New Roman"/>
          <w:sz w:val="30"/>
        </w:rPr>
        <w:t>三、基金管理人</w:t>
      </w:r>
      <w:bookmarkEnd w:id="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（一）基金管理人概况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联系人：何佳妮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交通银行股份有限公司（以下使用全称或其简称“交通银行”）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（二）主要成员情况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董事，总经理，硕士。历任交通银行乌鲁木齐分行财务会计处副处长、会计结算部高级经理，交通银行总行资产托管业务中心（资产托管部）副总裁、总裁，交通银行总行金融机构部总经理、资产管理业务中心总裁等职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单锋先生，独立董事，博士。现任南京大学法学教授职务。历任南京大学法学院助教、讲师、副教授。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袁庆伟女士，总经理。简历同上。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韩威俊先生:基金经理。上海财经大学金融学硕士，21年证券投资行业从业经验。2005年至2008年担任申银万国证券研究所助理分析师，2008年至2009年担任北京鼎天资产管理有限公司董事助理，2009年至2010年担任申银万国证券研究所行业分析师，2010年至2013年担任信诚基金管理有限公司投资分析师。2013年加入交银施罗德基金管理有限公司，曾任行业分析师，现任权益部基金经理。曾任交银施罗德趋势优先混合型证券投资基金(2017年06月03日至2020年05月26日)的基金经理。现任交银施罗德策略回报灵活配置混合型证券投资基金(2016年01月20日至今)、交银施罗德股息优化混合型证券投资基金(2017年08月25日至今)、交银施罗德品质升级混合型证券投资基金(2018年02月08日至今)、交银施罗德消费新驱动股票型证券投资基金(2018年08月24日至今)、交银施罗德内需增长一年持有期混合型证券投资基金(2020年12月11日至今)、交银施罗德品质增长一年持有期混合型证券投资基金(2021年07月23日至今)的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委员：袁庆伟（总经理）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于海颖（混合资产投资总监、基金经理）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王崇（权益投资副总监、权益部一级专家、基金经理）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马韬（研究总监）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上述人员之间不存在近亲属关系。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（三）基金管理人的职责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3、对所管理的不同基金财产分别管理、分别记账，进行证券投资；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4、按照基金合同的约定确定基金收益分配方案，及时向基金份额持有人分配收益；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7、计算并公告基金净值信息，确定基金份额申购、赎回价格；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8、办理与基金财产管理业务活动有关的信息披露事项；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10、保存基金财产管理业务活动的记录、账册、报表和其他相关资料；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11、以基金管理人名义，代表基金份额持有人利益行使诉讼权利或者实施其他法律行为；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12、有关法律法规和中国证监会规定的其他职责。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（四）基金管理人的承诺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（1）将基金管理人固有财产或者他人财产混同于基金财产从事证券投资；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（2）不公平地对待管理的不同基金财产；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（3）利用基金财产为基金份额持有人以外的第三人牟取利益；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（4）向基金份额持有人违规承诺收益或者承担损失；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（5）侵占、挪用基金财产；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（6）法律、行政法规和中国证监会禁止的其他行为。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5、基金管理人承诺不从事其他法规规定禁止从事的行为。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（五）基金经理承诺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1、依照有关法律法规和基金合同的规定，本着谨慎的原则为基金份额持有人谋取最大利益；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2、不利用职务之便为自己、受雇人或任何第三者谋取利益；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4、不以任何形式为其他组织或个人进行证券交易。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（六）基金管理人的内部控制制度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（1）健全性原则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（2）有效性原则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通过科学的内控手段和方法，建立合理的内控程序，维护内控制度的有效执行。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（4）相互制约原则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公司内部部门和岗位的设置应当体现权责分明、相互制衡。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（5）成本效益原则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2、风险管理和内部风险控制体系结构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（1）董事会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（2）合规风险及审计委员会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（3）风险控制委员会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（4）督察长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（5）风险管理部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（6）审计部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（7）内控合规及法律事务部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（8）业务部门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3、风险管理和内部风险控制的措施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（1）建立内控体系，完善内控制度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（2）建立相互分离、相互制衡的内控机制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（3）建立、健全岗位责任制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（4）建立风险分类、识别、评估、报告、提示程序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（5）建立有效的内部监控系统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建立了足够、有效的内部监控系统，对可能出现的各种风险进行全面和实时的监控。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（6）使用数量化的风险管理手段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（7）提供足够的培训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制定了完整的培训计划，为所有员工提供足够和适当的培训，使员工明确其职责所在，控制风险。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6" w:name="_Toc228201041"/>
      <w:r>
        <w:rPr>
          <w:rFonts w:ascii="Times New Roman" w:hAnsi="Times New Roman"/>
          <w:sz w:val="30"/>
        </w:rPr>
        <w:t>四、基金托管人</w:t>
      </w:r>
      <w:bookmarkEnd w:id="6"/>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（一）基金托管人基本情况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名称：中信银行股份有限公司（简称“中信银行”）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住所：北京市朝阳区光华路10号院1号楼6-30层、32-42层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办公地址：北京市朝阳区光华路10号院1号楼6-30层、32-42层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法定代表人：方合英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成立时间：1987年4月20日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注册资本：489.35亿元人民币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批准设立文号：中华人民共和国国务院办公厅国办函[1987]14号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基金托管业务批准文号：中国证监会证监基金字[2004]125号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联系人：中信银行资产托管部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联系电话：4006800000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传真：010-85230024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网址：www.citicbank.com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行成立于1987年，是中国改革开放中最早成立的新兴商业银行之一，是中国最早参与国内外金融市场融资的商业银行，并以屡创中国现代金融史上多个第一而蜚声海内外，为中国经济建设作出了积极贡献。2007年4月，本行实现在上海证券交易所和香港联合交易所A+H 股同步上市。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截至报告期末，本行在国内153个大中城市设有1,484家营业网点，在境内外下设中信国际金融控股有限公司、信银（香港）投资有限公司、中信金融租赁有限公司、信银理财有限责任公司、信银金融资产投资有限公司、中信百信银行股份有限公司、阿尔金银行股份有限公司和浙江临安中信村镇银行股份有限公司 8 家附属机构。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其中，中信国际金融控股有限公司子公司中信银行（国际）有限公司在香港、澳门、纽约、 洛杉矶、新加坡和中国内地设有28家营业网点、2 家商务理财中心及1家私人银行中心。信银（香港）投资有限公司在香港和境内设有3家子公司。信银理财有限责任公司为本行全资理财子公司。中信百信银行股份有限公司为本行与百度联合发起设立的国内首家独立法人直销银行。阿尔金银行股份有限公司在哈萨克斯坦设有7家营业网点和1家私人银行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行深刻把握金融工作的政治性、人民性，始终在党和国家战略大局中找准金融定位、履行金融职责，坚持做国家战略的忠实践行者、实体经济的有力服务者和金融强国的积极建设者。成立38年来，本行已成为一家总资产规模突破10万亿元、员工人数超6.7万名，具有强大综合实力和品牌竞争力的金融集团。2025年，本行在英国Brand Finance 发布的“全球银行品牌价值500 强”榜单中排名第19位，以27.2%的增幅居中国内地银行第一；一级资本在英国《银行家》杂志“世界1000 家银行排名”中位列第18位。荣膺英国《银行家》杂志“2025年中国年度银行”大奖。</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（二）主要人员情况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方合英先生，本行党委书记、董事长、执行董事，代为履行行长职责。方先生于2020年12月起任中国中信集团有限公司副总经理、中国中信股份有限公司副总经理及执行委员会成员、中国中信有限公司副总经理，2020年11月起任中国中信集团有限公司党委委员。方先生曾任本行苏州分行行长、杭州分行行长、本行金融市场业务总监、副行长、财务总监。此前，先后在浙江银行学校任教，浙江银行学校实验城市信用社信贷部任总经理助理等。方先生具有三十余年银行从业经验，毕业于湖南财经学院（现湖南大学），获北京大学高级管理人员工商管理硕士学位，正高级经济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杨璋琪先生，中信银行资产托管部总经理，硕士研究生学历。杨先生2018年1月至2019年3月，任中信银行金融同业部副总经理；2015年5月至2018年1月，任中信银行长春分行副行长；2013年4月至2015年5月，任中信银行机构业务部总经理助理；1996年7月至2013年4月，就职于中信银行北京分行（原总行营业部），历任支行行长、投资银行部总经理、贸易金融部总经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（三）基金托管业务经营情况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2004年8月18日，中信银行经中国证券监督管理委员会和中国银行业监督管理委员会批准，取得基金托管人资格。中信银行本着“诚实信用、勤勉尽责”的原则，切实履行托管人职责。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截至2026年一季度末，中信银行托管435只公开募集证券投资基金，以及基金公司、证券公司资产管理产品、信托产品、企业年金、股权基金、QDII等其他托管资产，托管总规模达到19.28万亿元人民币。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（四）基金托管人的内部控制制度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目标。强化内部管理，确保有关法律法规及规章在基金托管业务中得到全面严格的贯彻执行；建立完善的规章制度和操作规程，保证基金托管业务持续、稳健发展；加强稽核监察，建立高效的风险监控体系，及时有效地发现、分析、控制和避免风险，确保基金财产安全，维护基金份额持有人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 内部控制组织结构。中信银行总行建立了风险管理委员会，负责全行的风险控制和风险防范工作；托管部内设内控合规岗，专门负责托管部内部风险控制，对基金托管业务的各个工作环节和业务流程进行独立、客观、公正的稽核监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内部控制制度。中信银行严格按照《基金法》以及其他法律法规及规章的规定，以控制和防范基金托管业务风险为主线，制定了《中信银行基金托管业务管理办法》、《中信银行基金托管业务内部控制管理办法》和《中信银行托管业务内控检查实施细则》等一整套规章制度，涵盖证券投资基金托管业务的各个环节，保证证券投资基金托管业务合法、合规、持续、稳健发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内部控制措施。建立了各项规章制度、操作流程、岗位职责、行为规范等，从制度上、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（五）基金托管人对基金管理人运作基金进行监督的方法和程序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托管人发现基金管理人违反《基金法》、《运作办法》、《信息披露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7" w:name="_Toc228201042"/>
      <w:r>
        <w:rPr>
          <w:rFonts w:ascii="Times New Roman" w:hAnsi="Times New Roman"/>
          <w:sz w:val="30"/>
        </w:rPr>
        <w:t>五、相关服务机构</w:t>
      </w:r>
      <w:bookmarkEnd w:id="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本基金直销机构为本公司直销柜台以及本公司的网上直销交易平台（网站及APP，下同）。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 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2、其他销售机构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（1）名称：交通银行股份有限公司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法定代表人：任德奇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电话：（021）58781234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传真：（021）58408483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联系人：范瑞波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网址：www.bankcomm.com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（2）名称：上海浦东发展银行股份有限公司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住所：上海市中山东一路12 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办公地址：上海市中山东一路12 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法定代表人：郑杨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电话：（021）61618888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传真：（021）61618888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联系人：朱瑛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网址：www.spdb.com.cn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（3）名称：厦门银行股份有限公司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厦门银行股份有限公司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400-858-8888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www.xmbankonline.com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（4）名称：江苏银行股份有限公司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住所：南京市中华路26号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办公地址：南京市中华路26号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法定代表人：夏平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电话：（025）58587018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传真：（025）58587038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联系人：田春慧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网址：www.jsbchina.cn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（5）名称：招商银行股份有限公司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电话：（0755）83198888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传真：（0755）83195109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联系人：季平伟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（6）名称：中信银行股份有限公司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住所：北京市东城区朝阳门北大街9号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办公地址：北京市东城区朝阳门北大街9号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法定代表人：朱鹤新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电话：（010）89936330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传真：（010）85230024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联系人：丰靖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（7）名称：东莞农村商业银行股份有限公司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住所：东莞市东城区鸿福东路2号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办公地址：东莞市东城区鸿福东路2号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法定代表人：王耀球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电话：（0769）22866254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传真：（0769）22866282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联系人：林培珊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客户服务电话：（0769）961122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网址：www.drcbank.com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（8）名称：中国民生银行股份有限公司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住所：北京市西城区复兴门内大街2号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法定代表人：洪崎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电话：（010）58560666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传真：（010）57092611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联系人：许野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95568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（9）名称：宁波银行股份有限公司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住所：宁波市江东区中山东路294号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法定代表人：陆华裕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电话：（021）63586210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传真：（021）63586215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联系人：胡技勋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客户服务电话：96528（上海地区962528）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网址：www.nbcb.com.cn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（10）名称：东吴证券股份有限公司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住所：苏州工业园区星阳街5号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法定代表人：范力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电话：0512-62938521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传真：0512-62938527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联系人：陆晓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网址：www.dwjq.com.cn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（11）名称：中国银河证券股份有限公司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法定代表人：陈共炎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电话：010-83574507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联系人：辛国政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网址：www.chinastock.com.cn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（12）名称：中信证券股份有限公司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住所：广东省深圳市福田区中心三路8号卓越时代广场（二期）北座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办公地址：北京市朝阳区亮马桥路48号中信证券大厦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法定代表人：张佑君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（13）名称：中国中金财富证券有限公司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办公地址：深圳市福田区益田路6003号荣超商务中心A栋第04、18层至21层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法定代表人：高涛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电话：（0755）88320851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联系人：胡芷境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客户服务电话：95532/400-600-8008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网址：www.ciccwm.com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（14）名称：国联民生证券股份有限公司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住所：江苏省无锡市金融一街8号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办公地址：江苏省无锡市金融一街8号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法定代表人：顾伟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联系电话：0510-82832051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传真：0510-82830162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网址：www.glsc.com.cn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（15）名称：山西证券股份有限公司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住所：山西省太原市府西街69号山西国际贸易中心东塔楼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办公地址：山西省太原市府西街69号山西国际贸易中心东塔楼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法定代表人：侯巍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电话：0351—8686815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联系人：谢武兵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客户服务电话：400-666-1618、95573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网址：www.i618.com.cn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（16）名称：西部证券股份有限公司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住所：陕西省西安市新城区东新街 319 号 8 幢 10000 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办公地址：陕西省西安市新城区东新街 319 号 8 幢 10000 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法定代表人：徐朝晖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电话：029-87211668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联系人：张吉安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网址：www.west95582.com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（17）名称：国投证券股份有限公司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电话：（0755）81688000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传真：（0755）82558355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网址：https://www.sdicsc.com.cn/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（18）名称：东莞证券股份有限公司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住所：广东省东莞市莞城区可园南路一号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办公地址：广东省东莞市莞城区可园南路一号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电话：（0769）22115712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传真：（0769）22115712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网址：www.dgzq.com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（19）名称：财通证券股份有限公司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注册地址：杭州市杭大路15号嘉华国际商务中心201、501、502、1103、1601-1615、1701-1716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办公地址：杭州市杭大路15号嘉华国际商务中心201、501、502、1103、1601-1615、1701-1716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沈继宁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电话：0571-87789160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陶志华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客户服务电话：95336,40086-96336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网址：www.ctsec.com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（20）名称：中信建投证券股份有限公司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住所：北京市朝阳区安立路66号4号楼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办公地址：北京市朝阳门内大街188号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电话：（010）56135784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网址：www.csc108.com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（21）名称：中原证券股份有限公司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住所：郑州市郑东新区商务外环路10号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办公地址：郑州市郑东新区商务外环路10号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法定代表人：菅明军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联系人：程月艳 李盼盼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电话：0371-69099881/2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网址：https://www.ccnew.com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（22）名称：东方财富证券股份有限公司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住所：西藏自治区拉萨市柳梧新区国际总部城10栋楼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法定代表人：戴彦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电话：（021）021-23586603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传真：（021）021-23586860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联系人：付佳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网址：http://www.18.cn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（23）名称：华泰证券股份有限公司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住所：江苏省南京市江东中路228号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办公地址：江苏省南京市建邺区江东中路228号华泰证券广场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电话：（0755）82492193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传真：（0755）82492962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联系人：徐浩津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（24）名称：湘财证券股份有限公司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住所：湖南省长沙市黄兴中路63号中山国际大厦12楼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办公地址：湖南省长沙市天心区湘府中路198号标志商务中心11楼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法定代表人：林俊波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电话：（021）68634518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传真：（021）68865680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联系人：钟康莺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客户服务电话：400-888-1551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网址：www.xcsc.com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（25）名称：兴业证券股份有限公司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住所：福州市湖东路268号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办公地址：上海市浦东新区长柳路36号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法定代表人：杨华辉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021-38565547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联系人：乔琳雪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www.xyzq.com.cn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（26）名称：海通证券股份有限公司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住所：上海市淮海中路98号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办公地址：上海市广东路689号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法定代表人：王开国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电话：（021）23219000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传真：（021）23219100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联系人：李笑鸣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客户服务电话：95553或拨打各城市营业网点咨询电话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（27）名称：华龙证券股份有限公司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住所：兰州市城关区东岗西路638号财富中心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办公地址：兰州市城关区东岗西路638号财富中心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法定代表人：李晓安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电话：（0931）4890208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传真：（0931）4890628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联系人：李昕田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客户服务电话：4006898888、（0931）4890208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网址：www.hlzqgs.com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（28）名称：长城国瑞证券有限公司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住所：厦门市思明区台北路1号海西金谷广场T2办公楼13-14层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办公地址：厦门市思明区台北路1号海西金谷广场T2办公楼13-14层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电话：0592-2079658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传真：0592-5162590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联系人：陈月月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客户服务电话：400-0099-886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网址：www.gwgsc.com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（29）名称：大同证券有限责任公司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注册地址：山西省大同市城区迎宾街15号桐城中央21层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办公地址：太原市长治路 111 号山西世贸中心 A 座 F12、F13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邮政编码：030600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法定代表人：董祥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 话：（0351）4130322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 真：（0351）7219891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客服电话：4007121212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网址：www.dtsbc.com.cn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（30）名称：招商证券股份有限公司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办公地址：深圳市福田区益田路江苏大厦A座38-45层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法定代表人：霍达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电话：（0755）82943666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传真：（0755）82943636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联系人：黄婵君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客户服务电话：400-8888-111，95565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网址：www.newone.com.cn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（31）名称：国泰海通证券股份有限公司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注册地址：中国（上海）自由贸易试验区商城路618号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办公地址：上海市静安区南京西路768号国泰君安大厦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联系电话：021-38676666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传真：021-38670666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联系人：邵亚杰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服务热线 : 95521 / 4008888666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网址：www.gtht.com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（32）名称：中信证券华南股份有限公司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法定代表人：陈可可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电话：020-88836999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传真：020-88836984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联系人：郭杏燕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客服电话：（020）95396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网址：www.gzs.com.cn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（33）名称：第一创业证券股份有限公司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住所：深圳市罗湖区笋岗路12号中民时代广场 B 座25、26层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办公地址：深圳市罗湖区笋岗路12号中民时代广场 B 座25、26层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法定代表人：刘学民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电话：（0755）25832852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传真：（0755）25831718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联系人：崔国良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网址：www.firstcapital.com.cn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（34）名称：华西证券股份有限公司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法定代表人：杨炯洋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电话：（028）86135991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传真：（028）86150400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联系人：周志茹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网址：www.hx168.com.cn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（35）名称：国新证券股份有限公司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法定代表人：宋德清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电话：（010）58568235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传真：（010）58568062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客户服务电话：（010）58568118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网址：www.crsec.com.cn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（36）名称：国金证券股份有限公司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法定代表人：冉云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电话：（028）86690057，（028）86690058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传真：（028）86690126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联系人：刘婧漪 贾鹏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网址：www.gjzq.com.cn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（37）名称：长城证券有限责任公司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住所：深圳市福田区深南大道6008号特区报业大厦14、16、17层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法定代表人：黄耀华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电话：（0755）83516289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传真：（0755）83516199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联系人：匡婷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客户服务电话：（0755）33680000，400-6666-888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网址：www.cc168.com.cn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（38）名称：申万宏源证券有限公司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法定代表人：杨玉成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电话：（021）33389888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联系人：李清怡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客户服务电话：95523或4008895523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网址：www.sywg.com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（39）名称：国都证券股份有限公司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住所：北京市东城区东直门南大街3号国华投资大厦9层10层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办公地址：北京市东城区东直门南大街3号国华投资大厦9层10层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法定代表人：王少华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客户服务电话：400-818-8118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网址：www.guodu.com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（40）名称：平安证券股份有限公司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住所：深圳市福田区金田路大中华国际交易广场裙楼8楼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办公地址：深圳市福田区金田路大中华国际交易广场裙楼8楼(518048)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法定代表人：杨宇翔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电话：（0755）22627802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传真：（0755）82400862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联系人：郑舒丽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（41）名称：中信证券（山东）有限责任公司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住所：青岛市崂山区深圳路222号1号楼2001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办公地址：青岛市市南区东海西路28号龙翔广场东座5层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法定代表人：肖海峰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电话：0531-89606166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传真：0532-85022605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联系人：赵如意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网址：sd.citics.com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（42）名称：申万宏源西部证券有限公司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住所：新疆乌鲁木齐市建设路2号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办公地址：北京市西城区太平桥大街19号宏源证券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法定代表人：冯戎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电话：（010）88085858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传真：（010）88085195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客户服务电话：4008-000-562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网址：www.hysec.com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（43）名称：华鑫证券有限责任公司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华鑫证券有限责任公司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4001099918，95323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www.cfsc.com.cn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（44）名称：中国国际金融股份有限公司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住所：北京建国门外大街1号国贸大厦2座27层及28层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办公地址：北京建国门外大街1号国贸大厦2座27层及28层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法定代表人：毕明建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电话：（010）65051166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传真：（010）85679203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联系人：杨涵宇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（45）名称：万联证券股份有限公司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注册地址：广州市天河区珠江东路11号18、19楼全层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办公地址：广东省广州市天河区珠江东路13号高德置地广场E座12层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 系 人：丁思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联系方式：020-83988334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客服电话：95322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公司官网：www.wlzq.cn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（46）名称：南京证券股份有限公司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住所：南京市江东中路389号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办公地址：南京市江东中路389号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法定代表人：李剑锋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电话：（025）58519529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传真：（025）83369725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联系人：曹梦媛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网址：www.nizq.com.cn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（47）名称：国信证券股份有限公司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住所：深圳市罗湖区红岭中路1012号国信证券大厦16-26楼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办公地址：深圳市罗湖区红岭中路1012号国信证券大厦16-26楼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法定代表人：张纳沙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电话：（0755）82130833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传真：（0755）82133952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联系人：于智勇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网址：www.guosen.com.cn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（48）名称：深圳市新兰德证券投资咨询有限公司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住所：深圳市福田区华强北路赛格科技园4栋10层1006#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电话：（010）58325395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传真：（010）58325282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联系人：刘宝文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客户服务电话：400-850-7771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网址：http://8.jrj.com.cn/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（49）名称：大连网金基金销售有限公司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樊怀东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电话：（0411-39027810）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传真：（0411-39027835）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于秀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4000-899-100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网址：http://www.yibaijin.com/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（50）名称：阳光人寿保险股份有限公司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住所：海南省三亚市迎宾路360-1号三亚阳光金融广场16层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办公地址：北京市朝阳区朝阳门外大街乙12号院1号昆泰国际大厦12层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电话：（010）85632771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传真：（010）85632773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网址：http://fund.sinosig.com/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（51）名称：京东肯特瑞基金销售有限公司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北京市海淀区西三旗建材城中路12号17号平房157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办公地址：北京市通州区亦庄经济技术开发区科创十一街18号院京东集团总部A座17层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传真：010-89189566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网址：kenterui.jd.com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（52）名称：和耕传承基金销售有限公司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法定代表人：温丽燕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电话：0371-85518395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传真：0371-85518397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联系人：胡静华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客户服务电话：4000555671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网址：www.hgccpb.com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（53）名称：腾安基金销售（深圳）有限公司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办公地址：深圳市南山区海天二路33号腾讯滨海大厦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联系人：谭广峰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网址：http://www.tenganxinxi.com/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（54）名称：珠海盈米基金销售有限公司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住所：珠海市横琴新区宝华路6号105室-3491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办公地址：广州市海珠区琶洲大道东1号保利国际广场南塔12楼B1201-1203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电话：（020）89629099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传真：（020）89629011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联系人：黄敏嫦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客户服务电话：（020）89629066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网址：www.yingmi.com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（55）名称：北京度小满基金销售有限公司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注册地址：北京市海淀区西北旺东路10号院西区4号楼1层103室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法定代表人：葛新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办公地址：北京市海淀区西北旺东路10号院西区4号楼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机构联系人：王笑宇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联系人电话：010-59403028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联系人传真：010-59403027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客户服务电话：95055-4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公司网址：www.baiyingfund.com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（56）名称：南京苏宁基金销售有限公司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联系人：冯鹏鹏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网址：www.snjijin.com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（57）名称：嘉实财富管理有限公司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住所：海南省三亚市天涯区三亚湾路国际客运港区国际养生度假中心酒店B座(2＃楼)27楼2714室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办公地址及其联系方式：北京市朝阳区建国门外大街21号北京国际俱乐部C座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张峰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010-85097302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联系人：闫欢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客户服务电话：400-021-8850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公司网址：http://www.harvestwm.cn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（58）名称：北京汇成基金销售有限公司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住所：北京市西城区宣武门外大街甲1号4层401-2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办公地址：北京市西城区宣武门外大街甲1号环球财讯中心D座4层401-2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法定代表人：王伟刚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电话：（010）56282140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传真：（010）62680827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客户服务电话：010-63158805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网址：www.hcfunds.co</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（59）名称：上海利得基金销售有限公司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上海浦东新区峨山路91弄61号陆家嘴软件园10号楼12楼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办公地址：上海市虹口区东大名路1098号浦江国际金融广场53层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法定代表人：李兴春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电话：021-50583533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传真：021-50583633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伍豪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客服电话：400-032-5885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网址：www.leadfund.com.cn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（60）名称：上海陆金所基金销售有限公司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住所：上海市浦东新区陆家嘴环路1333号14楼09单元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办公地址：上海市浦东新区陆家嘴环路1333号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法定代表人：王之光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电话：（021）20665952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传真：（021）22066653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联系人：宁博宇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客户服务电话：4008219031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网址：www.lufunds.com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（61）名称：上海挖财基金销售有限公司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法定代表人：吕柳霞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电话：021-50810673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传真：021-50810687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邮编：200120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联系人：毛善波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客服电话：400-711-8718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网址：www.wacaijijin.com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（62）名称：万家财富基金销售（天津）有限公司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住所：天津自贸区（中心商务区）迎宾大道1988号滨海浙商大厦公寓2-2413室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办公地址：北京市西城区丰盛胡同28号太平洋保险大厦A座5层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电话：（010）59013825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传真：（010）59013828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联系人：王茜蕊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客户服务电话：010-59013895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网址：http://www.wanjiawealth.com/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（63）名称：上海万得基金销售有限公司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住所：中国（上海）自由贸易试验区福山路33号11楼B座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办公地址：上海市浦东新区浦明路1500号万得大厦11楼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宋晓言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电话：021-50712782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传真：021-50710161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马烨莹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客户服务电话：400-799-1888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www.520fund.com.cn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（64）名称：深圳市金斧子基金销售有限公司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住所：深圳市南山区粤海街道科苑路16号东方科技大厦18楼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办公地址：深圳市南山区粤海街道科苑路科兴科学园B3单元7楼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法定代表人：赖任军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电话：（0755）66892301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传真：（0755）66892399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客户服务电话：400-9500-888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网址：www.jfzinv.com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（65）名称：北京雪球基金销售有限公司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住所：北京市朝阳区创远路 34 号院6号楼15层1501室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办公地址：北京市朝阳区创远路 34 号院融新科技中心 C 座 17 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电话：（010）61840688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传真：（010）84997571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联系人：武安广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客户服务电话：400-1599-288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网址：danjuanfunds.com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（66）名称：北京新浪仓石基金销售有限公司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注册地址：北京市海淀区东北旺西路中关村软件园二期（西扩）N-1、N-2地块新浪总部科研楼5层518室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办公地址：北京市海淀区东北旺西路中关村软件园二期（西扩）N-1、N-2地块新浪总部科研楼5层518室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法定代表人：穆飞虎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电话：010-58982465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联系人：穆飞虎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客服电话：010-6267 5369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网址：www.xincai.com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（67）名称：中证金牛（北京）基金销售有限公司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北京市丰台区东管头1号2号楼2-45室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北京市西城区宣武门外大街甲一号环球财讯中心A座5层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钱昊旻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电话：（010）59336512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传真：（010）59336586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沈晨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客户服务电话：4008-909-998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www.jnlc.com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（68）名称：上海证达通基金销售有限公司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法定代表人：姚杨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电话：（021）20530186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传真：（021）20538999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潘梦茹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客户服务电话：021-20538880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网址：www.zdt.fund</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（69）名称：奕丰基金销售有限公司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住所：深圳市前海深港合作区前湾一路1号A栋201室（入住深圳市前海商务秘书有限公司）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办公地址：深圳市南山区海德三道航天科技广场A座17楼1704室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法定代表人：TEO WEE HOWE</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电话：（0755）89460500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传真：（0755）21674453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联系人：叶健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客户服务电话：400-684-0500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网址：www.ifastps.com.cn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（70）名称：上海天天基金销售有限公司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住所：上海市徐汇区龙田路190号2号楼2层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办公地址：上海市徐汇区宛平南路88号金座东方财富大厦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法定代表人：其实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电话：（021）54509998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传真：（021）64385308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联系人：屠彦洋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客户服务电话：400-1818-188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网址：www.1234567.com.cn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（71）名称：和讯信息科技有限公司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住所：北京市朝阳区朝外大街22号泛利大厦10层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办公地址：北京市朝阳区朝外大街22号泛利大厦10层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电话：（021）20835789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传真：（021）20835879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客户服务电话：4009200022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网址：http://licaike.hexun.com/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（72）名称：诺亚正行基金销售有限公司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住所:上海市虹口区飞虹路360弄9号3724室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办公地址:上海市杨浦区长阳路1687号长阳谷2号楼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法定代表：汪静波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电话：（021）80358523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传真：（021）80358749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客户服务电话：4008215399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网址：www.noah-fund.com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（73）名称：上海好买基金销售有限公司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住所：上海市虹口区场中路685弄37号4号楼449室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办公地址：上海市浦东新区浦东南路1118号鄂尔多斯国际大厦903-906室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法定代表人：杨文斌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传真：（021）68596916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联系人：薛年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客户服务电话：400-700-9665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网址：www.howbuy.com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（74）名称：上海长量基金销售有限公司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住所：上海市浦东新区高翔路526号2幢220室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办公地址：上海市浦东新区浦东大道555号裕景国际B座16层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法定代表人：张跃伟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电话：（021）20691832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传真：（021）20691861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联系人：单丙烨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客户服务电话：400-820-2899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网址：www.erichfund.com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（75）名称：深圳众禄基金销售股份有限公司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电话：（0755）33227953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传真：（0755）33227951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联系人：汤素娅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客户服务电话：4006-788-887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网址：www.zlfund.cn，www.jjmmw.com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（76）名称：蚂蚁（杭州）基金销售有限公司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住所：浙江省杭州市余杭区五常街道文一西路969号3幢5层599室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办公地址：浙江省杭州市西湖区西溪路556号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电话：（0571）28829790，（021）60897869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传真：（0571）26698533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联系人：韩爱彬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网址：www.fund123.cn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（77）名称：中信期货有限公司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电话：010-60833754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传真：021-60819988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联系人：刘宏莹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客服电话：400-990-8826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网站：www.citicsf.com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（78）名称：上海基煜基金销售有限公司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住所：上海市崇明县长兴镇路潘园公路1800号2号楼6153室（上海泰和经济发展区）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办公地址：上海市杨浦区昆明路518号A1002室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传真：（021）55085991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联系人：俞申莉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（79）名称：浙江同花顺基金销售有限公司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住所：浙江省杭州市文二西路1号元茂大厦903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办公地址：浙江杭州余杭区五常街道同顺街18号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电话：（0571）88911818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传真：（0571）86800423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客户服务电话：952555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网址：https://fund.10jqka.com.cn/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（80）名称：宜信普泽（北京）基金销售有限公司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法定代表人：汤蕾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电话：010-5090-5707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联系人：蒋凯帆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客户服务电话：400-6099-200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网址：http://www.puzefund.com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（81）名称：上海联泰基金销售有限公司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住所：上海市普陀区兰溪路900弄15号526室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办公地址：上海市虹口区临潼路188号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法定代表人：尹彬彬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电话：021-52822063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传真：021-52975270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联系人：兰敏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客户服务电话：400-118-1188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网址：www.66liantai.com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（82）名称：泛华普益基金销售有限公司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住所：成都市成华区建设路9号高地中心1101室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办公地址：成都市金牛区花照壁西顺街399号1栋1单元龙湖西宸天街B座1201号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法定代表人：于海锋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电话：028-8661-6229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联系人：隋亚方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客户服务电话：400-080-3388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网址：https://www.puyifund.com/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（83）名称：北京展恒基金销售股份有限公司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住所：北京市顺义区后沙峪镇安富街6号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办公地址：北京市朝阳区安苑路15-1号邮电新闻大厦2层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法定代表人：闫振杰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电话：（010）59601366-7024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传真：（010）62020355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客户服务电话：400-888-6661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网址：www.myfund.com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（84）名称：北京创金启富基金销售有限公司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梁蓉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电话：010-66154828-8047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传真：010-63583991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魏素清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客户服务电话：010-66154828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https://www.5irich.com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（85）名称：济安财富（北京）基金销售有限公司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住所：北京市朝阳区太阳宫中路16号院1号楼10层1005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办公地址：北京市朝阳区太阳宫中路16号院1号楼11层1105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电话：010-65309516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传真：010-65330699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联系人：宋静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客户服务电话：400-673-7010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网址：www.jianfortune.com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（86）名称：博时财富基金销售有限公司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法定代表人：王德英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电话：0755-83169999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传真：0755-83195220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客户服务电话：400-610-5568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网址：www.boserawealth.com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（87）名称：深圳前海微众银行股份有限公司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办公地址：广东省深圳市南山区沙河西路1819号深圳湾科技生态园7栋A座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法定代表人：顾敏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电话：15112686889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联系人：白冰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（88）名称：上海中欧财富基金销售有限公司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住所：中国（上海）自由贸易试验区陆家嘴环路479号1008-1室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办公地址：上海市虹口区公平路18号嘉昱大厦6楼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法定代表人：许欣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电话：021-68609600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传真：021-33830351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刘弘义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客户服务电话：400-700-9700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公司网址：https://www.zocaifu.com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（89）名称：中国人寿保险股份有限公司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住所：中国北京市西城区金融大街16号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办公地址：北京市西城区金融大街16号中国人寿广场A座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www.e-chinalife.com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基金管理人可根据有关法律法规的要求，选择其它符合要求的机构销售本基金，并在基金管理人网站公示。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（二）登记机构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名称：中国证券登记结算有限责任公司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法定代表人：于文强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电话：（010）50938782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传真：（010）50938907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联系人：赵亦清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（三）出具法律意见书的律师事务所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名称：上海市通力律师事务所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负责人：韩炯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电话：（021）31358666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传真：（021）31358600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联系人：丁媛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经办律师：黎明、丁媛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（四）审计基金财产的会计师事务所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名称：容诚会计师事务所（特殊普通合伙）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注册地址：北京市西城区阜成门外大街22号1幢外经贸大厦901-22至901-26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办公地址：北京市西城区阜成门外大街22号1幢外经贸大厦901-22至901-26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执行事务合伙人：肖厚发、刘维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电话：010-66001391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传真：010-66001391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联系人：李隐煜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经办会计师：沈兆杰、李隐煜</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8" w:name="_Toc228201043"/>
      <w:r>
        <w:rPr>
          <w:rFonts w:ascii="Times New Roman" w:hAnsi="Times New Roman"/>
          <w:sz w:val="30"/>
        </w:rPr>
        <w:t>六、基金的募集</w:t>
      </w:r>
      <w:bookmarkEnd w:id="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本基金由基金管理人依照《基金法》、《运作办法》、《销售办法》、基金合同及其他有关规定，并经中国证监会2021年4月27日证监许可【2021】1519号文准予募集注册。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本基金为契约型开放式混合型基金。基金存续期间为不定期。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本基金募集期间基金份额净值为人民币1.00元，按初始面值发售。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本基金于2021年7月19日至2021年7月20日进行发售，本基金设立募集期共募集5,938,742,608.15份基金份额，有效认购户数为52,726户。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9" w:name="_Toc228201044"/>
      <w:r>
        <w:rPr>
          <w:rFonts w:ascii="Times New Roman" w:hAnsi="Times New Roman"/>
          <w:sz w:val="30"/>
        </w:rPr>
        <w:t>七、基金合同的生效</w:t>
      </w:r>
      <w:bookmarkEnd w:id="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根据有关规定，本基金满足基金合同生效条件，基金合同已于2021年7月23日正式生效。自基金合同生效之日起，本基金管理人正式开始管理本基金。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法律法规或中国证监会另有规定时，从其规定。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0" w:name="_Toc228201045"/>
      <w:r>
        <w:rPr>
          <w:rFonts w:ascii="Times New Roman" w:hAnsi="Times New Roman"/>
          <w:sz w:val="30"/>
        </w:rPr>
        <w:t>八、基金份额的申购与赎回</w:t>
      </w:r>
      <w:bookmarkEnd w:id="10"/>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（一）申购和赎回的场所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投资人可通过下述场所按照规定的方式进行申购或赎回：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1、本基金管理人的直销机构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本基金直销机构为基金管理人直销柜台以及基金管理人的网上直销交易平台。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个人投资者可以通过基金管理人网上直销交易平台办理开户、本基金的申购、定期定额投资、赎回、转换等业务，具体交易细则请参阅基金管理人网站。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2、除基金管理人之外的其他销售机构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（二）申购和赎回的开放日及时间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1、开放日及开放时间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开放日办理基金份额的申购和赎回，但对于每份基金份额，基金份额持有人仅可在该份额最短持有期限届满后申请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2、申购、赎回开始日及业务办理时间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本基金已于2021年11月4日起开放申购业务。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本基金已于2022年7月25日起开放赎回业务。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投资人在最短持有期限内提出的赎回或转换申请，视为无效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（三）申购与赎回的原则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1、“未知价”原则，即申购、赎回价格以申请当日收市后计算的基金份额净值为基准进行计算；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2、“金额申购、份额赎回”原则，即申购以金额申请，赎回以份额申请；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3、当日的申购与赎回申请可以在基金管理人规定的时间以内撤销，但申请经登记机构受理的不得撤销；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（四）申购和赎回的数额限定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1、申购金额的限制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2、赎回份额的限制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3、最低基金份额余额的限制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本基金暂无最低保留余额限制。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（五）申购和赎回的程序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1、申购和赎回的申请方式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2、申购和赎回的款项支付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3、申购和赎回申请的确认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4、申购和赎回的登记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（1）投资人T日申购基金成功后，正常情况下，登记机构在T＋1日为投资人增加权益并办理登记手续。投资人应及时查询有关申请的确认情况。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（2）投资人T日赎回基金成功后，正常情况下，登记机构在T＋1日为投资人扣除权益并办理相应的登记手续。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（六）基金的申购费和赎回费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本基金A类基金份额的申购费用由申购A类基金份额的基金申购人承担，不列入基金财产，主要用于本基金的市场推广、销售、登记等各项费用。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投资人可以多次申购本基金，申购费用按每笔申购申请单独计算。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本基金A类基金份额（非养老金客户）的申购费率如下：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A类基金份额申购费率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持有A类基金份额的投资人因红利自动再投资而产生的A类基金份额，不收取相应的申购费用。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本基金对通过基金管理人直销柜台申购A类基金份额的养老金客户实施特定申购费率。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1）全国社会保障基金；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2）可以投资基金的地方社会保障基金；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3）企业年金单一计划以及集合计划；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4）企业年金理事会委托的特定客户资产管理计划；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5）企业年金养老金产品。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通过基金管理人直销柜台申购本基金A类基金份额的养老金客户特定申购费率如下表：</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A类基金份额特定申购费率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持有的每份基金份额最短持有期限为一年，最短持有期限届满后，本基金不收取赎回费。其中，对于不受最短持有期限制的红利再投资所得基金份额，对持续持有期少于7日的投资者收取1.5%的赎回费，并全额计入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（七）申购和赎回的数额和价格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1、申购和赎回数额、余额的处理方式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金额为按实际确认的A类基金份额和C类基金份额有效赎回份额乘以当日该类基金份额的基金份额净值并扣除相应的费用（如有），赎回金额单位为元。赎回金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2、申购份额的计算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（注：对于适用固定金额申购费用的申购，净申购金额＝申购总金额－固定申购费用金额）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（注：对于适用固定金额申购费用的申购，申购费用＝固定申购费用金额）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申购份额=（申购总金额-申购费用）/T日A类基金份额净值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例四：某投资者（非养老金客户）投资100,000元申购本基金A类基金份额，假设申购当日A类基金份额净值为1.0400元，申购费率为1.5%，则其可得到的申购份额为：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净申购金额=100,000/（1+1.5%）=98,522.17元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申购费用=100,000-98,522.17=1477.83元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申购份额=（100,000-1477.83）/1.0400=94,732.86份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即：某投资者（非养老金客户）投资100,000元申购本基金A类基金份额，假设申购当日A类基金份额净值为1.0400元，则其可得到94,732.86份A类基金份额。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例五：某养老金客户投资100,000元通过基金管理人的直销柜台申购本基金A类基金份额，假设申购当日A类基金份额净值为1.0400元，申购费率为0.6%，则其可得到的申购份额为：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净申购金额=100,000/（1+0.6%）=99,403.58元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申购费用=100,000-99,403.58=596.42元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申购份额=（100,000-596.42）/1.0400=95,580.37份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即：该养老金客户投资100,000元通过基金管理人的直销柜台申购本基金A类基金份额，假设申购当日A类基金份额净值为1.0400元，则其可得到95,580.37份A类基金份额。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（2）C类基金份额的申购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如果投资者选择申购C类基金份额，则申购份额的计算方法如下：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申购份额=申购总金额/T日C类基金份额净值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例六：某投资者投资100,000元申购本基金的C类基金份额，假设申购当日C类基金份额净值为1.0400元，则其可得到的申购份额为：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申购份额＝100,000/1.0400＝96,153.85份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3、赎回金额的计算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赎回费用=赎回份额×T日该类基金份额净值×赎回费率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赎回金额=赎回份额×T日该类基金份额净值-赎回费用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例七：某投资者赎回持有的10,000份A类基金份额，持有期限为两年，对应的赎回费率为0，假设赎回当日A类基金份额净值是1.0160元，则其可得到的赎回金额为：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赎回费用=10,000×1.0160×0=0元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赎回金额=10,000×1.0160-0＝10,160.00元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即：投资者赎回本基金10,000份A类基金份额，持有期限为两年，对应的赎回费率为0，假设赎回当日A类基金份额净值是1.0160元，则其可得到的赎回金额为10,160.00元。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A类基金份额净值＝A类基金份额的基金资产净值总额/发行在外的A类基金份额总数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C类基金份额净值＝C类基金份额的基金资产净值总额/发行在外的C类基金份额总数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A类基金份额和C类基金份额的份额净值的计算，均保留到小数点后4位，小数点后第5位四舍五入，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（八）拒绝或暂停申购的情形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发生下列情况时，基金管理人可拒绝或暂停接受投资人的申购申请：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4、接受某笔或某些申购申请可能会影响或损害现有基金份额持有人利益时。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7、港股通交易每日额度不足。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9、法律法规规定、中国证监会认定或基金合同约定的其他情形。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（九）暂停赎回或延缓支付赎回款项的情形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发生下列情形时，基金管理人可暂停接受投资人的赎回申请或延缓支付赎回款项：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1、因不可抗力导致基金管理人不能支付赎回款项。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4、连续两个或两个以上开放日发生巨额赎回。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7、法律法规规定、中国证监会认定或基金合同约定的其他情形。</w:t>
      </w:r>
    </w:p>
    <w:p>
      <w:pPr>
        <w:autoSpaceDE w:val="0"/>
        <w:autoSpaceDN w:val="0"/>
        <w:adjustRightInd w:val="0"/>
        <w:snapToGrid w:val="0"/>
        <w:spacing w:line="360" w:lineRule="auto"/>
        <w:ind w:firstLine="480" w:firstLineChars="200"/>
        <w:jc w:val="left"/>
        <w:rPr>
          <w:rFonts w:ascii="宋体" w:hAnsi="宋体"/>
          <w:b w:val="0"/>
          <w:bCs/>
          <w:szCs w:val="24"/>
        </w:rPr>
      </w:pPr>
      <w:bookmarkStart w:id="29" w:name="_GoBack"/>
      <w:r>
        <w:rPr>
          <w:rFonts w:hint="eastAsia" w:ascii="宋体" w:hAnsi="宋体"/>
          <w:b w:val="0"/>
          <w:bCs/>
          <w:kern w:val="0"/>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bookmarkEnd w:id="29"/>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（十）巨额赎回的情形及处理方式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1、巨额赎回的认定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2、巨额赎回的处理方式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该类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（十一）暂停申购或赎回的公告和重新开放申购或赎回的公告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1、发生上述暂停申购或赎回情况的，基金管理人应在规定期限内在规定媒介上刊登暂停公告。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2、如发生暂停的时间为1日，基金管理人应于重新开放日，在规定媒介上刊登基金重新开放申购或赎回公告，并公布最近1个开放日各类基金份额的基金份额净值。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（十二）基金的非交易过户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（十三）基金的转托管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（十四）定期定额投资计划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本基金2021年11月3日刊登公告自2021年11月4日起开通定期定额投资计划业务，具体开通销售机构名单和业务规则参见相关公告。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（十五）基金份额的冻结和解冻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（十六）基金份额的转让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（十七）实施侧袋机制期间本基金的申购与赎回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本基金实施侧袋机制的，本基金的申购和赎回安排详见本招募说明书“侧袋机制”部分的规定或相关公告。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（十八）其他业务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1" w:name="_Toc228201046"/>
      <w:r>
        <w:rPr>
          <w:rFonts w:ascii="Times New Roman" w:hAnsi="Times New Roman"/>
          <w:sz w:val="30"/>
        </w:rPr>
        <w:t>九、基金的转换</w:t>
      </w:r>
      <w:bookmarkEnd w:id="11"/>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（二）转换业务办理时间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本基金2022年7月21日刊登公告自2022年7月25日起开放日常转换业务。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本基金转换业务具体开通销售机构名单参见相关公告。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（三）基金转换的程序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1、申请方式：书面申请或销售机构公布的其他方式。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2、基金转换申请的确认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3、基金转换的注册登记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（四）基金转换的数额限制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2、转出基金的赎回费用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3、前端收费模式下转出与转入基金的申购补差费用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4、后端收费模式下转出与转入基金的申购补差费用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5、网上直销的申购补差费率优惠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（六）基金转换份额的计算公式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1、前端收费模式下基金转换份额的计算公式及举例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（注：若转出基金申购费率不低于转入基金申购费率，转出与转入基金的申购补差费为零）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对于涉及固定费用的，转出与转入基金的申购补差费＝MAX（0，转出基金和转入基金申购费用之差）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转出确认金额=100,000×1.0100=101,000元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转出基金的赎回费=101,000×0.5%=505元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转入确认金额=101,000-505=100,495元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转出与转入基金的申购补差费=100,495×0/（1+0）=0元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转入基金确认份额=（100,495-0）/2.2700=44,270.93份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转出确认金额=1,000,000×1.0200=1,020,000元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转出基金的赎回费=1,020,000×0.05%=510元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转入确认金额=1,020,000-510=1,019,490元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转出与转入基金的申购补差费=1,019,490×0.5%/（1+0.5%）=5,072.09元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转入基金确认份额=（1,019,490-5,072.09）/1.0100=1,004,374.17份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转出与转入基金的申购补差费=125,000×1.5%/（1+1.5%）=1,847.29元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转入基金确认份额=（125,000-1,847.29）/2.2700=54,252.30份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转出与转入基金的申购补差费=100,000×0.8%/（1+0.8%）=793.65元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转入基金确认份额=（100,000-793.65+61.52）/1.2700=78,163.68份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2、后端收费模式下基金转换份额的计算公式及举例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转入基金确认份额=（124,750-0）/2.2700=54,955.95份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转出与转入基金的申购补差费=124,750×1.2%=1497元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转入基金确认份额=（124,750-1497）/1.00=123,253.00份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转出确认金额=100,000×0.8500=85,000元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转出基金的赎回费=85,000×0=0元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转入确认金额=85,000-0=85,000元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转出与转入基金的申购补差费=85,000×0.2%=170元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转入基金确认份额=（85,000-170）/1.0500=80,790.48份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转入基金确认份额=（100,000-0+61.52）/1.2700=78,788.60份</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（八）暂停基金转换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2" w:name="_Toc228201047"/>
      <w:r>
        <w:rPr>
          <w:rFonts w:ascii="Times New Roman" w:hAnsi="Times New Roman"/>
          <w:sz w:val="30"/>
        </w:rPr>
        <w:t>十、基金的投资</w:t>
      </w:r>
      <w:bookmarkEnd w:id="12"/>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在合理控制风险的前提下，充分发挥专业的研究与管理能力，力争实现基金资产的长期稳健增值。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投资于品质增长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1、大类资产配置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利用经交银施罗德研究团队修正后的投资时钟分析框架，通过“自上而下”的定性分析和定量分析相结合形成对不同资产市场表现的预测和判断，确定基金资产在沪深A股、港股、债券及货币市场工具等各类别资产间的分配比例，并随着各类证券风险收益特征的相对变化，在基金合同约定的范围内动态调整组合中各类资产的比例，以规避或控制市场风险，提高基金收益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2、股票投资策略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（1）“品质增长”主题界定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伴随着中国经济的快速持续增长，居民可支配收入不断提升，生活水平日益提高，能够提供优质产品、服务或解决方案并满足人们品质化需求的企业，将蕴含巨大的潜力与商机。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对“品质增长”主题覆盖的上市公司主要从以下两个方面进行考量：首先，本基金重点研究公司的行业景气度、商业模式、竞争优势等，并从战略、过程管理等方面分析公司治理结构，综合选择企业经营质量和产品或服务质量全面持续提升、真正实现有品质增长的上市公司；其次，考虑公司的发展能否契合国家政策支持方向、满足居民生活品质需求，深度挖掘能够提供使居民幸福感提升的产品、服务或解决方案的优质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时，本基金将对有关公司的发展进行密切跟踪，随着公司的不断发展，相关上市公司的范围也会相应改变，本基金在履行适当程序后可调整上述界定标准。本基金由于上述原因调整界定范围应及时告知基金托管人，并在更新的招募说明书中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（2）个股投资策略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1）品质筛选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筛选出在公司治理、财务及管理品质上符合基本品质要求的公司，构建备选股票池。主要筛选指标包括：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■盈利能力指标：如市盈率（P/E）、市现率（P/Cash Flow）、股价与每股自由现金流比率（P/FCF）、市销率（P/S）、股价与每股息税前利润比率（P/EBIT）等；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■经营效率指标：如净资产收益率（ROE）、资产收益率（ROA）、经营资产回报率（Return on operating assets）等；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■财务状况指标：如资产负债率（D/A）、流动比率等；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■研发投入指标：如研发投入与营业收入比率、科研人员数量及占比、专利数量及在同行业的占比等。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2）价值评估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3）港股通标的股票投资策略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通过内地与香港股票市场交易互联互通机制投资于香港股票市场。本基金将遵循品质增长主题相关股票的投资策略，优先将基本面健康、业绩向上弹性较大、具有估值优势的港股纳入本基金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本基金可根据投资策略需要或不同配置地市场环境的变化，选择将部分基金资产投资于港股或选择不将基金资产投资于港股，基金资产并非必然投资港股。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4）存托凭证的投资策略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本基金投资存托凭证的策略依照境内上市交易的股票投资策略执行。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最后，本基金根据对个股价值的评估和市场机会的判断构建股票组合，其中投资于品质增长主题相关证券的比例不低于非现金基金资产的80%。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以期获取债券市场的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4、资产支持证券投资策略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5、股指期货投资策略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1、组合限制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基金的投资组合应遵循以下限制：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（1）股票投资（含存托凭证）占基金资产的比例为60%-95%（其中投资于港股通标的股票的比例占股票资产的0%-50%），投资于品质增长主题相关证券的比例不低于非现金基金资产的80%；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（15）本基金参与股指期货交易，则：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1）本基金在任何交易日日终，持有的买入股指期货合约价值，不得超过基金资产净值的10%；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3）本基金在任何交易日日终，持有的卖出股指期货合约价值不得超过基金持有的股票总市值的20%；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（16）本基金资产总值不超过基金资产净值的140%；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2、禁止行为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为维护基金份额持有人的合法权益，基金财产不得用于下列投资或者活动：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（7）法律、行政法规和中国证监会规定禁止的其他活动。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沪深300指数收益率×65%+恒生指数收益率×5%+中证综合债券指数收益率×30%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A股资产投资的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恒生指数是由恒生指数服务有限公司编制，以香港股票市场中的50家上市股票为成份股样本，以其发行量为权数的加权平均股价指数，是反映香港股市价幅趋势最有影响的一种股价指数。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适合作为本基金债券资产投资的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并按照监管部门要求履行适当程序后，调整或变更本基金的业绩比较基准并及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本基金是一只混合型基金，其预期风险和预期收益高于债券型基金和货币市场基金，低于股票型基金。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（七）基金管理人代表基金行使股东或债权人权利的处理原则及方法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1、基金管理人按照国家有关规定代表基金独立行使股东或债权人权利，保护基金份额持有人的利益；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2、不谋求对上市公司的控股；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3、有利于基金财产的安全与增值；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4、不通过关联交易为自身、雇员、授权代理人或任何存在利害关系的第三人牟取任何不当利益。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（八）侧袋机制的实施和投资运作安排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（九）基金的投资组合报告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本基金管理人的董事会及董事保证本报告所载资料不存在虚假记载、误导性陈述或重大遗漏，并对其内容的真实性、准确性和完整性承担个别及连带责任。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本基金托管人中信银行股份有限公司根据本基金合同规定，于2026年04月20日复核了本报告中的财务指标、净值表现和投资组合报告等内容，保证复核内容不存在虚假记载、误导性陈述或者重大遗漏。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本投资组合报告期为2026年01月01日至03月31日。所载财务数据未经审计师审计。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1、报告期末基金资产组合情况</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1,014,183,847.17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92.67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1,014,183,847.17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92.67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77,619,138.11</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2,545,570.51</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1,094,348,555.79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注：本基金本报告期末通过港股通机制投资香港股票的公允价值为402,892,214.59元，占基金资产净值比例为37.14%。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2、报告期末按行业分类的股票投资组合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 报告期末按行业分类的境内股票投资组合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578,159,981.56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53.30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1,845.66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55,983.42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33,063,669.94</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3.05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10,152.00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611,291,632.58</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56.36</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 报告期末按行业分类的港股通投资股票投资组合</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241,661,243.92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22.28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主要消费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129,575,331.79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11.95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19,022,557.34</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1.75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医药卫生</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10,672,084.91</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0.98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原材料</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1,960,996.63</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402,892,214.59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37.14</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注：本报告采用中证CICS一级分类标准编制。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3、期末按公允价值占基金资产净值比例大小排序的股票投资明细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 报告期末按公允价值占基金资产净值比例大小排序的前十名股票投资明细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600519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贵州茅台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70,114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101,665,300.00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9.37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000729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燕京啤酒</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5,911,380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77,439,078.00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7.14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002847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盐津铺子</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1,264,376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75,066,003.12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6.92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02097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蜜雪集团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231,100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59,786,575.29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5.51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09633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农夫山泉</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1,363,000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56,466,383.08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01318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毛戈平</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847,200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56,401,857.10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605499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东鹏饮料</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273,167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56,072,990.09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5.17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300888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稳健医疗</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1,623,680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53,613,913.60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4.94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09987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百胜中国</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142,850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48,610,273.65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4.48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600702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舍得酒业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1,047,437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47,365,101.14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4.37</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4、报告期末按债券品种分类的债券投资组合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5、报告期末按公允价值占基金资产净值比例大小排序的前五名债券投资明细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6、报告期末按公允价值占基金资产净值比例大小排序的前十名资产支持证券投资明细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7、报告期末按公允价值占基金资产净值比例大小排序的前五名贵金属投资明细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8、报告期末按公允价值占基金资产净值比例大小排序的前五名权证投资明细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9、报告期末本基金投资的股指期货交易情况说明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 报告期末本基金投资的股指期货持仓和损益明细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 本基金投资股指期货的投资政策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10、报告期末本基金投资的国债期货交易情况说明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 本期国债期货投资政策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 报告期末本基金投资的国债期货持仓和损益明细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 本期国债期货投资评价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11、投资组合报告附注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11.2 基金投资的前十名股票是否超出基金合同规定的备选股票库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基金投资的前十名股票中，没有超出基金合同规定的备选股票库之外的股票。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11.3 其他资产构成</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353,437.29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2,164,594.94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27,538.28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2,545,570.51</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11.4 报告期末持有的处于转股期的可转换债券明细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11.5 报告期末前十名股票中存在流通受限情况的说明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11.6 投资组合报告附注的其他文字描述部分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由于四舍五入的原因，分项之和与合计项之间可能存在尾差。</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3" w:name="_Toc228201048"/>
      <w:r>
        <w:rPr>
          <w:rFonts w:ascii="Times New Roman" w:hAnsi="Times New Roman"/>
          <w:sz w:val="30"/>
        </w:rPr>
        <w:t>十一、基金的业绩</w:t>
      </w:r>
      <w:bookmarkEnd w:id="1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基金业绩截止日为2026年03月31日，所载财务数据未经审计师审计。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1、本报告期基金份额净值增长率及其与同期业绩比较基准收益率的比较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（1）交银品质增长持有期混合A：</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-4.76%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-18.77%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-11.83%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13.36%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-25.19%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-19.05%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-12.35%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-3.71%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10.36%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2021年度（自基金合同生效日起至2021年12月31日）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4.03%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-2.80%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6.83%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（2）交银品质增长持有期混合C：</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-7.36%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-4.96%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r>
      <w:tr>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-6.37%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-19.50%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-12.54%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13.36%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-25.90%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-19.69%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-12.99%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-4.48%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9.59%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2021年度（自基金合同生效日起至2021年12月31日）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3.66%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-2.80%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6.46%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注：本基金的业绩比较基准为沪深300指数收益率×65%+恒生指数收益率×5%+中证综合债券指数收益率×30%，每日进行再平衡过程。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2、自基金合同生效以来基金份额累计净值增长率变动及其与同期业绩比较基准收益率变动的比较</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交银品质增长一年持有期混合型证券投资基金</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份额累计净值增长率与业绩比较基准收益率的历史走势对比图</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（2021年7月23日至2026年03月31日）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（1）交银品质增长持有期混合A</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5" o:spt="75" type="#_x0000_t75" style="height:345pt;width:439.5pt;" filled="f" o:preferrelative="t" stroked="f" coordsize="21600,21600">
            <v:path/>
            <v:fill on="f" focussize="0,0"/>
            <v:stroke on="f" joinstyle="miter"/>
            <v:imagedata r:id="rId12"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（2）交银品质增长持有期混合C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6" o:spt="75" type="#_x0000_t75" style="height:345pt;width:439.5pt;" filled="f" o:preferrelative="t" stroked="f" coordsize="21600,21600">
            <v:path/>
            <v:fill on="f" focussize="0,0"/>
            <v:stroke on="f" joinstyle="miter"/>
            <v:imagedata r:id="rId13"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4" w:name="_Toc228201049"/>
      <w:r>
        <w:rPr>
          <w:rFonts w:ascii="Times New Roman" w:hAnsi="Times New Roman"/>
          <w:sz w:val="30"/>
        </w:rPr>
        <w:t>十二、基金的财产</w:t>
      </w:r>
      <w:bookmarkEnd w:id="14"/>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（一）基金资产总值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基金资产总值是指基金拥有的各类有价证券、股指期货合约、银行存款本息、基金应收款项及其他资产的价值总和。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（三）基金财产的账户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根据相关法律法规、规范性文件为本基金开立资金账户、证券账户、期货结算账户以及投资所需的其他专用账户。开立的基金专用账户与基金管理人、基金托管人、基金销售机构和基金登记机构自有的财产账户以及其他基金财产账户相独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（四）基金财产的保管和处分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5" w:name="_Toc228201050"/>
      <w:r>
        <w:rPr>
          <w:rFonts w:ascii="Times New Roman" w:hAnsi="Times New Roman"/>
          <w:sz w:val="30"/>
        </w:rPr>
        <w:t>十三、基金资产的估值</w:t>
      </w:r>
      <w:bookmarkEnd w:id="15"/>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（一）估值日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（二）估值对象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基金所拥有的股票、债券、资产支持证券、衍生工具和其他投资等持续以公允价值计量的金融资产及负债。</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（三）估值原则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基金管理人在确定相关金融资产和金融负债的公允价值时，应符合《企业会计准则》、监管部门有关规定。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1、证券交易所上市的有价证券的估值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2、处于未上市期间的有价证券应区分如下情况处理：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5、估值计算中涉及港币对人民币汇率的，将依据下列信息提供机构所提供的汇率为基准：当日中国人民银行公布的人民币与港币的中间价。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7、当发生大额申购或赎回情形时，基金管理人可以采用摆动定价机制，以确保基金估值的公平性。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8、本基金投资存托凭证的估值核算依照境内上市交易的股票执行。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9、相关法律法规以及监管部门有强制规定的，从其规定。如有新增事项，按国家最新规定估值。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（五）估值程序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（六）估值错误的处理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基金合同的当事人应按照以下约定处理：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1、估值错误类型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2、估值错误处理原则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（4）估值错误调整采用尽量恢复至假设未发生估值错误的正确情形的方式。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（5）按法律法规规定的其他原则处理估值错误。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3、估值错误处理程序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估值错误被发现后，有关的当事人应当及时进行处理，处理的程序如下：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（1）查明估值错误发生的原因，列明所有的当事人，并根据估值错误发生的原因确定估值错误的责任方；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（2）根据估值错误处理原则或当事人协商的方法对因估值错误造成的损失进行评估；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（3）根据估值错误处理原则或当事人协商的方法由估值错误的责任方进行更正和赔偿损失；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4、基金份额净值估值错误处理的方法如下：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（3）当基金份额净值计算差错给基金和基金份额持有人造成损失需要进行赔偿时，基金管理人和基金托管人应根据实际情况界定双方承担的责任，经确认后按以下条款进行赔偿：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④由于基金管理人提供的信息错误（包括但不限于基金申购或赎回金额等），进而导致基金份额净值计算错误而引起的基金份额持有人和基金财产的损失，由基金管理人负责赔付。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（4）前述内容如法律法规或监管机关另有规定的，从其规定处理。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（七）暂停估值的情形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1、基金投资所涉及的证券、期货交易市场遇法定节假日或因其他原因暂停营业时；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2、因不可抗力致使基金管理人、基金托管人无法准确评估基金资产价值时；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4、法律法规、中国证监会和基金合同认定的其它情形。</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（八）基金净值的确认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（九）特殊情形的处理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1、基金管理人或基金托管人按估值方法的第6项进行估值时，所造成的误差不作为基金资产估值错误处理。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（十）实施侧袋机制期间的基金资产估值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6" w:name="_Toc228201051"/>
      <w:r>
        <w:rPr>
          <w:rFonts w:ascii="Times New Roman" w:hAnsi="Times New Roman"/>
          <w:sz w:val="30"/>
        </w:rPr>
        <w:t>十四、基金收益与分配</w:t>
      </w:r>
      <w:bookmarkEnd w:id="16"/>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（一）基金利润的构成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（二）基金可供分配利润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基金可供分配利润指截至收益分配基准日基金未分配利润与未分配利润中已实现收益的孰低数。</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（三）基金收益分配原则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投资者红利再投资所得基金份额不受最短持有期限制；若投资者不选择，本基金默认的收益分配方式是现金分红；基金份额持有人可对其持有的A类基金份额和C类基金份额分别选择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5、本基金同一基金份额类别的每一基金份额享有同等分配权；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（四）收益分配方案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（五）收益分配方案的确定、公告与实施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（六）基金收益分配中发生的费用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（七）收益分配方式的修改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（八）实施侧袋机制期间的收益分配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本基金实施侧袋机制的，侧袋账户不进行收益分配。</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7" w:name="_Toc228201052"/>
      <w:r>
        <w:rPr>
          <w:rFonts w:ascii="Times New Roman" w:hAnsi="Times New Roman"/>
          <w:sz w:val="30"/>
        </w:rPr>
        <w:t>十五、基金的费用与税收</w:t>
      </w:r>
      <w:bookmarkEnd w:id="1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（一）基金费用的种类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3、《基金合同》生效后与基金相关的信息披露费用；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4、《基金合同》生效后与基金相关的会计师费、律师费、仲裁费和诉讼费；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6、基金的证券、期货交易费用；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7、基金的银行汇划费用；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8、基金的开户费用、账户维护费用；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9、因投资港股通标的股票而产生的各项合理费用；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10、本基金从C类基金份额的基金财产中计提的销售服务费；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11、按照国家有关规定和《基金合同》约定，可以在基金财产中列支的其他费用。</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（二）基金费用计提方法、计提标准和支付方式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1、与基金运作有关的费用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本基金的管理费按前一日基金资产净值的1.2%年费率计提。管理费的计算方法如下：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H＝E×1.2%÷当年天数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费每日计提，按月支付。由基金管理人向基金托管人发送基金管理费划付指令，经基金托管人复核无误后于次月首日起3个工作日内从基金财产中一次性支付给基金管理人。若遇法定节假日、休息日或不可抗力致使无法按时支付的，顺延至最近可支付日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本基金的托管费按前一日基金资产净值的0.2%年费率计提。托管费的计算方法如下：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H＝E×0.2%÷当年天数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费每日计提，按月支付。由基金管理人向基金托管人发送基金托管费划付指令，经基金托管人复核无误后于次月首日起3个工作日内从基金财产中一次性支付给基金托管人。若遇法定节假日、休息日或不可抗力致使无法按时支付的，顺延至最近可支付日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（3）C类基金份额的销售服务费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本基金A类基金份额不收取销售服务费，C类基金份额的销售服务费按前一日C类基金资产净值的0.8%年费率计提。计算方法如下：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H＝E×0.8%÷当年天数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H为C类基金份额每日应计提的销售服务费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E为C类基金份额前一日基金资产净值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销售服务费每日计提，逐日累计至每月月末，按月支付。由基金管理人与基金托管人核对一致后，由基金托管人按照与基金管理人协商一致的方式自动于次月首日起5个工作日内从基金财产中一次性支付给基金管理人，由基金管理人代付给销售机构，若遇法定节假日、休息日或不可抗力致使无法按时支付的，顺延至最近可支付日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C类基金份额的销售服务费将专门用于本基金的市场推广、销售与基金份额持有人服务。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（4）上述“（一）基金费用的种类”中第3－9项、第11项费用，根据有关法规及相应协议规定，按费用实际支出金额列入当期费用，由基金托管人从基金财产中支付。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2、与基金销售有关的费用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本基金申购费的费率水平、计算公式和收取方式详见“基金份额的申购与赎回”一章。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本基金赎回费的费率水平、计算公式和收取方式详见“基金份额的申购与赎回”一章。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（三）不列入基金费用的项目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下列费用不列入基金费用：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1、基金管理人和基金托管人因未履行或未完全履行义务导致的费用支出或基金财产的损失；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2、基金管理人和基金托管人处理与基金运作无关的事项发生的费用；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3、《基金合同》生效前的相关费用；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4、其他根据相关法律法规及中国证监会的有关规定不得列入基金费用的项目。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（四）实施侧袋机制期间的基金费用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（五）基金税收</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8" w:name="_Toc228201053"/>
      <w:r>
        <w:rPr>
          <w:rFonts w:ascii="Times New Roman" w:hAnsi="Times New Roman"/>
          <w:sz w:val="30"/>
        </w:rPr>
        <w:t>十六、基金的会计与审计</w:t>
      </w:r>
      <w:bookmarkEnd w:id="18"/>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（一）基金会计政策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1、基金管理人为本基金的基金会计责任方；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3、基金核算以人民币为记账本位币，以人民币元为记账单位；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4、会计制度执行国家有关会计制度；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5、本基金独立建账、独立核算；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7、基金托管人每月与基金管理人就基金的会计核算、报表编制等进行核对确认。</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（二）基金的年度审计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2、会计师事务所更换经办注册会计师，应事先征得基金管理人同意。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9" w:name="_Toc228201054"/>
      <w:r>
        <w:rPr>
          <w:rFonts w:ascii="Times New Roman" w:hAnsi="Times New Roman"/>
          <w:sz w:val="30"/>
        </w:rPr>
        <w:t>十七、基金的信息披露</w:t>
      </w:r>
      <w:bookmarkEnd w:id="1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（一）本基金的信息披露应符合《基金法》、《运作办法》、《信息披露办法》、《流动性风险管理规定》、《基金合同》及其他有关规定。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（二）信息披露义务人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（三）本基金信息披露义务人承诺公开披露的基金信息，不得有下列行为：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2、对证券投资业绩进行预测；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4、诋毁其他基金管理人、基金托管人或者基金销售机构；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5、登载任何自然人、法人和非法人组织的祝贺性、恭维性或推荐性的文字；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本基金公开披露的信息采用阿拉伯数字；除特别说明外，货币单位为人民币元。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（五）公开披露的基金信息</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公开披露的基金信息包括：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1、基金招募说明书、《基金合同》、基金托管协议、基金产品资料概要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基金管理人应当在收到中国证监会确认文件的次日在规定媒介上登载《基金合同》生效公告。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《基金合同》生效后，在开始办理基金份额申购或者赎回前，基金管理人应当至少每周在规定网站分别披露一次A类基金份额和C类基金份额所对应的基金份额净值和基金份额累计净值。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分别披露开放日的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基金管理人应当在不晚于半年度和年度最后一日的次日，在规定网站披露半年度和年度最后一日A类基金份额和C类基金份额所对应的基金份额净值和基金份额累计净值。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6、基金定期报告，包括基金年度报告、基金中期报告和基金季度报告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《基金合同》生效不足2个月的，基金管理人可以不编制当期季度报告、中期报告或者年度报告。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基金管理人应当在基金年度报告和中期报告中披露基金组合资产情况及其流动性风险分析等。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7、临时报告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前款所称重大事件，是指可能对基金份额持有人权益或者基金份额的价格产生重大影响的下列事件：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（1）基金份额持有人大会的召开及决定的事项；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（3）转换基金运作方式、基金合并；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（4）更换基金管理人、基金托管人、基金份额登记机构，基金改聘会计师事务所；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（6）基金管理人、基金托管人的法定名称、住所发生变更；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（7）基金管理人变更持有百分之五以上股权的股东、基金管理人的实际控制人变更；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（8）基金募集期延长或提前结束募集；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（9）基金管理人的高级管理人员、基金经理和基金托管人专门基金托管部门负责人发生变动；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（11）涉及基金财产、基金管理业务、基金托管业务的诉讼或仲裁；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（14）基金收益分配事项；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（15）管理费、托管费、销售服务费、申购费、赎回费等费用计提标准、计提方式和费率发生变更；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（16）任一类基金份额净值计价错误达该类基金份额净值百分之零点五；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（17）本基金开始办理申购、赎回；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（18）本基金发生巨额赎回并延期办理；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（19）本基金连续发生巨额赎回并暂停接受赎回申请或延缓支付赎回款项；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（20）本基金暂停接受申购、赎回申请或重新接受申购、赎回申请；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（21）发生涉及基金申购、赎回事项调整或潜在影响投资者赎回等重大事项时；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（22）基金管理人采用摆动定价机制进行估值；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（23）本基金增加或调整基金份额类别；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（24）本基金推出新业务或服务；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（25）本基金连续30个工作日、40个工作日、45个工作日出现基金份额持有人数量不满200人或者基金资产净值低于5000万元情形的；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8、澄清公告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基金份额持有人大会决定的事项，应当依法报中国证监会备案，并予以公告。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10、实施侧袋机制期间的信息披露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12、基金投资资产支持证券情况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13、基金投资股指期货情况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14、基金投资港股通标的股票情况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基金应当在季度报告、中期报告、年度报告等定期报告和招募说明书（更新）等文件中披露港股通标的股票的投资情况。法律法规或中国证监会另有规定的，从其规定。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15、中国证监会规定的其他信息。</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（六）信息披露事务管理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基金管理人、基金托管人应当在规定报刊中选择一家披露信息的报刊。基金管理人、基金托管人应当向中国证监会基金电子披露网站报送拟披露的基金信息，并保证相关报送信息的真实、准确、完整、及时。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（七）信息披露文件的存放与查阅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0" w:name="_Toc228201055"/>
      <w:r>
        <w:rPr>
          <w:rFonts w:ascii="Times New Roman" w:hAnsi="Times New Roman"/>
          <w:sz w:val="30"/>
        </w:rPr>
        <w:t>十八、侧袋机制</w:t>
      </w:r>
      <w:bookmarkEnd w:id="20"/>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（一）侧袋机制的实施条件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（二）实施侧袋机制期间基金份额的申购与赎回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（三）实施侧袋机制期间的基金投资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基金管理人不得在侧袋账户中进行除特定资产处置变现以外的其他投资操作。</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（四）实施侧袋机制期间的基金估值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本基金实施侧袋机制的，基金管理人和基金托管人应对主袋账户资产进行估值并披露主袋账户的基金净值信息，暂停披露侧袋账户份额净值。侧袋账户的会计核算应符合《企业会计准则》的相关要求。</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（五）实施侧袋账户期间的基金费用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1、本基金实施侧袋机制的，管理费和托管费按主袋账户基金资产净值作为基数计提。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（六）侧袋账户中特定资产的处置变现和支付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（七）侧袋机制的信息披露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3、定期报告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1" w:name="_Toc228201056"/>
      <w:r>
        <w:rPr>
          <w:rFonts w:ascii="Times New Roman" w:hAnsi="Times New Roman"/>
          <w:sz w:val="30"/>
        </w:rPr>
        <w:t>十九、风险揭示</w:t>
      </w:r>
      <w:bookmarkEnd w:id="21"/>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基金份额持有人须了解并承受以下风险：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（二）管理风险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属于开放式基金，基金份额持有人持有的每份基金份额最短持有期限为一年，对于满足持有期限的投资人，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1、本基金的申购、赎回安排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开放方式运作，基金管理人在开放日办理基金份额的申购和赎回，但对于每份基金份额，基金份额持有人仅可在该份额最短持有期限届满后申请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自基金合同生效之日起不超过3个月开始办理申购业务，具体业务办理时间在申购开始公告中规定。基金管理人自基金合同生效之日起一年后的年度对日（含该日）开始办理赎回，具体业务办理时间在赎回开始公告中规定。对于每份基金份额，自其最短持有期限届满的下一工作日起（含该日），基金份额持有人方可就该基金份额提出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份额持有人多次认购或申购本基金导致持有多笔不同期限的本基金份额时，基金份额持有人在赎回时需特别关注申请赎回的基金份额数量，若申请赎回的基金份额超过了该基金份额持有人持续持有超过一年的基金份额数量，则基金份额持有人的赎回申请将全部被予以拒绝。基金份额持有人需承担赎回申请失败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2、投资市场、行业及资产的流动性风险评估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3、巨额赎回情形下的流动性风险管理措施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该类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4、实施备用的流动性风险管理工具的情形、程序及对投资者的潜在影响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本基金在面临大规模赎回的情况下有可能因为无法变现造成流动性风险。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（四）信用风险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（五）本基金的特有风险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每份基金份额的最短持有期限为一年，在最短持有期限内该份基金份额不可赎回，自最短持有期限届满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因此，对于基金份额持有人而言，存在投资本基金后一年内无法赎回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4、基金合同提前终止风险。连续50个工作日出现基金份额持有人数量不满200人或者基金资产净值低于5000万元情形的，基金合同终止，不需召开基金份额持有人大会。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5、本基金可投资创业板股票，创业板个股上市后的前五个交易日不设价格涨跌幅限制，第六个交易日开始涨跌幅限制比例为20%。</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（六）投资股指期货的特定风险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（2）流动性风险是指由于股指期货合约无法及时变现所带来的风险。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（5）信用风险是指期货经纪公司违约而产生损失的风险。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（七）投资资产支持证券的特定风险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（八）投资流通受限证券的特定风险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（九）投资科创板股票的特定风险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（3）退市风险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（4）系统性风险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（5）政策风险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（十）投资港股通标的股票的特定风险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本基金可投资港股通标的股票，会面临港股通机制下因投资环境、投资标的、市场制度以及交易规则等差异带来的特有风险，具体如下：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（1）港股交易失败风险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（2）汇率风险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（3）境外市场的风险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a）香港市场实行T+0回转交易机制（即当日买入的股票，在交收前可以于当日卖出），且证券交易价格并无涨跌幅上下限的规定，因此每日涨跌幅空间相对较大，可能表现出比A股更为剧烈的股价波动；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出现香港联合交易所规定的其他情形时，香港联合交易所将可能停市，投资者将面临在停市期间无法进行港股通交易的风险；出现上海证券交易所及深圳证券交易所证券交易服务公司认定的交易异常情况时，上海证券交易所及深圳证券交易所证券交易服务公司将可能暂停提供部分或者全部港股通服务，投资者将面临在暂停服务期间无法进行港股通交易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上海证券交易所及深圳证券交易所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（4）本基金可根据投资策略需要或不同配置地市场环境的变化，选择将部分基金资产投资于港股或选择不将基金资产投资于港股，基金资产并非必然投资港股。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以上所述因素可能会给本基金投资带来特殊交易风险。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（十一） 投资存托凭证的特定风险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（十二）本基金法律文件风险收益特征表述与销售机构基金风险评价可能不一致的风险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（十三）其他风险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1、因技术因素而产生的风险，如电脑系统不可靠产生的风险；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2、因基金业务快速发展，在制度建设、人员配备、内控制度建立等方面的不完善产生的风险；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3、因人为因素而产生的风险、如内幕交易、欺诈行为等产生的风险；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4、对主要业务人员如基金经理的依赖而可能产生的风险；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5、因业务竞争压力可能产生的风险；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6、战争、自然灾害等不可抗力可能导致基金财产的损失，影响基金收益水平，从而带来风险；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7、其他意外导致的风险。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2" w:name="_Toc228201057"/>
      <w:r>
        <w:rPr>
          <w:rFonts w:ascii="Times New Roman" w:hAnsi="Times New Roman"/>
          <w:sz w:val="30"/>
        </w:rPr>
        <w:t>二十、基金合同的变更、终止与基金财产的清算</w:t>
      </w:r>
      <w:bookmarkEnd w:id="22"/>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有下列情形之一的，经履行相关程序后，《基金合同》应当终止：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基金财产清算账册及有关文件由基金托管人保存不低于法律法规规定的最低期限。</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3" w:name="_Toc228201058"/>
      <w:r>
        <w:rPr>
          <w:rFonts w:ascii="Times New Roman" w:hAnsi="Times New Roman"/>
          <w:sz w:val="30"/>
        </w:rPr>
        <w:t>二十一、基金合同内容摘要</w:t>
      </w:r>
      <w:bookmarkEnd w:id="23"/>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（一）基金份额持有人、基金管理人和基金托管人的权利与义务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根据《基金法》、《运作办法》及其他有关规定，基金管理人的权利包括但不限于：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（2）自《基金合同》生效之日起，根据法律法规和《基金合同》独立运用并管理基金财产；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（3）依照《基金合同》收取基金管理费以及法律法规规定或中国证监会批准的其他费用；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（4）销售基金份额；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（7）在基金托管人更换时，提名新的基金托管人；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（8）选择、更换基金销售机构，对基金销售机构的相关行为进行监督和处理；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（9）担任或委托其他符合条件的机构担任基金登记机构办理基金登记业务并获得《基金合同》规定的费用；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（10）依据《基金合同》及有关法律规定决定基金收益的分配方案；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（11）在《基金合同》约定的范围内，拒绝或暂停受理申购与赎回申请；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（13）在法律法规允许的前提下，为基金的利益依法为基金进行融资；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（14）以基金管理人的名义，代表基金份额持有人的利益行使诉讼权利或者实施其他法律行为；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（15）选择、更换律师事务所、会计师事务所、证券经纪商、期货经纪机构或其他为基金提供服务的外部机构；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（16）在符合有关法律、法规的前提下，制定和调整有关基金认购、申购、赎回、转换等的业务规则；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根据《基金法》、《运作办法》及其他有关规定，基金管理人的义务包括但不限于：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（3）自《基金合同》生效之日起，以诚实信用、谨慎勤勉的原则管理和运用基金财产；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（4）配备足够的具有专业资格的人员进行基金投资分析、决策，以专业化的经营方式管理和运作基金财产；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（7）依法接受基金托管人的监督；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（11）严格按照《基金法》、《基金合同》及其他有关规定，履行信息披露及报告义务；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（13）按《基金合同》的约定确定基金收益分配方案，及时向基金份额持有人分配基金收益；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（14）按规定受理申购与赎回申请，及时、足额支付赎回款项；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（18）组织并参加基金财产清算小组，参与基金财产的保管、清理、估价、变现和分配；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（19）面临解散、依法被撤销或者被依法宣告破产时，及时报告中国证监会并通知基金托管人；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（22）当基金管理人将其义务委托第三方处理时，应当对第三方处理有关基金事务的行为承担责任；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（23）以基金管理人名义，代表基金份额持有人利益行使诉讼权利或实施其他法律行为；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根据《基金法》、《运作办法》及其他有关规定，基金托管人的权利包括但不限于：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（1）自《基金合同》生效之日起，依法律法规和《基金合同》的规定安全保管基金财产；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（2）依《基金合同》约定获得基金托管费以及法律法规规定或监管部门批准的其他费用；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（4）根据相关市场规则，为基金开设资金账户、证券账户、期货结算账户等投资所需账户，为基金办理证券交易资金清算；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（5）提议召开或召集基金份额持有人大会；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（6）在基金管理人更换时，提名新的基金管理人；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根据《基金法》、《运作办法》及其他有关规定，基金托管人的义务包括但不限于：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（1）以诚实信用、勤勉尽责的原则持有并安全保管基金财产；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（5）保管由基金管理人代表基金签订的与基金有关的重大合同及有关凭证；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（6）按规定开设基金财产的资金账户、证券账户和期货结算账户等投资所需账户，按照《基金合同》的约定，根据基金管理人的投资指令，及时办理清算、交割事宜；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（8）复核、审查基金管理人计算的基金资产净值、基金份额净值、基金份额申购、赎回价格；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（9）办理与基金托管业务活动有关的信息披露事项；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（11）保存基金托管业务活动的记录、账册、报表和其他相关资料不低于法律法规规定的最低期限；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（13）按规定制作相关账册并与基金管理人核对；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（14）依据基金管理人的指令或有关规定向基金份额持有人支付基金收益和赎回款项；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（16）按照法律法规和《基金合同》的规定监督基金管理人的投资运作；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（19）因违反《基金合同》导致基金财产损失时，应承担赔偿责任，其赔偿责任不因其退任而免除；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同一类别每份基金份额具有同等的合法权益。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根据《基金法》、《运作办法》及其他有关规定，基金份额持有人的权利包括但不限于：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（1）分享基金财产收益；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（2）参与分配清算后的剩余基金财产；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（3）依法并按照基金合同和招募说明书的规定转让或者申请赎回其持有的基金份额；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（4）按照规定要求召开基金份额持有人大会或者召集基金份额持有人大会；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（5）出席或者委派代表出席基金份额持有人大会，对基金份额持有人大会审议事项行使表决权；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（6）查阅或者复制公开披露的基金信息资料；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（8）对基金管理人、基金托管人、基金服务机构损害其合法权益的行为依法提起诉讼或仲裁；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根据《基金法》、《运作办法》及其他有关规定，基金份额持有人的义务包括但不限于：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（1）认真阅读并遵守《基金合同》、招募说明书等信息披露文件；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（3）关注基金信息披露，及时行使权利和履行义务；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（4）交纳基金认购、申购款项及法律法规和《基金合同》所规定的费用；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（5）在其持有的基金份额范围内，承担基金亏损或者《基金合同》终止的有限责任；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（6）不从事任何有损基金及其他《基金合同》当事人合法权益的活动；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（8）返还在基金交易过程中因任何原因获得的不当得利；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（9）遵守基金管理人、基金托管人、销售机构和登记机构的相关交易及业务规则；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（10）提供基金管理人和监管机构依法要求提供的信息，以及不时的更新和补充，并保证其真实性；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（二）基金份额持有人大会召集、议事及表决的程序和规则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本基金份额持有人大会不设日常机构。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1）终止《基金合同》；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2）更换基金管理人；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3）更换基金托管人；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4）转换基金运作方式；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5）调整基金管理人、基金托管人的报酬标准或提高销售服务费率；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6）变更基金类别；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7）本基金与其他基金的合并；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8）变更基金投资目标、范围或策略；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9）变更基金份额持有人大会程序；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10）基金管理人或基金托管人要求召开基金份额持有人大会；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12）对基金合同当事人权利和义务产生重大影响的其他事项；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13）法律法规、《基金合同》或中国证监会规定的其他应当召开基金份额持有人大会的事项。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1）调低基金销售服务费；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2）法律法规要求增加的基金费用的收取；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3）在法律法规和《基金合同》规定的范围内调整本基金的申购费率、调低赎回费率、在对现有基金份额持有人利益无实质性不利影响的前提下变更收费方式；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4）因相应的法律法规、登记机构的相关业务规则发生变动而应当对《基金合同》进行修改；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9）按照法律法规和《基金合同》规定不需召开基金份额持有人大会的其他情形。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2、会议召集人及召集方式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（1）除法律法规规定或《基金合同》另有约定外，基金份额持有人大会由基金管理人召集；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（2）基金管理人未按规定召集或不能召集时，由基金托管人召集；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（6）基金份额持有人会议的召集人负责选择确定开会时间、地点、方式和权益登记日。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3、召开基金份额持有人大会的通知时间、通知内容、通知方式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1）会议召开的时间、地点和会议形式；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2）会议拟审议的事项、议事程序和表决方式；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3）有权出席基金份额持有人大会的基金份额持有人的权益登记日；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4）授权委托证明的内容要求（包括但不限于代理人身份，代理权限和代理有效期限等）、送达时间和地点；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5）会务常设联系人姓名及联系电话；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6）出席会议者必须准备的文件和必须履行的手续；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7）召集人需要通知的其他事项。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4、基金份额持有人出席会议的方式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在同时符合以下条件时，通讯开会的方式视为有效：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1）会议召集人按《基金合同》约定公布会议通知后，在2个工作日内连续公布相关提示性公告；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5、议事内容与程序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（1）议事内容及提案权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基金份额持有人大会不得对未事先公告的议事内容进行表决。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（2）议事程序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基金份额持有人所持每份基金份额有一票表决权。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基金份额持有人大会决议分为一般决议和特别决议：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基金份额持有人大会采取记名方式进行投票表决。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基金份额持有人大会的各项提案或同一项提案内并列的各项议题应当分开审议、逐项表决。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2）监票人应当在基金份额持有人表决后立即进行清点并由大会主持人当场公布计票结果。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4）计票过程应由公证机关予以公证，基金管理人或基金托管人拒不出席大会的，不影响计票的效力。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8、生效与公告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基金份额持有人大会的决议，召集人应当自通过之日起5日内报中国证监会备案。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基金份额持有人大会的决议自表决通过之日起生效。法律法规另有规定的，从其规定。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9、实施侧袋机制期间基金份额持有人大会的特殊约定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（1）基金份额持有人行使提议权、召集权、提名权所需单独或合计代表相关基金份额10%以上（含10%）；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（6）一般决议须经参加大会的基金份额持有人或其代理人所持表决权的二分之一以上（含二分之一）通过；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同一主侧袋账户内的每份基金份额具有平等的表决权。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（三）基金合同解除和终止的事由、程序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有下列情形之一的，经履行相关程序后，《基金合同》应当终止：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《基金合同》受中国法律（不含港澳台地区法律）管辖。</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（五）基金合同存放地和投资者取得基金合同的方式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《基金合同》正本一式三份，除上报有关监管机构一份外，基金管理人、基金托管人各持有一份，每份具有同等的法律效力。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4" w:name="_Toc228201059"/>
      <w:r>
        <w:rPr>
          <w:rFonts w:ascii="Times New Roman" w:hAnsi="Times New Roman"/>
          <w:sz w:val="30"/>
        </w:rPr>
        <w:t>二十二、托管协议的内容摘要</w:t>
      </w:r>
      <w:bookmarkEnd w:id="24"/>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（一）托管协议当事人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批准设立机关及批准设立文号：中国证监会证监基金字[2005]128号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经营范围：基金募集、基金销售、资产管理和中国证监会许可的其它业务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名称：中信银行股份有限公司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住所：北京市朝阳区光华路10号院1号楼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法定代表人：李庆萍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成立时间：1987年4月20日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批准设立文号：中华人民共和国国务院办公厅国办函[1987]14号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基金托管业务批准文号：中国证监会证监基金字[2004]125号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注册资本：489.35亿元人民币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（二）基金托管人对基金管理人的业务监督和核查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1、基金托管人对基金管理人的投资行为行使监督权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（1）基金托管人根据有关法律法规的规定和基金合同的约定，对下述基金投资范围、投资对象进行监督。本基金将投资于以下金融工具：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投资于品质增长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（2）基金托管人根据有关法律法规的规定及基金合同的约定对下述基金投融资比例进行监督：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1）股票投资（含存托凭证）占基金资产的比例为60%-95%（其中投资于港股通标的股票的比例占股票资产的0%-50%），投资于品质增长主题相关证券的比例不低于非现金基金资产的80%；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15）本基金参与股指期货交易，则：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a.本基金在任何交易日日终，持有的买入股指期货合约价值，不得超过基金资产净值的10%；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c.本基金在任何交易日日终，持有的卖出股指期货合约价值不得超过基金持有的股票总市值的20%；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d.本基金所持有的股票市值和买入、卖出股指期货合约价值，合计（轧差计算）应当符合基金合同关于股票投资比例的有关约定；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e.本基金在任何交易日内交易（不包括平仓）的股指期货合约的成交金额不得超过上一交易日基金资产净值的20%；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16）本基金资产总值不超过基金资产净值的140%；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（3）基金托管人根据有关法律法规的规定及基金合同的约定对下述基金投资禁止行为进行监督：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为维护基金份额持有人的合法权益，基金财产不得用于下列投资或者活动：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7）法律、行政法规和中国证监会规定禁止的其他活动。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（4）基金托管人依据有关法律法规的规定和基金合同的约定对于基金关联投资进行监督。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有关关联方发行的证券名单及其更新，加盖公章并书面提交，并确保所提供名单的真实性、完整性、全面性。基金管理人或基金托管人在名单变更后应及时发送对方，收到方于2个工作日内进行回函确认已知名单的变更。名单变更时间以收到方回函确认的时间为准。如果基金托管人在运作中严格遵循了监督流程，基金管理人仍违规进行交易，并造成基金资产损失的，由基金管理人承担责任，基金托管人不承担任何损失和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相关交易必须事先得到基金托管人的同意，若基金托管人发现基金管理人与关联方进行违反法律法规规定的关联交易时，基金托管人应及时提醒并协助基金管理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1）基金托管人依据有关法律法规的规定和基金合同的约定对于基金管理人参与银行间债券市场交易时面临的交易对手资信风险进行监督。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如果基金托管人发现基金管理人与不在名单内的银行间债券市场交易对手进行交易，应及时提醒基金管理人撤销交易，经提醒后基金管理人仍执行交易并造成基金资产损失的，基金托管人不承担责任。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有责任控制交易对手的资信风险，按银行间债券市场的交易规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（6）基金托管人对基金投资流通受限证券的监督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流通受限证券，应遵守有关法律法规规定。流通受限证券包括由《上市公司证券发行管理办法》规范的在发行时明确一定期限锁定期的可交易证券，不包括由于发布重大消息或其他原因而临时停牌的证券、已发行未上市证券、回购交易中的质押券等流通受限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上述资料应包括但不限于基金投资流通受限证券的投资额度和投资比例控制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3）基金投资流通受限证券前，基金管理人应向基金托管人提供符合法律法规要求的有关必要书面信息。基金管理人应保证上述信息的真实、完整，并应至少于拟执行投资指令前将上述信息书面发至基金托管人。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应对基金管理人是否遵守法律法规、投资决策流程、风险控制制度情况进行监督，并审核基金管理人提供的有关书面信息。基金托管人认为上述资料可能导致基金出现风险的，有权要求基金管理人在投资流通受限证券前就该风险的消除或防范措施进行补充书面说明，否则，基金托管人有权拒绝执行有关指令并报告中国证监会。因拒绝执行该指令造成基金财产损失的，基金托管人不承担任何责任，但基金托管人未经提前告知基金管理人于合理时间内提供说明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如基金管理人和基金托管人无法达成一致，应及时上报中国证监会请求解决。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（7）基金托管人根据有关法律法规的规定及基金合同的约定，对基金管理人选择存款银行进行监督。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本基金投资银行存款应符合如下规定：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2）基金托管人应加强对基金银行存款业务的监督与核查，严格审查、复核相关协议、账户资料、投资指令、存款证实书等有关文件，切实履行托管职责。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3）基金管理人与基金托管人在开展基金存款业务时，应严格遵守《基金法》、《运作办法》等有关法律法规，以及国家有关账户管理、利率管理、支付结算等的各项规定。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提前及时将新名单发送给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根据有关法律法规的规定及基金合同的约定，对各类基金份额的基金资产净值计算、基金份额净值计算、应收资金到账、基金费用开支及收入确定、基金收益分配、相关信息披露、基金宣传推介材料中登载基金业绩表现数据等进行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进行解释或举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基金托管人发现基金管理人的投资指令违反关法律法规规定或者违反基金合同约定的，应当拒绝执行，立即通知基金管理人。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基金托管人发现基金管理人有重大违规行为，应立即报告中国证监会，同时通知基金管理人限期纠正。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遵守中华人民共和国反洗钱法律法规，不参与涉嫌洗钱、恐怖融资、扩散融资等违法犯罪活动；主动配合基金托管人客户身份识别与尽职调查，提供真实、准确、完整客户资料，遵守反洗钱与反恐怖融资相关管理规定。对具备合理理由怀疑涉嫌洗钱、恐怖融资的客户，基金托管人将按照中国人民银行反洗钱监管规定采取必要管控措施。</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（三）基金管理人对基金托管人的业务核查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对基金托管人履行托管职责情况进行核查，核查事项包括但不限于基金托管人安全保管基金财产、开设基金财产的资金账户和证券账户等投资所需账户、复核基金管理人计算的各类基金份额的基金资产净值和基金份额净值、根据基金管理人指令办理清算交收、相关信息披露和监督基金投资运作等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基金管理人因此所遭受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基金管理人发现基金托管人有重大违规行为，应立即报告中国证监会和银行业监督管理机构，同时通知基金托管人限期纠正。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基金托管人应积极配合基金管理人的核查行为，包括但不限于：提交相关资料以供基金管理人核查托管财产的完整性和真实性，在规定时间内答复基金管理人并改正。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（四）基金财产保管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1、基金财产保管的原则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（1）基金财产应独立于基金管理人、基金托管人的固有财产。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（2）基金托管人应安全保管基金财产。除依据法律法规规定、基金合同和本托管协议约定及基金管理人的正当指令外，不得自行运用、处分、分配基金的任何财产。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（3）基金托管人按照规定开设基金财产的资金账户和证券账户等投资所需账户。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（6）除依据法律法规和基金合同的规定外，基金托管人不得委托第三人托管基金资产。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2、募集资金的验资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基金募集期间募集认购款项应存于基金认购专用账户，该账户由基金管理人或基金管理人委托的登记机构开立并管理。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期满或基金提前结束募集时，募集的基金份额总额、基金募集金额、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符合《中华人民共和国证券法》规定的会计师事务所进行验资，出具验资报告，出具的验资报告应由参加验资的2名以上（含2名）中国注册会计师签字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若基金募集期限届满，未能达到基金备案条件，由基金管理人按规定办理退款事宜，基金托管人应提供充分协助。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3、基金的银行账户的开立和管理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（1）基金托管人以本基金的名义在其营业机构开立基金的银行账户，并根据基金管理人合法合规的指令办理资金收付。本基金的银行预留印鉴由基金托管人刻制、保管和使用。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（2）基金银行账户的开立和使用，限于满足开展本基金业务的需要。基金托管人和基金管理人不得假借本基金的名义开立任何其他银行账户；亦不得使用本基金的任何账户进行本基金业务以外的活动。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（3）基金银行账户的开立和管理应符合有关法律法规以及银行业监督管理机构的有关规定。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4、基金证券账户与证券交易资金账户的开设和管理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基金托管人以基金托管人和本基金联名的方式在中国证券登记结算有限责任公司上海分公司/深圳分公司开设证券账户。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基金托管人以基金托管人的名义在中国证券登记结算有限责任公司上海分公司/深圳分公司开立基金证券交易资金账户，用于证券清算。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基金证券账户的开立和使用，限于满足开展本基金业务的需要。基金托管人和基金管理人不得出借和未经对方同意擅自转让基金的任何证券账户；亦不得使用基金的任何账户进行本基金业务以外的活动。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5、债券托管账户的开立和管理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生效后，基金管理人负责以本基金的名义申请并取得进入全国银行间同业拆借市场的交易资格，并代表本基金进行交易；基金托管人负责以本基金的名义在中央国债登记结算有限责任公司开设银行间债券市场债券托管账户，并由基金托管人负责本基金的债券的后台匹配及资金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（2）基金管理人和基金托管人应一起负责为本基金对外签订全国银行间国债市场回购主协议，正本由基金托管人保管，基金管理人保存副本。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6、其他账户的开设和管理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7、基金财产投资的有关实物证券、银行定期存款存单等有价凭证的保管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或银行间市场清算所股份有限公司或中国证券登记结算有限责任公司上海分公司/深圳分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8、与基金财产有关的重大合同的保管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基金财产有关的重大合同的签署，由基金管理人负责。由基金管理人代表本基金签署的与本基金有关的重大合同的原件分别应由基金托管人、基金管理人保管。基金管理人在代表本基金签署与本基金有关的重大合同时应保证基金一方持有两份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不低于法律法规规定的最低期限。对于无法取得二份以上的正本的，基金管理人应向基金托管人提供加盖授权业务章的合同传真件，未经双方协商或未在合同约定范围内，合同原件不得转移，由基金管理人保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（五）基金资产净值计算和会计核算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（1）基金资产净值的计算、复核的时间和程序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各类基金份额的基金份额净值是指每个工作日闭市后，该类基金份额的基金资产净值除以当日该类基金份额的基金份额的数值。基金份额净值的计算保留到小数点后4位，小数点后第5位四舍五入。基金管理人可以设立大额赎回情形下的净值精度应急调整机制，具体可参见相关公告。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每个估值日对各类基金份额的基金资产估值，但基金管理人根据法律法规或基金合同的规定暂停估值时除外。估值原则应符合基金合同及相关法律、法规的规定。各类基金份额的基金资产净值和基金份额净值由基金管理人负责计算，基金托管人复核。基金管理人应于每个估值日交易结束后计算当日的各类基金份额净值并以双方认可的方式发送给基金托管人。基金托管人对净值计算结果复核后以双方认可的方式发送给基金管理人，由基金管理人依据基金合同和相关法律法规的规定对基金净值予以公布。月末、年中和年末估值复核与基金会计账目的核对同时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基金管理人计算并公告各类基金份额的基金资产净值，基金托管人复核、审查基金管理人计算的基金资产净值。因此，本基金的会计责任方是基金管理人，就与本基金有关的会计问题，如经相关各方在平等基础上充分讨论后，仍无法达成一致的意见，按照基金管理人对基金净值信息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2、基金资产估值方法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基金所拥有的股票、债券、资产支持证券、衍生工具和其他投资等持续以公允价值计量的金融资产及负债。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基金管理人在确定相关金融资产和金融负债的公允价值时，应符合《企业会计准则》、监管部门有关规定。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1）证券交易所上市的有价证券的估值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②交易所上市交易或挂牌转让的固定收益品种（另有规定的除外），选取估值日第三方估值机构提供的相应品种当日的估值净价进行估值；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④交易所上市实行全价交易的债券（可转债除外），选取第三方估值机构提供的估值全价减去估值全价中所含的债券（税后）应收利息得到的净价进行估值；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⑤交易所上市不存在活跃市场的有价证券，采用估值技术确定公允价值。交易所市场挂牌转让的资产支持证券，采用估值技术确定公允价值；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⑥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2）处于未上市期间的有价证券应区分如下情况处理：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①送股、转增股、配股和公开增发的新股，按估值日在证券交易所挂牌的同一股票的估值方法估值；该日无交易的，以最近一日的市价（收盘价）估值；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②首次公开发行未上市的股票和债券，采用估值技术确定公允价值，在估值技术难以可靠计量公允价值的情况下，按成本估值；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5）估值计算中涉及港币对人民币汇率的，将依据下列信息提供机构所提供的汇率为基准：当日中国人民银行公布的人民币与港币的中间价。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7）当发生大额申购或赎回情形时，基金管理人可以采用摆动定价机制，以确保基金估值的公平性。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8）本基金投资存托凭证的估值核算依照境内上市交易的股票执行。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9）相关法律法规以及监管部门有强制规定的，从其规定。如有新增事项，按国家最新规定估值。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管理人计算的基金资产净值、基金份额净值已由基金托管人复核确认后公告的，由此造成的投资人或基金的损失，应根据法律法规的规定对投资人或基金支付赔偿金，就实际向投资人或基金支付的赔偿金额，基金管理人与基金托管人按照过错程度各自承担相应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基金份额净值计算错误造成投资人或基金的损失，以及由此造成以后交易日基金资产净值、基金份额净值计算顺延错误而引起的投资人或基金的损失，由提供错误信息的当事人一方负责赔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管理人计算的基金资产净值与基金托管人的计算结果不一致时，相关各方应本着勤勉尽责的态度重新计算核对，如果最后仍无法达成一致，应以基金管理人的计算结果为准对外公布，由此造成的损失由基金管理人承担赔偿责任，基金托管人不负赔偿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基金管理人或基金托管人按估值方法的第（6）项进行估值的，所造成的误差不作为基金资产估值错误处理。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错误责任方拒绝进行赔偿时，如果因基金管理人过错造成基金资产损失时，基金托管人应为基金的利益向基金管理人追偿，如果因基金托管人过错造成基金资产损失时，基金管理人应为基金的利益向基金托管人追偿。除基金管理人和基金托管人之外的第三方造成基金资产的损失，并拒绝进行赔偿时，由基金管理人负责向估值错误责任方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4、基金账册的建立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对账发现相关各方的账目存在不符的，基金管理人和基金托管人必须及时查明原因并纠正，保证相关各方平行登录的账册记录完全相符。若当日核对不符，暂时无法查找到错账的原因而影响到基金资产净值的计算和公告的，以基金管理人的账册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5、基金定期报告的编制和复核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基金财务报表由基金管理人和基金托管人每月分别独立编制。月度报表的编制，应于每月终了后5个工作日内完成。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基金管理人在季度结束之日起15个工作日内完成季度报告编制并公告；在上半年结束之日起两个月内完成中期报告编制并公告；在每年结束之日起三个月内完成年度报告编制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及时完成报表编制，将有关报表提供基金托管人复核；基金托管人应当在收到报告之日起2个工作日内完成月度报表的复核；在收到报告之日起7个工作日内完成基金季度报告的复核；在收到报告之日起20日内完成基金中期报告的复核；在收到报告之日起30日内完成基金年度报告的复核。基金托管人在复核过程中，发现双方的报表存在不符时，基金管理人和基金托管人应共同查明原因，进行调整，调整以国家有关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核对无误后，基金托管人在基金管理人提供的报告上加盖业务印鉴或者出具加盖托管业务部门公章的复核意见书，相关各方各自留存一份。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基金托管人在对月度报表、季度、中期报告或年度报告复核完毕后，需盖章确认或出具相应的复核确认书，以备有权机构对相关文件审核时提示。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6、暂停估值的情形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（1）基金投资所涉及的证券、期货交易市场遇法定节假日或因其他原因暂停营业时；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（2）因不可抗力致使基金管理人、基金托管人无法准确评估基金资产价值时；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（4）法律法规、中国证监会和基金合同认定的其它情形。</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（六）基金份额持有人名册的保管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基金管理人和基金托管人须分别妥善保管的基金份额持有人名册，基金份额持有人名册的内容必须包括基金份额持有人的名称和持有的基金份额。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名册由基金的登记机构根据基金管理人的指令编制和保管，基金管理人和基金托管人应按照目前相关规则分别保管基金份额持有人名册。保管方式可以采用电子或文档的形式。保管期限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不低于法律法规规定的最低期限。基金托管人不得将所保管的基金份额持有人名册用于基金托管业务以外的其他用途，并应遵守保密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若基金管理人或基金托管人由于自身原因无法妥善保管基金份额持有人名册，应按有关法规规定各自承担相应的责任。</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双方当事人同意，因本协议而产生的或与本协议有关的一切争议，如经友好协商未能解决的，任何一方均有权将争议提交中国国际经济贸易仲裁委员会，按照中国国际经济贸易仲裁委员会届时有效的仲裁规则进行仲裁。仲裁地点为北京市。仲裁裁决是终局的，对双方当事人均有约束力，除非仲裁裁决另有规定，仲裁费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争议处理期间，双方当事人应恪守基金管理人和基金托管人职责，继续忠实、勤勉、尽责地履行基金合同和托管协议规定的义务，维护基金份额持有人的合法权益。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本协议受中国法律（不含港澳台地区法律）管辖。</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（八）基金托管协议的变更、终止与基金财产的清算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1、托管协议的变更与终止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本协议双方当事人经协商一致，可以对协议的内容进行变更。变更后的托管协议，其内容不得与基金合同的规定有任何冲突。本托管协议的变更报中国证监会备案。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（2）基金托管协议终止的情形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发生以下情况，本托管协议终止：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2）基金托管人解散、依法被撤销、破产或由其他基金托管人接管基金资产；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3）基金管理人解散、依法被撤销、破产或由其他基金管理人接管基金管理权；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4）发生法律法规或基金合同规定的终止事项。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①《基金合同》终止情形出现时，由基金财产清算小组统一接管基金；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⑤聘请会计师事务所对清算报告进行外部审计，聘请律师事务所对清算报告出具法律意见书；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⑥将清算报告报中国证监会备案并公告；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⑦对基金剩余财产进行分配。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基金财产清算账册及有关文件由基金托管人保存不低于法律法规规定的最低期限。</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5" w:name="_Toc228201060"/>
      <w:r>
        <w:rPr>
          <w:rFonts w:ascii="Times New Roman" w:hAnsi="Times New Roman"/>
          <w:sz w:val="30"/>
        </w:rPr>
        <w:t>二十三、对基金份额持有人的服务</w:t>
      </w:r>
      <w:bookmarkEnd w:id="2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（一）持有人交易资料的寄送服务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1、每次交易结束后，投资人可在T+2个工作日后通过销售机构的网点查询和打印确认单；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（二）网上直销服务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基金份额的申购、赎回、定期定额投资、转换等业务。通过网上直销交易平台办理本基金申购和定期定额投资业务的个人投资者将享受申购费率的优惠。具体优惠费率请参见公司网站列示的网上直销交易平台申购、定期定额投资及转换费率表或相关公告。基金网上直销交易平台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（三）信息咨询、查询服务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投资人可以拨打本基金管理人客户服务电话投诉直销机构的人员和服务。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（四）基金红利再投资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时，基金份额持有人持有的基金份额可选择现金红利或选择红利再投将现金红利自动转为相应类别的基金份额进行再投资，若投资人不选择，本基金默认的收益分配方式是现金分红。再投资红利按红利再投日（即除息日）除息后的基金份额净值自动转为相应类别的基金份额，并免收申购费用。</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本基金已开通定期定额投资计划，具体实施方法请参见相关公告。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服务联系方式：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本基金管理人的互联网地址及电子信箱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电子信箱：services@jysld.com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投资者也可登录本基金管理人网站，直接提出有关本基金的问题和建议。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（六）如本招募说明书存在任何您/贵机构无法理解的内容，请通过上述方式联系基金管理人。请确保投资前，您/贵机构已经全面理解了本招募说明书。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6" w:name="_Toc228201061"/>
      <w:r>
        <w:rPr>
          <w:rFonts w:ascii="Times New Roman" w:hAnsi="Times New Roman"/>
          <w:sz w:val="30"/>
        </w:rPr>
        <w:t>二十四、其他应披露事项</w:t>
      </w:r>
      <w:bookmarkEnd w:id="2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基金合同如有未尽事宜，由基金合同当事人各方按有关法律法规协商解决。</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交银施罗德品质增长一年持有期混合型证券投资基金招募说明书更新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交银施罗德品质增长一年持有期混合型证券投资基金（A类份额）基金产品资料概要更新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交银施罗德品质增长一年持有期混合型证券投资基金（C类份额）基金产品资料概要更新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交银施罗德品质增长一年持有期混合型证券投资基金2025年第2季度报告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交银施罗德基金管理有限公司关于增加中国人寿保险股份有限公司为旗下基金的销售机构的公告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交银施罗德品质增长一年持有期混合型证券投资基金2025年中期报告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交银施罗德品质增长一年持有期混合型证券投资基金2025年第3季度报告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交银施罗德品质增长一年持有期混合型证券投资基金2025年第4季度报告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交银施罗德品质增长一年持有期混合型证券投资基金2025年年度报告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交银施罗德基金管理有限公司旗下公募基金通过证券公司证券交易及佣金支付情况（2025年）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交银施罗德品质增长一年持有期混合型证券投资基金2026年第1季度报告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7" w:name="_Toc228201062"/>
      <w:r>
        <w:rPr>
          <w:rFonts w:ascii="Times New Roman" w:hAnsi="Times New Roman"/>
          <w:sz w:val="30"/>
        </w:rPr>
        <w:t>二十五、招募说明书的存放及查阅方式</w:t>
      </w:r>
      <w:bookmarkEnd w:id="2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投资人还可以直接登录基金管理人的网站（www.fund001.com）查阅和下载招募说明书。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8" w:name="_Toc228201063"/>
      <w:r>
        <w:rPr>
          <w:rFonts w:ascii="Times New Roman" w:hAnsi="Times New Roman"/>
          <w:sz w:val="30"/>
        </w:rPr>
        <w:t>二十六、备查文件</w:t>
      </w:r>
      <w:bookmarkEnd w:id="2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以下备查文件存放在基金管理人的办公场所，在办公时间可供免费查阅。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（一）中国证监会准予交银施罗德品质增长一年持有期混合型证券投资基金募集注册的文件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（二）《交银施罗德品质增长一年持有期混合型证券投资基金基金合同》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（三）《交银施罗德品质增长一年持有期混合型证券投资基金托管协议》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（五）基金托管人业务资格批件、营业执照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（六）关于申请募集注册交银施罗德品质增长一年持有期混合型证券投资基金的法律意见书</w:t>
      </w:r>
    </w:p>
    <w:sectPr>
      <w:footerReference r:id="rId10" w:type="default"/>
      <w:pgSz w:w="11920" w:h="16840"/>
      <w:pgMar w:top="1360" w:right="1580" w:bottom="280" w:left="1680" w:header="0" w:footer="11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49" o:spid="_x0000_s2049" o:spt="202" type="#_x0000_t202" style="position:absolute;left:0pt;margin-left:293.4pt;margin-top:782.6pt;height:11pt;width:21.6pt;mso-position-horizontal-relative:page;mso-position-vertical-relative:page;z-index:-251657216;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4</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68" o:spid="_x0000_s2068" o:spt="202" type="#_x0000_t202" style="position:absolute;left:0pt;margin-left:291.25pt;margin-top:773.85pt;height:11pt;width:33.5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166</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rFonts w:ascii="宋体" w:hAnsi="宋体"/>
      </w:rPr>
    </w:pPr>
    <w:r>
      <w:rPr>
        <w:rFonts w:hint="eastAsia" w:ascii="宋体" w:hAnsi="宋体"/>
      </w:rPr>
      <w:t>交银施罗德品质增长一年持有期混合型证券投资基金招募说明书更新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p>
  <w:p>
    <w:pPr>
      <w:pStyle w:val="10"/>
      <w:jc w:val="right"/>
    </w:pPr>
  </w:p>
  <w:p>
    <w:pPr>
      <w:pStyle w:val="9"/>
      <w:jc w:val="right"/>
    </w:pPr>
  </w:p>
  <w:p>
    <w:pPr>
      <w:pStyle w:val="9"/>
      <w:jc w:val="right"/>
      <w:rPr>
        <w:rFonts w:ascii="宋体" w:hAnsi="宋体"/>
      </w:rPr>
    </w:pPr>
    <w:r>
      <w:rPr>
        <w:rFonts w:hint="eastAsia" w:ascii="宋体" w:hAnsi="宋体"/>
      </w:rPr>
      <w:t>交银施罗德品质增长一年持有期混合型证券投资基金招募说明书更新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p>
    <w:pPr>
      <w:pStyle w:val="9"/>
      <w:jc w:val="right"/>
    </w:pPr>
  </w:p>
  <w:p>
    <w:pPr>
      <w:pStyle w:val="9"/>
      <w:jc w:val="right"/>
    </w:pPr>
  </w:p>
  <w:p>
    <w:pPr>
      <w:pStyle w:val="9"/>
      <w:jc w:val="right"/>
      <w:rPr>
        <w:rFonts w:ascii="宋体" w:hAnsi="宋体"/>
      </w:rPr>
    </w:pPr>
    <w:r>
      <w:rPr>
        <w:rFonts w:hint="eastAsia" w:ascii="宋体" w:hAnsi="宋体"/>
      </w:rPr>
      <w:t>交银施罗德品质增长一年持有期混合型证券投资基金招募说明书更新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4"/>
      <w:suff w:val="space"/>
      <w:lvlText w:val="§%1"/>
      <w:lvlJc w:val="left"/>
      <w:pPr>
        <w:ind w:left="425" w:hanging="425"/>
      </w:pPr>
      <w:rPr>
        <w:rFonts w:hint="eastAsia"/>
      </w:rPr>
    </w:lvl>
    <w:lvl w:ilvl="1" w:tentative="0">
      <w:start w:val="1"/>
      <w:numFmt w:val="decimal"/>
      <w:pStyle w:val="25"/>
      <w:suff w:val="space"/>
      <w:lvlText w:val="%1.%2"/>
      <w:lvlJc w:val="left"/>
      <w:pPr>
        <w:ind w:left="738" w:hanging="454"/>
      </w:pPr>
      <w:rPr>
        <w:rFonts w:hint="eastAsia"/>
      </w:rPr>
    </w:lvl>
    <w:lvl w:ilvl="2" w:tentative="0">
      <w:start w:val="1"/>
      <w:numFmt w:val="decimal"/>
      <w:pStyle w:val="26"/>
      <w:suff w:val="space"/>
      <w:lvlText w:val="%1.%2.%3"/>
      <w:lvlJc w:val="left"/>
      <w:pPr>
        <w:ind w:left="624" w:hanging="624"/>
      </w:pPr>
    </w:lvl>
    <w:lvl w:ilvl="3" w:tentative="0">
      <w:start w:val="1"/>
      <w:numFmt w:val="decimal"/>
      <w:pStyle w:val="28"/>
      <w:suff w:val="space"/>
      <w:lvlText w:val="%1.%2.%3.%4"/>
      <w:lvlJc w:val="left"/>
      <w:pPr>
        <w:ind w:left="794" w:hanging="794"/>
      </w:pPr>
      <w:rPr>
        <w:rFonts w:hint="eastAsia"/>
      </w:rPr>
    </w:lvl>
    <w:lvl w:ilvl="4" w:tentative="0">
      <w:start w:val="1"/>
      <w:numFmt w:val="decimal"/>
      <w:pStyle w:val="27"/>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2"/>
    </o:shapelayout>
  </w:hdrShapeDefaults>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219"/>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2381"/>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19FB"/>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4BFD"/>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9F3"/>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375B133F"/>
    <w:rsid w:val="4D8212ED"/>
    <w:rsid w:val="51CD37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0"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9"/>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7"/>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8"/>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semiHidden/>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5">
    <w:name w:val="Document Map"/>
    <w:basedOn w:val="1"/>
    <w:link w:val="35"/>
    <w:unhideWhenUsed/>
    <w:uiPriority w:val="99"/>
    <w:rPr>
      <w:rFonts w:ascii="宋体"/>
      <w:sz w:val="18"/>
      <w:szCs w:val="18"/>
    </w:rPr>
  </w:style>
  <w:style w:type="paragraph" w:styleId="6">
    <w:name w:val="annotation text"/>
    <w:basedOn w:val="1"/>
    <w:link w:val="31"/>
    <w:unhideWhenUsed/>
    <w:uiPriority w:val="0"/>
    <w:pPr>
      <w:jc w:val="left"/>
    </w:pPr>
  </w:style>
  <w:style w:type="paragraph" w:styleId="7">
    <w:name w:val="Balloon Text"/>
    <w:basedOn w:val="1"/>
    <w:semiHidden/>
    <w:uiPriority w:val="0"/>
    <w:rPr>
      <w:sz w:val="18"/>
      <w:szCs w:val="18"/>
    </w:rPr>
  </w:style>
  <w:style w:type="paragraph" w:styleId="8">
    <w:name w:val="footer"/>
    <w:basedOn w:val="1"/>
    <w:link w:val="36"/>
    <w:unhideWhenUsed/>
    <w:uiPriority w:val="99"/>
    <w:pPr>
      <w:tabs>
        <w:tab w:val="center" w:pos="4153"/>
        <w:tab w:val="right" w:pos="8306"/>
      </w:tabs>
      <w:snapToGrid w:val="0"/>
      <w:jc w:val="left"/>
    </w:pPr>
    <w:rPr>
      <w:kern w:val="0"/>
      <w:sz w:val="18"/>
      <w:szCs w:val="18"/>
    </w:rPr>
  </w:style>
  <w:style w:type="paragraph" w:styleId="9">
    <w:name w:val="header"/>
    <w:basedOn w:val="1"/>
    <w:link w:val="33"/>
    <w:unhideWhenUsed/>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uiPriority w:val="39"/>
  </w:style>
  <w:style w:type="paragraph" w:styleId="11">
    <w:name w:val="Subtitle"/>
    <w:basedOn w:val="1"/>
    <w:next w:val="1"/>
    <w:link w:val="34"/>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uiPriority w:val="39"/>
    <w:pPr>
      <w:ind w:left="480" w:leftChars="200"/>
    </w:pPr>
  </w:style>
  <w:style w:type="paragraph" w:styleId="13">
    <w:name w:val="annotation subject"/>
    <w:basedOn w:val="6"/>
    <w:next w:val="6"/>
    <w:link w:val="32"/>
    <w:unhideWhenUsed/>
    <w:uiPriority w:val="99"/>
    <w:rPr>
      <w:b/>
      <w:bCs/>
    </w:rPr>
  </w:style>
  <w:style w:type="table" w:styleId="15">
    <w:name w:val="Table Grid"/>
    <w:basedOn w:val="1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uiPriority w:val="99"/>
    <w:rPr>
      <w:color w:val="0000FF"/>
      <w:u w:val="single"/>
    </w:rPr>
  </w:style>
  <w:style w:type="character" w:styleId="19">
    <w:name w:val="annotation reference"/>
    <w:unhideWhenUsed/>
    <w:uiPriority w:val="0"/>
    <w:rPr>
      <w:sz w:val="21"/>
      <w:szCs w:val="21"/>
    </w:rPr>
  </w:style>
  <w:style w:type="paragraph" w:customStyle="1" w:styleId="20">
    <w:name w:val="_Style 19"/>
    <w:basedOn w:val="2"/>
    <w:next w:val="1"/>
    <w:qFormat/>
    <w:uiPriority w:val="39"/>
    <w:pPr>
      <w:widowControl/>
      <w:spacing w:before="480" w:beforeLines="0" w:line="276" w:lineRule="auto"/>
      <w:jc w:val="left"/>
      <w:outlineLvl w:val="9"/>
    </w:pPr>
    <w:rPr>
      <w:rFonts w:ascii="Cambria" w:hAnsi="Cambria"/>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_Style 21"/>
    <w:semiHidden/>
    <w:uiPriority w:val="99"/>
    <w:rPr>
      <w:rFonts w:ascii="Calibri" w:hAnsi="Calibri" w:eastAsia="宋体" w:cs="Times New Roman"/>
      <w:kern w:val="2"/>
      <w:sz w:val="21"/>
      <w:szCs w:val="22"/>
      <w:lang w:val="en-US" w:eastAsia="zh-CN" w:bidi="ar-SA"/>
    </w:rPr>
  </w:style>
  <w:style w:type="paragraph" w:customStyle="1" w:styleId="23">
    <w:name w:val="Defaul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4">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5">
    <w:name w:val="XBRLTitle2"/>
    <w:basedOn w:val="11"/>
    <w:next w:val="4"/>
    <w:qFormat/>
    <w:uiPriority w:val="0"/>
    <w:pPr>
      <w:keepNext/>
      <w:keepLines/>
      <w:numPr>
        <w:ilvl w:val="1"/>
        <w:numId w:val="1"/>
      </w:numPr>
      <w:jc w:val="left"/>
    </w:pPr>
    <w:rPr>
      <w:bCs w:val="0"/>
      <w:sz w:val="24"/>
    </w:rPr>
  </w:style>
  <w:style w:type="paragraph" w:customStyle="1" w:styleId="26">
    <w:name w:val="XBRLTitle3"/>
    <w:basedOn w:val="11"/>
    <w:next w:val="4"/>
    <w:qFormat/>
    <w:uiPriority w:val="0"/>
    <w:pPr>
      <w:keepNext/>
      <w:keepLines/>
      <w:numPr>
        <w:ilvl w:val="2"/>
        <w:numId w:val="1"/>
      </w:numPr>
      <w:ind w:left="0" w:firstLine="0"/>
      <w:jc w:val="left"/>
    </w:pPr>
    <w:rPr>
      <w:bCs w:val="0"/>
      <w:sz w:val="24"/>
    </w:rPr>
  </w:style>
  <w:style w:type="paragraph" w:customStyle="1" w:styleId="27">
    <w:name w:val="XBRLTitle5"/>
    <w:basedOn w:val="11"/>
    <w:next w:val="4"/>
    <w:qFormat/>
    <w:uiPriority w:val="0"/>
    <w:pPr>
      <w:keepNext/>
      <w:keepLines/>
      <w:numPr>
        <w:ilvl w:val="4"/>
        <w:numId w:val="1"/>
      </w:numPr>
      <w:ind w:left="0" w:firstLine="0"/>
      <w:jc w:val="left"/>
    </w:pPr>
    <w:rPr>
      <w:bCs w:val="0"/>
      <w:sz w:val="24"/>
    </w:rPr>
  </w:style>
  <w:style w:type="paragraph" w:customStyle="1" w:styleId="28">
    <w:name w:val="XBRLTitle4"/>
    <w:basedOn w:val="11"/>
    <w:next w:val="4"/>
    <w:qFormat/>
    <w:uiPriority w:val="0"/>
    <w:pPr>
      <w:keepNext/>
      <w:keepLines/>
      <w:numPr>
        <w:ilvl w:val="3"/>
        <w:numId w:val="1"/>
      </w:numPr>
      <w:ind w:left="0" w:firstLine="0"/>
      <w:jc w:val="left"/>
    </w:pPr>
    <w:rPr>
      <w:bCs w:val="0"/>
      <w:sz w:val="24"/>
    </w:rPr>
  </w:style>
  <w:style w:type="character" w:customStyle="1" w:styleId="29">
    <w:name w:val="副标题 Char1"/>
    <w:uiPriority w:val="0"/>
    <w:rPr>
      <w:rFonts w:ascii="Cambria" w:hAnsi="Cambria"/>
      <w:b/>
      <w:kern w:val="28"/>
      <w:sz w:val="24"/>
      <w:szCs w:val="32"/>
    </w:rPr>
  </w:style>
  <w:style w:type="character" w:customStyle="1" w:styleId="30">
    <w:name w:val="txtcontent11"/>
    <w:uiPriority w:val="0"/>
    <w:rPr>
      <w:rFonts w:hint="default" w:ascii="ˎ̥" w:hAnsi="ˎ̥"/>
      <w:color w:val="000000"/>
      <w:sz w:val="21"/>
      <w:szCs w:val="21"/>
    </w:rPr>
  </w:style>
  <w:style w:type="character" w:customStyle="1" w:styleId="31">
    <w:name w:val="批注文字 Char"/>
    <w:link w:val="6"/>
    <w:uiPriority w:val="0"/>
    <w:rPr>
      <w:kern w:val="2"/>
      <w:sz w:val="21"/>
      <w:szCs w:val="22"/>
    </w:rPr>
  </w:style>
  <w:style w:type="character" w:customStyle="1" w:styleId="32">
    <w:name w:val="批注主题 Char"/>
    <w:link w:val="13"/>
    <w:semiHidden/>
    <w:uiPriority w:val="99"/>
    <w:rPr>
      <w:b/>
      <w:bCs/>
      <w:kern w:val="2"/>
      <w:sz w:val="21"/>
      <w:szCs w:val="22"/>
    </w:rPr>
  </w:style>
  <w:style w:type="character" w:customStyle="1" w:styleId="33">
    <w:name w:val="页眉 Char"/>
    <w:link w:val="9"/>
    <w:uiPriority w:val="99"/>
    <w:rPr>
      <w:sz w:val="18"/>
      <w:szCs w:val="18"/>
    </w:rPr>
  </w:style>
  <w:style w:type="character" w:customStyle="1" w:styleId="34">
    <w:name w:val="副标题 Char"/>
    <w:link w:val="11"/>
    <w:uiPriority w:val="0"/>
    <w:rPr>
      <w:rFonts w:ascii="Cambria" w:hAnsi="Cambria" w:cs="Times New Roman"/>
      <w:b/>
      <w:bCs/>
      <w:kern w:val="28"/>
      <w:sz w:val="32"/>
      <w:szCs w:val="32"/>
    </w:rPr>
  </w:style>
  <w:style w:type="character" w:customStyle="1" w:styleId="35">
    <w:name w:val="文档结构图 Char"/>
    <w:link w:val="5"/>
    <w:semiHidden/>
    <w:uiPriority w:val="99"/>
    <w:rPr>
      <w:rFonts w:ascii="宋体"/>
      <w:kern w:val="2"/>
      <w:sz w:val="18"/>
      <w:szCs w:val="18"/>
    </w:rPr>
  </w:style>
  <w:style w:type="character" w:customStyle="1" w:styleId="36">
    <w:name w:val="页脚 Char"/>
    <w:link w:val="8"/>
    <w:uiPriority w:val="99"/>
    <w:rPr>
      <w:sz w:val="18"/>
      <w:szCs w:val="18"/>
    </w:rPr>
  </w:style>
  <w:style w:type="character" w:customStyle="1" w:styleId="37">
    <w:name w:val="标题 2 Char"/>
    <w:link w:val="3"/>
    <w:semiHidden/>
    <w:uiPriority w:val="9"/>
    <w:rPr>
      <w:rFonts w:ascii="Cambria" w:hAnsi="Cambria" w:eastAsia="宋体" w:cs="Times New Roman"/>
      <w:b/>
      <w:bCs/>
      <w:kern w:val="2"/>
      <w:sz w:val="32"/>
      <w:szCs w:val="32"/>
    </w:rPr>
  </w:style>
  <w:style w:type="character" w:customStyle="1" w:styleId="38">
    <w:name w:val="标题 4 Char"/>
    <w:link w:val="4"/>
    <w:semiHidden/>
    <w:uiPriority w:val="9"/>
    <w:rPr>
      <w:rFonts w:ascii="Cambria" w:hAnsi="Cambria" w:eastAsia="宋体" w:cs="Times New Roman"/>
      <w:b/>
      <w:bCs/>
      <w:kern w:val="2"/>
      <w:sz w:val="28"/>
      <w:szCs w:val="28"/>
    </w:rPr>
  </w:style>
  <w:style w:type="character" w:customStyle="1" w:styleId="39">
    <w:name w:val="标题 1 Char"/>
    <w:link w:val="2"/>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167</Pages>
  <Words>17495</Words>
  <Characters>99723</Characters>
  <Lines>831</Lines>
  <Paragraphs>233</Paragraphs>
  <TotalTime>7</TotalTime>
  <ScaleCrop>false</ScaleCrop>
  <LinksUpToDate>false</LinksUpToDate>
  <CharactersWithSpaces>116985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2026-04-27T08:50:00Z</dcterms:created>
  <dc:creator>系统用户</dc:creator>
  <cp:lastModifiedBy>haotingting</cp:lastModifiedBy>
  <cp:lastPrinted>2013-02-18T03:10:00Z</cp:lastPrinted>
  <dcterms:modified xsi:type="dcterms:W3CDTF">2026-04-30T03:10:05Z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9410D30EC7B240F99F25F91E789809CF</vt:lpwstr>
  </property>
</Properties>
</file>