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ascii="黑体" w:hAnsi="黑体" w:eastAsia="黑体"/>
          <w:b/>
          <w:sz w:val="36"/>
        </w:rPr>
      </w:pPr>
      <w:r>
        <w:rPr>
          <w:rFonts w:hint="eastAsia" w:ascii="黑体" w:hAnsi="黑体" w:eastAsia="黑体"/>
          <w:b/>
          <w:sz w:val="36"/>
        </w:rPr>
        <w:t>交银施罗德红利量化选股混合型证券投资基金</w:t>
      </w:r>
    </w:p>
    <w:p>
      <w:pPr>
        <w:jc w:val="center"/>
        <w:outlineLvl w:val="0"/>
        <w:rPr>
          <w:rFonts w:ascii="黑体" w:hAnsi="黑体" w:eastAsia="黑体"/>
          <w:b/>
          <w:sz w:val="36"/>
        </w:rPr>
      </w:pPr>
      <w:r>
        <w:rPr>
          <w:rFonts w:hint="eastAsia" w:ascii="黑体" w:hAnsi="黑体" w:eastAsia="黑体"/>
          <w:b/>
          <w:sz w:val="36"/>
        </w:rPr>
        <w:t>（C类份额）</w:t>
      </w:r>
    </w:p>
    <w:p>
      <w:pPr>
        <w:jc w:val="center"/>
        <w:outlineLvl w:val="0"/>
        <w:rPr>
          <w:rFonts w:ascii="黑体" w:hAnsi="黑体" w:eastAsia="黑体"/>
          <w:b/>
          <w:sz w:val="36"/>
        </w:rPr>
      </w:pPr>
      <w:r>
        <w:rPr>
          <w:rFonts w:hint="eastAsia" w:ascii="黑体" w:hAnsi="黑体" w:eastAsia="黑体"/>
          <w:b/>
          <w:sz w:val="36"/>
        </w:rPr>
        <w:t>基金产品资料概要</w:t>
      </w:r>
    </w:p>
    <w:p>
      <w:pPr>
        <w:jc w:val="right"/>
        <w:rPr>
          <w:rFonts w:ascii="仿宋_GB2312" w:hAnsi="宋体" w:eastAsia="仿宋_GB2312" w:cs="宋体"/>
          <w:kern w:val="0"/>
          <w:sz w:val="24"/>
          <w:szCs w:val="24"/>
        </w:rPr>
      </w:pPr>
      <w:r>
        <w:rPr>
          <w:rFonts w:hint="eastAsia" w:ascii="方正仿宋简体" w:hAnsi="方正仿宋简体" w:eastAsia="方正仿宋简体" w:cs="方正仿宋简体"/>
          <w:iCs/>
          <w:sz w:val="24"/>
          <w:szCs w:val="24"/>
        </w:rPr>
        <w:t>编制日期：</w:t>
      </w:r>
      <w:r>
        <w:rPr>
          <w:rFonts w:hint="eastAsia" w:ascii="Times New Roman" w:hAnsi="Times New Roman" w:eastAsia="仿宋_GB2312" w:cs="宋体"/>
          <w:kern w:val="0"/>
          <w:sz w:val="24"/>
          <w:szCs w:val="24"/>
        </w:rPr>
        <w:t>202</w:t>
      </w:r>
      <w:r>
        <w:rPr>
          <w:rFonts w:ascii="Times New Roman" w:hAnsi="Times New Roman" w:eastAsia="仿宋_GB2312" w:cs="宋体"/>
          <w:kern w:val="0"/>
          <w:sz w:val="24"/>
          <w:szCs w:val="24"/>
        </w:rPr>
        <w:t>6</w:t>
      </w:r>
      <w:r>
        <w:rPr>
          <w:rFonts w:hint="eastAsia" w:ascii="Times New Roman" w:hAnsi="Times New Roman" w:eastAsia="仿宋_GB2312" w:cs="宋体"/>
          <w:kern w:val="0"/>
          <w:sz w:val="24"/>
          <w:szCs w:val="24"/>
        </w:rPr>
        <w:t>-</w:t>
      </w:r>
      <w:r>
        <w:rPr>
          <w:rFonts w:ascii="Times New Roman" w:hAnsi="Times New Roman" w:eastAsia="仿宋_GB2312" w:cs="宋体"/>
          <w:kern w:val="0"/>
          <w:sz w:val="24"/>
          <w:szCs w:val="24"/>
        </w:rPr>
        <w:t>05</w:t>
      </w:r>
      <w:r>
        <w:rPr>
          <w:rFonts w:hint="eastAsia" w:ascii="Times New Roman" w:hAnsi="Times New Roman" w:eastAsia="仿宋_GB2312" w:cs="宋体"/>
          <w:kern w:val="0"/>
          <w:sz w:val="24"/>
          <w:szCs w:val="24"/>
        </w:rPr>
        <w:t>-</w:t>
      </w:r>
      <w:r>
        <w:rPr>
          <w:rFonts w:ascii="Times New Roman" w:hAnsi="Times New Roman" w:eastAsia="仿宋_GB2312" w:cs="宋体"/>
          <w:kern w:val="0"/>
          <w:sz w:val="24"/>
          <w:szCs w:val="24"/>
        </w:rPr>
        <w:t>07</w:t>
      </w:r>
    </w:p>
    <w:p>
      <w:pPr>
        <w:jc w:val="center"/>
        <w:outlineLvl w:val="0"/>
        <w:rPr>
          <w:rFonts w:ascii="方正仿宋简体" w:hAnsi="方正仿宋简体" w:eastAsia="仿宋_GB2312" w:cs="方正仿宋简体"/>
          <w:iCs/>
          <w:sz w:val="24"/>
          <w:szCs w:val="24"/>
        </w:rPr>
      </w:pPr>
      <w:r>
        <w:rPr>
          <w:rFonts w:ascii="方正仿宋简体" w:hAnsi="方正仿宋简体" w:eastAsia="方正仿宋简体" w:cs="方正仿宋简体"/>
          <w:iCs/>
          <w:sz w:val="24"/>
          <w:szCs w:val="24"/>
        </w:rPr>
        <w:t>送出日期：</w:t>
      </w:r>
      <w:r>
        <w:rPr>
          <w:rFonts w:ascii="Times New Roman" w:hAnsi="Times New Roman" w:eastAsia="仿宋_GB2312" w:cs="宋体"/>
          <w:kern w:val="0"/>
          <w:sz w:val="24"/>
          <w:szCs w:val="24"/>
        </w:rPr>
        <w:t>20</w:t>
      </w:r>
      <w:r>
        <w:rPr>
          <w:rFonts w:hint="eastAsia" w:ascii="Times New Roman" w:hAnsi="Times New Roman" w:eastAsia="仿宋_GB2312" w:cs="宋体"/>
          <w:kern w:val="0"/>
          <w:sz w:val="24"/>
          <w:szCs w:val="24"/>
        </w:rPr>
        <w:t>2</w:t>
      </w:r>
      <w:r>
        <w:rPr>
          <w:rFonts w:ascii="Times New Roman" w:hAnsi="Times New Roman" w:eastAsia="仿宋_GB2312" w:cs="宋体"/>
          <w:kern w:val="0"/>
          <w:sz w:val="24"/>
          <w:szCs w:val="24"/>
        </w:rPr>
        <w:t>6-05-08</w:t>
      </w:r>
    </w:p>
    <w:p>
      <w:pPr>
        <w:autoSpaceDE w:val="0"/>
        <w:autoSpaceDN w:val="0"/>
        <w:adjustRightInd w:val="0"/>
        <w:jc w:val="center"/>
        <w:outlineLvl w:val="0"/>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outlineLvl w:val="0"/>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outlineLvl w:val="0"/>
        <w:rPr>
          <w:rFonts w:ascii="仿宋_GB2312" w:hAnsi="宋体" w:eastAsia="仿宋_GB2312" w:cs="宋体"/>
          <w:b/>
          <w:kern w:val="0"/>
          <w:sz w:val="24"/>
          <w:szCs w:val="24"/>
        </w:rPr>
      </w:pPr>
      <w:r>
        <w:rPr>
          <w:rFonts w:hint="eastAsia" w:ascii="仿宋_GB2312" w:hAnsi="宋体" w:eastAsia="仿宋_GB2312" w:cs="宋体"/>
          <w:b/>
          <w:kern w:val="0"/>
          <w:sz w:val="24"/>
          <w:szCs w:val="24"/>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48"/>
        <w:gridCol w:w="2079"/>
        <w:gridCol w:w="2758"/>
        <w:gridCol w:w="188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8" w:type="dxa"/>
            <w:vAlign w:val="center"/>
          </w:tcPr>
          <w:p>
            <w:pPr>
              <w:widowControl/>
              <w:jc w:val="left"/>
              <w:rPr>
                <w:rFonts w:ascii="仿宋_GB2312" w:eastAsia="仿宋_GB2312"/>
                <w:sz w:val="24"/>
                <w:szCs w:val="24"/>
              </w:rPr>
            </w:pPr>
            <w:r>
              <w:rPr>
                <w:rFonts w:hint="eastAsia" w:ascii="仿宋_GB2312" w:eastAsia="仿宋_GB2312"/>
                <w:sz w:val="24"/>
                <w:szCs w:val="24"/>
              </w:rPr>
              <w:t>基金简称</w:t>
            </w:r>
          </w:p>
        </w:tc>
        <w:tc>
          <w:tcPr>
            <w:tcW w:w="2079" w:type="dxa"/>
            <w:vAlign w:val="center"/>
          </w:tcPr>
          <w:p>
            <w:pPr>
              <w:rPr>
                <w:rFonts w:ascii="仿宋_GB2312" w:eastAsia="仿宋_GB2312"/>
                <w:sz w:val="24"/>
                <w:szCs w:val="24"/>
              </w:rPr>
            </w:pPr>
            <w:r>
              <w:rPr>
                <w:rFonts w:hint="eastAsia" w:ascii="仿宋_GB2312" w:eastAsia="仿宋_GB2312"/>
                <w:sz w:val="24"/>
                <w:szCs w:val="24"/>
              </w:rPr>
              <w:t>交银红利量化选股混合C</w:t>
            </w:r>
          </w:p>
        </w:tc>
        <w:tc>
          <w:tcPr>
            <w:tcW w:w="2758" w:type="dxa"/>
            <w:vAlign w:val="center"/>
          </w:tcPr>
          <w:p>
            <w:pPr>
              <w:rPr>
                <w:rFonts w:ascii="仿宋_GB2312" w:hAnsi="宋体" w:eastAsia="仿宋_GB2312" w:cs="宋体"/>
                <w:sz w:val="24"/>
                <w:szCs w:val="24"/>
              </w:rPr>
            </w:pPr>
            <w:r>
              <w:rPr>
                <w:rFonts w:hint="eastAsia" w:ascii="仿宋_GB2312" w:eastAsia="仿宋_GB2312"/>
                <w:sz w:val="24"/>
                <w:szCs w:val="24"/>
              </w:rPr>
              <w:t>基金代码</w:t>
            </w:r>
          </w:p>
        </w:tc>
        <w:tc>
          <w:tcPr>
            <w:tcW w:w="1887" w:type="dxa"/>
            <w:vAlign w:val="center"/>
          </w:tcPr>
          <w:p>
            <w:pPr>
              <w:rPr>
                <w:rFonts w:ascii="仿宋_GB2312" w:eastAsia="仿宋_GB2312"/>
                <w:sz w:val="24"/>
                <w:szCs w:val="24"/>
              </w:rPr>
            </w:pPr>
            <w:r>
              <w:rPr>
                <w:rFonts w:ascii="仿宋_GB2312" w:eastAsia="仿宋_GB2312"/>
                <w:sz w:val="24"/>
                <w:szCs w:val="24"/>
              </w:rPr>
              <w:t>026745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8" w:type="dxa"/>
            <w:vAlign w:val="center"/>
          </w:tcPr>
          <w:p>
            <w:pPr>
              <w:rPr>
                <w:rFonts w:ascii="仿宋_GB2312" w:eastAsia="仿宋_GB2312"/>
                <w:sz w:val="24"/>
                <w:szCs w:val="24"/>
              </w:rPr>
            </w:pPr>
            <w:r>
              <w:rPr>
                <w:rFonts w:hint="eastAsia" w:ascii="仿宋_GB2312" w:eastAsia="仿宋_GB2312"/>
                <w:sz w:val="24"/>
                <w:szCs w:val="24"/>
              </w:rPr>
              <w:t>基金管理人</w:t>
            </w:r>
          </w:p>
        </w:tc>
        <w:tc>
          <w:tcPr>
            <w:tcW w:w="2079" w:type="dxa"/>
            <w:vAlign w:val="center"/>
          </w:tcPr>
          <w:p>
            <w:pPr>
              <w:rPr>
                <w:rFonts w:ascii="仿宋_GB2312" w:eastAsia="仿宋_GB2312"/>
                <w:sz w:val="24"/>
                <w:szCs w:val="24"/>
              </w:rPr>
            </w:pPr>
            <w:r>
              <w:rPr>
                <w:rFonts w:hint="eastAsia" w:ascii="仿宋_GB2312" w:eastAsia="仿宋_GB2312"/>
                <w:sz w:val="24"/>
                <w:szCs w:val="24"/>
              </w:rPr>
              <w:t>交银施罗德基金管理有限公司</w:t>
            </w:r>
          </w:p>
        </w:tc>
        <w:tc>
          <w:tcPr>
            <w:tcW w:w="2758" w:type="dxa"/>
            <w:vAlign w:val="center"/>
          </w:tcPr>
          <w:p>
            <w:pPr>
              <w:rPr>
                <w:rFonts w:ascii="仿宋_GB2312" w:hAnsi="宋体" w:eastAsia="仿宋_GB2312" w:cs="宋体"/>
                <w:sz w:val="24"/>
                <w:szCs w:val="24"/>
              </w:rPr>
            </w:pPr>
            <w:r>
              <w:rPr>
                <w:rFonts w:hint="eastAsia" w:ascii="仿宋_GB2312" w:eastAsia="仿宋_GB2312"/>
                <w:sz w:val="24"/>
                <w:szCs w:val="24"/>
              </w:rPr>
              <w:t>基金托管人</w:t>
            </w:r>
          </w:p>
        </w:tc>
        <w:tc>
          <w:tcPr>
            <w:tcW w:w="1887" w:type="dxa"/>
            <w:vAlign w:val="center"/>
          </w:tcPr>
          <w:p>
            <w:pPr>
              <w:rPr>
                <w:rFonts w:ascii="仿宋_GB2312" w:eastAsia="仿宋_GB2312"/>
                <w:sz w:val="24"/>
                <w:szCs w:val="24"/>
              </w:rPr>
            </w:pPr>
            <w:r>
              <w:rPr>
                <w:rFonts w:hint="eastAsia" w:ascii="仿宋_GB2312" w:eastAsia="仿宋_GB2312"/>
                <w:sz w:val="24"/>
                <w:szCs w:val="24"/>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645" w:type="dxa"/>
          <w:jc w:val="center"/>
        </w:trPr>
        <w:tc>
          <w:tcPr>
            <w:tcW w:w="2348" w:type="dxa"/>
            <w:vAlign w:val="center"/>
          </w:tcPr>
          <w:p>
            <w:pPr>
              <w:rPr>
                <w:rFonts w:ascii="仿宋_GB2312" w:eastAsia="仿宋_GB2312"/>
                <w:sz w:val="24"/>
                <w:szCs w:val="24"/>
              </w:rPr>
            </w:pPr>
            <w:r>
              <w:rPr>
                <w:rFonts w:hint="eastAsia" w:ascii="仿宋_GB2312" w:eastAsia="仿宋_GB2312"/>
                <w:sz w:val="24"/>
                <w:szCs w:val="24"/>
              </w:rPr>
              <w:t>基金合同生效日</w:t>
            </w:r>
          </w:p>
        </w:tc>
        <w:tc>
          <w:tcPr>
            <w:tcW w:w="2079" w:type="dxa"/>
            <w:vAlign w:val="center"/>
          </w:tcPr>
          <w:p>
            <w:pPr>
              <w:rPr>
                <w:rFonts w:ascii="仿宋_GB2312" w:eastAsia="仿宋_GB2312"/>
                <w:sz w:val="24"/>
                <w:szCs w:val="24"/>
              </w:rPr>
            </w:pPr>
            <w:r>
              <w:rPr>
                <w:rFonts w:hint="eastAsia" w:ascii="仿宋_GB2312" w:eastAsia="仿宋_GB2312"/>
                <w:sz w:val="24"/>
                <w:szCs w:val="24"/>
              </w:rPr>
              <w:t>-</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8" w:type="dxa"/>
            <w:vAlign w:val="center"/>
          </w:tcPr>
          <w:p>
            <w:pPr>
              <w:rPr>
                <w:rFonts w:ascii="仿宋_GB2312" w:eastAsia="仿宋_GB2312"/>
                <w:sz w:val="24"/>
                <w:szCs w:val="24"/>
              </w:rPr>
            </w:pPr>
            <w:r>
              <w:rPr>
                <w:rFonts w:hint="eastAsia" w:ascii="仿宋_GB2312" w:eastAsia="仿宋_GB2312"/>
                <w:sz w:val="24"/>
                <w:szCs w:val="24"/>
              </w:rPr>
              <w:t>基金类型</w:t>
            </w:r>
          </w:p>
        </w:tc>
        <w:tc>
          <w:tcPr>
            <w:tcW w:w="2079" w:type="dxa"/>
            <w:vAlign w:val="center"/>
          </w:tcPr>
          <w:p>
            <w:pPr>
              <w:rPr>
                <w:rFonts w:ascii="仿宋_GB2312" w:eastAsia="仿宋_GB2312"/>
                <w:sz w:val="24"/>
                <w:szCs w:val="24"/>
              </w:rPr>
            </w:pPr>
            <w:r>
              <w:rPr>
                <w:rFonts w:hint="eastAsia" w:ascii="仿宋_GB2312" w:eastAsia="仿宋_GB2312"/>
                <w:sz w:val="24"/>
                <w:szCs w:val="24"/>
              </w:rPr>
              <w:t>混合型</w:t>
            </w:r>
          </w:p>
        </w:tc>
        <w:tc>
          <w:tcPr>
            <w:tcW w:w="2758" w:type="dxa"/>
            <w:vAlign w:val="center"/>
          </w:tcPr>
          <w:p>
            <w:pPr>
              <w:rPr>
                <w:rFonts w:ascii="仿宋_GB2312" w:hAnsi="宋体" w:eastAsia="仿宋_GB2312" w:cs="宋体"/>
                <w:sz w:val="24"/>
                <w:szCs w:val="24"/>
              </w:rPr>
            </w:pPr>
            <w:r>
              <w:rPr>
                <w:rFonts w:hint="eastAsia" w:ascii="仿宋_GB2312" w:eastAsia="仿宋_GB2312"/>
                <w:sz w:val="24"/>
                <w:szCs w:val="24"/>
              </w:rPr>
              <w:t>交易币种</w:t>
            </w:r>
          </w:p>
        </w:tc>
        <w:tc>
          <w:tcPr>
            <w:tcW w:w="1887" w:type="dxa"/>
            <w:vAlign w:val="center"/>
          </w:tcPr>
          <w:p>
            <w:pPr>
              <w:rPr>
                <w:rFonts w:ascii="仿宋_GB2312" w:eastAsia="仿宋_GB2312"/>
                <w:sz w:val="24"/>
                <w:szCs w:val="24"/>
              </w:rPr>
            </w:pPr>
            <w:r>
              <w:rPr>
                <w:rFonts w:hint="eastAsia" w:ascii="仿宋_GB2312" w:eastAsia="仿宋_GB2312"/>
                <w:sz w:val="24"/>
                <w:szCs w:val="24"/>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8" w:type="dxa"/>
            <w:vAlign w:val="center"/>
          </w:tcPr>
          <w:p>
            <w:pPr>
              <w:rPr>
                <w:rFonts w:ascii="仿宋_GB2312" w:eastAsia="仿宋_GB2312"/>
                <w:sz w:val="24"/>
                <w:szCs w:val="24"/>
              </w:rPr>
            </w:pPr>
            <w:r>
              <w:rPr>
                <w:rFonts w:hint="eastAsia" w:ascii="仿宋_GB2312" w:eastAsia="仿宋_GB2312"/>
                <w:sz w:val="24"/>
                <w:szCs w:val="24"/>
              </w:rPr>
              <w:t>运作方式</w:t>
            </w:r>
          </w:p>
        </w:tc>
        <w:tc>
          <w:tcPr>
            <w:tcW w:w="2079" w:type="dxa"/>
            <w:vAlign w:val="center"/>
          </w:tcPr>
          <w:p>
            <w:pPr>
              <w:rPr>
                <w:rFonts w:ascii="仿宋_GB2312" w:eastAsia="仿宋_GB2312"/>
                <w:sz w:val="24"/>
                <w:szCs w:val="24"/>
              </w:rPr>
            </w:pPr>
            <w:r>
              <w:rPr>
                <w:rFonts w:hint="eastAsia" w:ascii="仿宋_GB2312" w:eastAsia="仿宋_GB2312"/>
                <w:sz w:val="24"/>
                <w:szCs w:val="24"/>
              </w:rPr>
              <w:t>普通开放式</w:t>
            </w:r>
          </w:p>
        </w:tc>
        <w:tc>
          <w:tcPr>
            <w:tcW w:w="2758" w:type="dxa"/>
            <w:vAlign w:val="center"/>
          </w:tcPr>
          <w:p>
            <w:pPr>
              <w:rPr>
                <w:rFonts w:ascii="仿宋_GB2312" w:hAnsi="宋体" w:eastAsia="仿宋_GB2312" w:cs="宋体"/>
                <w:sz w:val="24"/>
                <w:szCs w:val="24"/>
              </w:rPr>
            </w:pPr>
            <w:r>
              <w:rPr>
                <w:rFonts w:hint="eastAsia" w:ascii="仿宋_GB2312" w:eastAsia="仿宋_GB2312"/>
                <w:sz w:val="24"/>
                <w:szCs w:val="24"/>
              </w:rPr>
              <w:t>开放频率</w:t>
            </w:r>
          </w:p>
        </w:tc>
        <w:tc>
          <w:tcPr>
            <w:tcW w:w="1887" w:type="dxa"/>
            <w:vAlign w:val="center"/>
          </w:tcPr>
          <w:p>
            <w:pPr>
              <w:rPr>
                <w:rFonts w:ascii="仿宋_GB2312" w:eastAsia="仿宋_GB2312"/>
                <w:sz w:val="24"/>
                <w:szCs w:val="24"/>
              </w:rPr>
            </w:pPr>
            <w:r>
              <w:rPr>
                <w:rFonts w:hint="eastAsia" w:ascii="仿宋_GB2312" w:eastAsia="仿宋_GB2312"/>
                <w:sz w:val="24"/>
                <w:szCs w:val="24"/>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8" w:type="dxa"/>
            <w:vMerge w:val="restart"/>
          </w:tcPr>
          <w:p>
            <w:pPr>
              <w:jc w:val="left"/>
              <w:rPr>
                <w:rFonts w:ascii="仿宋_GB2312" w:eastAsia="仿宋_GB2312"/>
                <w:sz w:val="24"/>
                <w:szCs w:val="24"/>
              </w:rPr>
            </w:pPr>
            <w:r>
              <w:rPr>
                <w:rFonts w:hint="eastAsia" w:ascii="仿宋_GB2312" w:eastAsia="仿宋_GB2312"/>
                <w:sz w:val="24"/>
                <w:szCs w:val="24"/>
              </w:rPr>
              <w:t>基金经理</w:t>
            </w:r>
          </w:p>
        </w:tc>
        <w:tc>
          <w:tcPr>
            <w:tcW w:w="2079" w:type="dxa"/>
            <w:vMerge w:val="restart"/>
          </w:tcPr>
          <w:p>
            <w:pPr>
              <w:rPr>
                <w:rFonts w:eastAsia="仿宋_GB2312" w:asciiTheme="majorEastAsia" w:hAnsiTheme="majorEastAsia"/>
                <w:sz w:val="24"/>
                <w:szCs w:val="24"/>
              </w:rPr>
            </w:pPr>
            <w:r>
              <w:rPr>
                <w:rFonts w:hint="eastAsia" w:ascii="仿宋_GB2312" w:eastAsia="仿宋_GB2312"/>
                <w:sz w:val="24"/>
                <w:szCs w:val="24"/>
              </w:rPr>
              <w:t>蔡铮</w:t>
            </w:r>
          </w:p>
        </w:tc>
        <w:tc>
          <w:tcPr>
            <w:tcW w:w="2758" w:type="dxa"/>
          </w:tcPr>
          <w:p>
            <w:pPr>
              <w:jc w:val="left"/>
              <w:rPr>
                <w:rFonts w:ascii="仿宋_GB2312" w:eastAsia="仿宋_GB2312"/>
                <w:sz w:val="24"/>
                <w:szCs w:val="24"/>
              </w:rPr>
            </w:pPr>
            <w:r>
              <w:rPr>
                <w:rFonts w:hint="eastAsia" w:ascii="仿宋_GB2312" w:hAnsi="宋体" w:eastAsia="仿宋_GB2312" w:cs="宋体"/>
                <w:kern w:val="0"/>
                <w:sz w:val="24"/>
                <w:szCs w:val="24"/>
              </w:rPr>
              <w:t>开始担任本基金基金经理的日期</w:t>
            </w:r>
          </w:p>
        </w:tc>
        <w:tc>
          <w:tcPr>
            <w:tcW w:w="1887" w:type="dxa"/>
          </w:tcPr>
          <w:p>
            <w:pPr>
              <w:jc w:val="left"/>
              <w:rPr>
                <w:rFonts w:ascii="仿宋_GB2312" w:eastAsia="仿宋_GB2312"/>
                <w:sz w:val="24"/>
                <w:szCs w:val="24"/>
              </w:rPr>
            </w:pPr>
            <w:r>
              <w:rPr>
                <w:rFonts w:hint="eastAsia" w:ascii="仿宋_GB2312" w:eastAsia="仿宋_GB2312"/>
                <w:sz w:val="24"/>
                <w:szCs w:val="24"/>
              </w:rPr>
              <w:t>-</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8" w:type="dxa"/>
            <w:vMerge w:val="continue"/>
          </w:tcPr>
          <w:p>
            <w:pPr>
              <w:jc w:val="left"/>
              <w:rPr>
                <w:rFonts w:ascii="仿宋_GB2312" w:eastAsia="仿宋_GB2312"/>
                <w:sz w:val="24"/>
                <w:szCs w:val="24"/>
              </w:rPr>
            </w:pPr>
            <w:bookmarkStart w:id="0" w:name="_GoBack" w:colFirst="1" w:colLast="3"/>
          </w:p>
        </w:tc>
        <w:tc>
          <w:tcPr>
            <w:tcW w:w="2079" w:type="dxa"/>
            <w:vMerge w:val="continue"/>
          </w:tcPr>
          <w:p>
            <w:pPr>
              <w:jc w:val="left"/>
              <w:rPr>
                <w:rFonts w:ascii="仿宋_GB2312" w:eastAsia="仿宋_GB2312"/>
                <w:sz w:val="24"/>
                <w:szCs w:val="24"/>
              </w:rPr>
            </w:pPr>
          </w:p>
        </w:tc>
        <w:tc>
          <w:tcPr>
            <w:tcW w:w="2758" w:type="dxa"/>
          </w:tcPr>
          <w:p>
            <w:pPr>
              <w:jc w:val="left"/>
              <w:rPr>
                <w:rFonts w:ascii="仿宋_GB2312" w:eastAsia="仿宋_GB2312"/>
                <w:sz w:val="24"/>
                <w:szCs w:val="24"/>
              </w:rPr>
            </w:pPr>
            <w:r>
              <w:rPr>
                <w:rFonts w:hint="eastAsia" w:ascii="仿宋_GB2312" w:hAnsi="宋体" w:eastAsia="仿宋_GB2312" w:cs="宋体"/>
                <w:kern w:val="0"/>
                <w:sz w:val="24"/>
                <w:szCs w:val="24"/>
              </w:rPr>
              <w:t>证券从业日期</w:t>
            </w:r>
          </w:p>
        </w:tc>
        <w:tc>
          <w:tcPr>
            <w:tcW w:w="1887" w:type="dxa"/>
          </w:tcPr>
          <w:p>
            <w:pPr>
              <w:jc w:val="left"/>
              <w:rPr>
                <w:rFonts w:ascii="仿宋_GB2312" w:eastAsia="仿宋_GB2312"/>
                <w:sz w:val="24"/>
                <w:szCs w:val="24"/>
              </w:rPr>
            </w:pPr>
            <w:r>
              <w:rPr>
                <w:rFonts w:ascii="仿宋_GB2312" w:eastAsia="仿宋_GB2312"/>
                <w:sz w:val="24"/>
                <w:szCs w:val="24"/>
              </w:rPr>
              <w:t>2009-12-14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8" w:type="dxa"/>
          </w:tcPr>
          <w:p>
            <w:pPr>
              <w:jc w:val="left"/>
              <w:rPr>
                <w:rFonts w:ascii="仿宋_GB2312" w:eastAsia="仿宋_GB2312"/>
                <w:sz w:val="24"/>
                <w:szCs w:val="24"/>
              </w:rPr>
            </w:pPr>
            <w:r>
              <w:rPr>
                <w:rFonts w:hint="eastAsia" w:ascii="仿宋_GB2312" w:hAnsi="宋体" w:eastAsia="仿宋_GB2312" w:cs="宋体"/>
                <w:kern w:val="0"/>
                <w:sz w:val="24"/>
                <w:szCs w:val="24"/>
              </w:rPr>
              <w:t>其他</w:t>
            </w:r>
          </w:p>
        </w:tc>
        <w:tc>
          <w:tcPr>
            <w:tcW w:w="6724" w:type="dxa"/>
            <w:gridSpan w:val="3"/>
          </w:tcPr>
          <w:p>
            <w:pPr>
              <w:ind w:firstLine="420"/>
              <w:rPr>
                <w:rFonts w:ascii="仿宋_GB2312" w:eastAsia="仿宋_GB2312"/>
                <w:sz w:val="24"/>
                <w:szCs w:val="24"/>
              </w:rPr>
            </w:pPr>
            <w:r>
              <w:rPr>
                <w:rFonts w:hint="eastAsia" w:ascii="仿宋_GB2312" w:eastAsia="仿宋_GB2312"/>
                <w:sz w:val="24"/>
                <w:szCs w:val="24"/>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tc>
      </w:tr>
      <w:bookmarkEnd w:id="0"/>
    </w:tbl>
    <w:p>
      <w:pPr>
        <w:jc w:val="left"/>
        <w:outlineLvl w:val="0"/>
        <w:rPr>
          <w:rFonts w:ascii="仿宋_GB2312" w:hAnsi="宋体" w:eastAsia="仿宋_GB2312" w:cs="宋体"/>
          <w:bCs/>
          <w:kern w:val="0"/>
          <w:sz w:val="24"/>
          <w:szCs w:val="24"/>
        </w:rPr>
      </w:pPr>
      <w:r>
        <w:rPr>
          <w:rFonts w:hint="eastAsia" w:ascii="仿宋_GB2312" w:hAnsi="宋体" w:eastAsia="仿宋_GB2312" w:cs="宋体"/>
          <w:bCs/>
          <w:kern w:val="0"/>
          <w:sz w:val="24"/>
          <w:szCs w:val="24"/>
        </w:rPr>
        <w:t>注：本基金为偏股混合型基金。</w:t>
      </w:r>
    </w:p>
    <w:p>
      <w:pPr>
        <w:jc w:val="left"/>
        <w:outlineLvl w:val="0"/>
        <w:rPr>
          <w:rFonts w:ascii="仿宋_GB2312" w:hAnsi="宋体" w:eastAsia="仿宋_GB2312" w:cs="宋体"/>
          <w:b/>
          <w:kern w:val="0"/>
          <w:sz w:val="24"/>
          <w:szCs w:val="24"/>
        </w:rPr>
      </w:pPr>
      <w:r>
        <w:rPr>
          <w:rFonts w:hint="eastAsia" w:ascii="仿宋_GB2312" w:hAnsi="宋体" w:eastAsia="仿宋_GB2312" w:cs="宋体"/>
          <w:b/>
          <w:kern w:val="0"/>
          <w:sz w:val="24"/>
          <w:szCs w:val="24"/>
        </w:rPr>
        <w:t>二、基金投资与净值表现</w:t>
      </w:r>
    </w:p>
    <w:p>
      <w:pPr>
        <w:jc w:val="left"/>
        <w:rPr>
          <w:rFonts w:ascii="仿宋_GB2312" w:eastAsia="仿宋_GB2312"/>
          <w:b/>
          <w:sz w:val="24"/>
          <w:szCs w:val="24"/>
        </w:rPr>
      </w:pPr>
      <w:r>
        <w:rPr>
          <w:rFonts w:hint="eastAsia" w:ascii="仿宋_GB2312" w:eastAsia="仿宋_GB2312"/>
          <w:b/>
          <w:sz w:val="24"/>
          <w:szCs w:val="24"/>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547"/>
        <w:gridCol w:w="652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widowControl/>
              <w:jc w:val="left"/>
              <w:rPr>
                <w:rFonts w:ascii="仿宋_GB2312" w:eastAsia="仿宋_GB2312"/>
                <w:sz w:val="24"/>
                <w:szCs w:val="24"/>
              </w:rPr>
            </w:pPr>
            <w:r>
              <w:rPr>
                <w:rFonts w:hint="eastAsia" w:ascii="仿宋_GB2312" w:eastAsia="仿宋_GB2312"/>
                <w:sz w:val="24"/>
                <w:szCs w:val="24"/>
              </w:rPr>
              <w:t>投资目标</w:t>
            </w:r>
          </w:p>
        </w:tc>
        <w:tc>
          <w:tcPr>
            <w:tcW w:w="6525" w:type="dxa"/>
            <w:vAlign w:val="center"/>
          </w:tcPr>
          <w:p>
            <w:pPr>
              <w:ind w:firstLine="420"/>
              <w:jc w:val="left"/>
              <w:rPr>
                <w:rFonts w:ascii="仿宋_GB2312" w:eastAsia="仿宋_GB2312"/>
                <w:sz w:val="24"/>
                <w:szCs w:val="24"/>
              </w:rPr>
            </w:pPr>
            <w:r>
              <w:rPr>
                <w:rFonts w:hint="eastAsia" w:ascii="仿宋_GB2312" w:eastAsia="仿宋_GB2312"/>
                <w:sz w:val="24"/>
                <w:szCs w:val="24"/>
              </w:rPr>
              <w:t>本基金重点关注红利主题相关上市公司的投资机会，通过量化方法优选个股构建投资组合。在合理控制风险的前提下，充分发挥专业研究与管理能力，力争为投资者提供长期稳健的投资回报。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rPr>
                <w:rFonts w:ascii="仿宋_GB2312" w:eastAsia="仿宋_GB2312"/>
                <w:sz w:val="24"/>
                <w:szCs w:val="24"/>
              </w:rPr>
            </w:pPr>
            <w:r>
              <w:rPr>
                <w:rFonts w:hint="eastAsia" w:ascii="仿宋_GB2312" w:eastAsia="仿宋_GB2312"/>
                <w:sz w:val="24"/>
                <w:szCs w:val="24"/>
              </w:rPr>
              <w:t>投资范围</w:t>
            </w:r>
          </w:p>
        </w:tc>
        <w:tc>
          <w:tcPr>
            <w:tcW w:w="6525" w:type="dxa"/>
            <w:vAlign w:val="center"/>
          </w:tcPr>
          <w:p>
            <w:pPr>
              <w:ind w:firstLine="420"/>
              <w:rPr>
                <w:rFonts w:ascii="仿宋_GB2312" w:eastAsia="仿宋_GB2312"/>
                <w:sz w:val="24"/>
                <w:szCs w:val="24"/>
              </w:rPr>
            </w:pPr>
            <w:r>
              <w:rPr>
                <w:rFonts w:hint="eastAsia" w:ascii="仿宋_GB2312" w:eastAsia="仿宋_GB2312"/>
                <w:sz w:val="24"/>
                <w:szCs w:val="24"/>
              </w:rPr>
              <w:t>本基金的投资范围为具有良好流动性的金融工具，包括国内依法发行上市的股票（含主板、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rPr>
                <w:rFonts w:ascii="仿宋_GB2312" w:eastAsia="仿宋_GB2312"/>
                <w:sz w:val="24"/>
                <w:szCs w:val="24"/>
              </w:rPr>
            </w:pPr>
            <w:r>
              <w:rPr>
                <w:rFonts w:hint="eastAsia" w:ascii="仿宋_GB2312" w:eastAsia="仿宋_GB2312"/>
                <w:sz w:val="24"/>
                <w:szCs w:val="24"/>
              </w:rPr>
              <w:t>如法律法规或监管机构以后允许基金投资其他品种，基金管理人在履行适当程序后，可以将其纳入投资范围。</w:t>
            </w:r>
          </w:p>
          <w:p>
            <w:pPr>
              <w:ind w:firstLine="420"/>
              <w:rPr>
                <w:rFonts w:ascii="仿宋_GB2312" w:eastAsia="仿宋_GB2312"/>
                <w:sz w:val="24"/>
                <w:szCs w:val="24"/>
              </w:rPr>
            </w:pPr>
            <w:r>
              <w:rPr>
                <w:rFonts w:hint="eastAsia" w:ascii="仿宋_GB2312" w:eastAsia="仿宋_GB2312"/>
                <w:sz w:val="24"/>
                <w:szCs w:val="24"/>
              </w:rPr>
              <w:t>基金的投资组合比例为：股票投资（含存托凭证）占基金资产的比例为60%-95%，其中投资于港股通标的股票的比例占股票资产的0%-50%；投资于本基金界定的红利主题相关股票（含存托凭证）占非现金基金资产的比例不低于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rPr>
                <w:rFonts w:ascii="仿宋_GB2312" w:eastAsia="仿宋_GB2312"/>
                <w:sz w:val="24"/>
                <w:szCs w:val="24"/>
              </w:rPr>
            </w:pPr>
            <w:r>
              <w:rPr>
                <w:rFonts w:hint="eastAsia" w:ascii="仿宋_GB2312" w:eastAsia="仿宋_GB2312"/>
                <w:sz w:val="24"/>
                <w:szCs w:val="24"/>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rPr>
                <w:rFonts w:ascii="仿宋_GB2312" w:eastAsia="仿宋_GB2312"/>
                <w:sz w:val="24"/>
                <w:szCs w:val="24"/>
              </w:rPr>
            </w:pPr>
            <w:r>
              <w:rPr>
                <w:rFonts w:hint="eastAsia" w:ascii="仿宋_GB2312" w:eastAsia="仿宋_GB2312"/>
                <w:sz w:val="24"/>
                <w:szCs w:val="24"/>
              </w:rPr>
              <w:t>主要投资策略</w:t>
            </w:r>
          </w:p>
        </w:tc>
        <w:tc>
          <w:tcPr>
            <w:tcW w:w="6525" w:type="dxa"/>
            <w:vAlign w:val="center"/>
          </w:tcPr>
          <w:p>
            <w:pPr>
              <w:ind w:firstLine="420"/>
              <w:rPr>
                <w:rFonts w:ascii="仿宋_GB2312" w:eastAsia="仿宋_GB2312"/>
                <w:sz w:val="24"/>
                <w:szCs w:val="24"/>
              </w:rPr>
            </w:pPr>
            <w:r>
              <w:rPr>
                <w:rFonts w:hint="eastAsia" w:ascii="仿宋_GB2312" w:eastAsia="仿宋_GB2312"/>
                <w:sz w:val="24"/>
                <w:szCs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rPr>
                <w:rFonts w:ascii="仿宋_GB2312" w:eastAsia="仿宋_GB2312"/>
                <w:sz w:val="24"/>
                <w:szCs w:val="24"/>
              </w:rPr>
            </w:pPr>
            <w:r>
              <w:rPr>
                <w:rFonts w:hint="eastAsia" w:ascii="仿宋_GB2312" w:eastAsia="仿宋_GB2312"/>
                <w:sz w:val="24"/>
                <w:szCs w:val="24"/>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rPr>
                <w:rFonts w:ascii="仿宋_GB2312" w:eastAsia="仿宋_GB2312"/>
                <w:sz w:val="24"/>
                <w:szCs w:val="24"/>
              </w:rPr>
            </w:pPr>
            <w:r>
              <w:rPr>
                <w:rFonts w:hint="eastAsia" w:ascii="仿宋_GB2312" w:eastAsia="仿宋_GB2312"/>
                <w:sz w:val="24"/>
                <w:szCs w:val="24"/>
              </w:rPr>
              <w:t>业绩比较基准</w:t>
            </w:r>
          </w:p>
        </w:tc>
        <w:tc>
          <w:tcPr>
            <w:tcW w:w="6525" w:type="dxa"/>
            <w:vAlign w:val="center"/>
          </w:tcPr>
          <w:p>
            <w:pPr>
              <w:ind w:firstLine="420"/>
              <w:jc w:val="left"/>
              <w:rPr>
                <w:rFonts w:ascii="仿宋_GB2312" w:eastAsia="仿宋_GB2312"/>
                <w:sz w:val="24"/>
                <w:szCs w:val="24"/>
              </w:rPr>
            </w:pPr>
            <w:r>
              <w:rPr>
                <w:rFonts w:hint="eastAsia" w:ascii="仿宋_GB2312" w:eastAsia="仿宋_GB2312"/>
                <w:sz w:val="24"/>
                <w:szCs w:val="24"/>
              </w:rPr>
              <w:t>中证红利指数收益率×75%+中证港股通高股息投资指数（人民币）收益率×5%+中债-综合全价（总值）指数收益率×20%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rPr>
                <w:rFonts w:ascii="仿宋_GB2312" w:eastAsia="仿宋_GB2312"/>
                <w:sz w:val="24"/>
                <w:szCs w:val="24"/>
              </w:rPr>
            </w:pPr>
            <w:r>
              <w:rPr>
                <w:rFonts w:hint="eastAsia" w:ascii="仿宋_GB2312" w:eastAsia="仿宋_GB2312"/>
                <w:sz w:val="24"/>
                <w:szCs w:val="24"/>
              </w:rPr>
              <w:t>风险收益特征</w:t>
            </w:r>
          </w:p>
        </w:tc>
        <w:tc>
          <w:tcPr>
            <w:tcW w:w="6525" w:type="dxa"/>
            <w:vAlign w:val="center"/>
          </w:tcPr>
          <w:p>
            <w:pPr>
              <w:ind w:firstLine="420"/>
              <w:jc w:val="left"/>
              <w:rPr>
                <w:rFonts w:ascii="仿宋_GB2312" w:eastAsia="仿宋_GB2312"/>
                <w:sz w:val="24"/>
                <w:szCs w:val="24"/>
              </w:rPr>
            </w:pPr>
            <w:r>
              <w:rPr>
                <w:rFonts w:hint="eastAsia" w:ascii="仿宋_GB2312" w:eastAsia="仿宋_GB2312"/>
                <w:sz w:val="24"/>
                <w:szCs w:val="24"/>
              </w:rPr>
              <w:t>本基金是一只混合型基金，其预期风险和预期收益理论上高于债券型基金和货币市场基金，低于股票型基金。</w:t>
            </w:r>
          </w:p>
          <w:p>
            <w:pPr>
              <w:ind w:firstLine="420"/>
              <w:jc w:val="left"/>
              <w:rPr>
                <w:rFonts w:ascii="仿宋_GB2312" w:eastAsia="仿宋_GB2312"/>
                <w:sz w:val="24"/>
                <w:szCs w:val="24"/>
              </w:rPr>
            </w:pPr>
            <w:r>
              <w:rPr>
                <w:rFonts w:hint="eastAsia" w:ascii="仿宋_GB2312" w:eastAsia="仿宋_GB2312"/>
                <w:sz w:val="24"/>
                <w:szCs w:val="24"/>
              </w:rPr>
              <w:t>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 w:val="24"/>
          <w:szCs w:val="24"/>
        </w:rPr>
      </w:pPr>
      <w:r>
        <w:rPr>
          <w:rFonts w:hint="eastAsia" w:ascii="仿宋_GB2312" w:hAnsi="宋体" w:eastAsia="仿宋_GB2312" w:cs="宋体"/>
          <w:kern w:val="0"/>
          <w:sz w:val="24"/>
          <w:szCs w:val="24"/>
        </w:rPr>
        <w:t>注：</w:t>
      </w:r>
      <w:r>
        <w:rPr>
          <w:rFonts w:hint="eastAsia" w:ascii="仿宋_GB2312" w:eastAsia="仿宋_GB2312"/>
          <w:sz w:val="24"/>
          <w:szCs w:val="24"/>
        </w:rPr>
        <w:t>详见《交银施罗德红利量化选股混合型证券投资基金招募说明书》第九部分“基金的投资”。</w:t>
      </w:r>
    </w:p>
    <w:p>
      <w:pPr>
        <w:jc w:val="left"/>
        <w:rPr>
          <w:rFonts w:ascii="仿宋_GB2312" w:eastAsia="仿宋_GB2312"/>
          <w:b/>
          <w:sz w:val="24"/>
          <w:szCs w:val="24"/>
        </w:rPr>
      </w:pPr>
      <w:r>
        <w:rPr>
          <w:rFonts w:hint="eastAsia" w:ascii="仿宋_GB2312" w:eastAsia="仿宋_GB2312"/>
          <w:b/>
          <w:sz w:val="24"/>
          <w:szCs w:val="24"/>
        </w:rPr>
        <w:t>（二）投资组合资产配置图表/区域配置图表</w:t>
      </w:r>
    </w:p>
    <w:p>
      <w:pPr>
        <w:jc w:val="left"/>
        <w:rPr>
          <w:rFonts w:ascii="仿宋_GB2312" w:eastAsia="仿宋_GB2312"/>
          <w:sz w:val="24"/>
          <w:szCs w:val="24"/>
        </w:rPr>
      </w:pPr>
      <w:r>
        <w:rPr>
          <w:rFonts w:hint="eastAsia" w:ascii="仿宋_GB2312" w:eastAsia="仿宋_GB2312"/>
          <w:sz w:val="24"/>
          <w:szCs w:val="24"/>
        </w:rPr>
        <w:t>无。</w:t>
      </w:r>
    </w:p>
    <w:p>
      <w:pPr>
        <w:jc w:val="left"/>
        <w:rPr>
          <w:rFonts w:ascii="仿宋_GB2312" w:eastAsia="仿宋_GB2312"/>
          <w:b/>
          <w:sz w:val="24"/>
          <w:szCs w:val="24"/>
        </w:rPr>
      </w:pPr>
      <w:r>
        <w:rPr>
          <w:rFonts w:hint="eastAsia" w:ascii="仿宋_GB2312" w:eastAsia="仿宋_GB2312"/>
          <w:b/>
          <w:sz w:val="24"/>
          <w:szCs w:val="24"/>
        </w:rPr>
        <w:t>（三）自基金合同生效以来/最近十年（孰短）基金每年的净值增长率及与同期业绩比较基准的比较图</w:t>
      </w:r>
    </w:p>
    <w:p>
      <w:pPr>
        <w:jc w:val="left"/>
        <w:rPr>
          <w:rFonts w:ascii="仿宋_GB2312" w:eastAsia="仿宋_GB2312"/>
          <w:sz w:val="24"/>
          <w:szCs w:val="24"/>
        </w:rPr>
      </w:pPr>
      <w:r>
        <w:rPr>
          <w:rFonts w:hint="eastAsia" w:ascii="仿宋_GB2312" w:eastAsia="仿宋_GB2312"/>
          <w:sz w:val="24"/>
          <w:szCs w:val="24"/>
        </w:rPr>
        <w:t>无。</w:t>
      </w:r>
    </w:p>
    <w:p>
      <w:pPr>
        <w:jc w:val="left"/>
        <w:outlineLvl w:val="0"/>
        <w:rPr>
          <w:rFonts w:ascii="仿宋_GB2312" w:hAnsi="宋体" w:eastAsia="仿宋_GB2312" w:cs="宋体"/>
          <w:b/>
          <w:kern w:val="0"/>
          <w:sz w:val="24"/>
          <w:szCs w:val="24"/>
        </w:rPr>
      </w:pPr>
      <w:r>
        <w:rPr>
          <w:rFonts w:hint="eastAsia" w:ascii="仿宋_GB2312" w:hAnsi="宋体" w:eastAsia="仿宋_GB2312" w:cs="宋体"/>
          <w:b/>
          <w:kern w:val="0"/>
          <w:sz w:val="24"/>
          <w:szCs w:val="24"/>
        </w:rPr>
        <w:t>三、投资本基金涉及的费用</w:t>
      </w:r>
    </w:p>
    <w:p>
      <w:pPr>
        <w:jc w:val="left"/>
        <w:outlineLvl w:val="1"/>
        <w:rPr>
          <w:rFonts w:ascii="仿宋_GB2312" w:hAnsi="宋体" w:eastAsia="仿宋_GB2312" w:cs="宋体"/>
          <w:b/>
          <w:kern w:val="0"/>
          <w:sz w:val="24"/>
          <w:szCs w:val="24"/>
        </w:rPr>
      </w:pPr>
      <w:r>
        <w:rPr>
          <w:rFonts w:hint="eastAsia" w:ascii="仿宋_GB2312" w:hAnsi="宋体" w:eastAsia="仿宋_GB2312" w:cs="宋体"/>
          <w:b/>
          <w:kern w:val="0"/>
          <w:sz w:val="24"/>
          <w:szCs w:val="24"/>
        </w:rPr>
        <w:t>（一）基金销售相关费用</w:t>
      </w:r>
    </w:p>
    <w:p>
      <w:pPr>
        <w:jc w:val="left"/>
        <w:rPr>
          <w:rFonts w:ascii="仿宋_GB2312" w:eastAsia="仿宋_GB2312"/>
          <w:sz w:val="24"/>
          <w:szCs w:val="24"/>
        </w:rPr>
      </w:pPr>
      <w:r>
        <w:rPr>
          <w:rFonts w:hint="eastAsia" w:ascii="仿宋_GB2312" w:eastAsia="仿宋_GB2312"/>
          <w:sz w:val="24"/>
          <w:szCs w:val="24"/>
        </w:rPr>
        <w:t>以下费用在认购/申购/赎回基金过程中收取：</w:t>
      </w:r>
    </w:p>
    <w:tbl>
      <w:tblPr>
        <w:tblStyle w:val="8"/>
        <w:tblW w:w="911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663"/>
        <w:gridCol w:w="2827"/>
        <w:gridCol w:w="1752"/>
        <w:gridCol w:w="1873"/>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663" w:type="dxa"/>
            <w:vAlign w:val="center"/>
          </w:tcPr>
          <w:p>
            <w:pPr>
              <w:widowControl/>
              <w:jc w:val="left"/>
              <w:rPr>
                <w:rFonts w:ascii="仿宋_GB2312" w:eastAsia="仿宋_GB2312"/>
                <w:sz w:val="24"/>
                <w:szCs w:val="24"/>
              </w:rPr>
            </w:pPr>
            <w:r>
              <w:rPr>
                <w:rFonts w:hint="eastAsia" w:ascii="仿宋_GB2312" w:hAnsi="宋体" w:eastAsia="仿宋_GB2312" w:cs="宋体"/>
                <w:kern w:val="0"/>
                <w:sz w:val="24"/>
                <w:szCs w:val="24"/>
              </w:rPr>
              <w:t>费用类型</w:t>
            </w:r>
          </w:p>
        </w:tc>
        <w:tc>
          <w:tcPr>
            <w:tcW w:w="2827" w:type="dxa"/>
            <w:vAlign w:val="center"/>
          </w:tcPr>
          <w:p>
            <w:pPr>
              <w:rPr>
                <w:rFonts w:ascii="仿宋_GB2312" w:eastAsia="仿宋_GB2312"/>
                <w:sz w:val="24"/>
                <w:szCs w:val="24"/>
              </w:rPr>
            </w:pPr>
            <w:r>
              <w:rPr>
                <w:rFonts w:hint="eastAsia" w:ascii="仿宋_GB2312" w:eastAsia="仿宋_GB2312"/>
                <w:sz w:val="24"/>
                <w:szCs w:val="24"/>
              </w:rPr>
              <w:t>份额（S）或金额（M）/持有期限（N）</w:t>
            </w:r>
          </w:p>
        </w:tc>
        <w:tc>
          <w:tcPr>
            <w:tcW w:w="1752" w:type="dxa"/>
            <w:vAlign w:val="center"/>
          </w:tcPr>
          <w:p>
            <w:pPr>
              <w:rPr>
                <w:rFonts w:ascii="仿宋_GB2312" w:eastAsia="仿宋_GB2312"/>
                <w:sz w:val="24"/>
                <w:szCs w:val="24"/>
              </w:rPr>
            </w:pPr>
            <w:r>
              <w:rPr>
                <w:rFonts w:hint="eastAsia" w:ascii="仿宋_GB2312" w:eastAsia="仿宋_GB2312"/>
                <w:sz w:val="24"/>
                <w:szCs w:val="24"/>
              </w:rPr>
              <w:t>收费方式/费率</w:t>
            </w:r>
          </w:p>
        </w:tc>
        <w:tc>
          <w:tcPr>
            <w:tcW w:w="1873" w:type="dxa"/>
            <w:vAlign w:val="center"/>
          </w:tcPr>
          <w:p>
            <w:pPr>
              <w:widowControl/>
              <w:jc w:val="left"/>
              <w:rPr>
                <w:rFonts w:ascii="仿宋_GB2312" w:eastAsia="仿宋_GB2312"/>
                <w:sz w:val="24"/>
                <w:szCs w:val="24"/>
              </w:rPr>
            </w:pPr>
            <w:r>
              <w:rPr>
                <w:rFonts w:hint="eastAsia" w:ascii="仿宋_GB2312" w:hAnsi="宋体" w:eastAsia="仿宋_GB2312" w:cs="宋体"/>
                <w:kern w:val="0"/>
                <w:sz w:val="24"/>
                <w:szCs w:val="24"/>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663" w:type="dxa"/>
            <w:vMerge w:val="restart"/>
            <w:vAlign w:val="center"/>
          </w:tcPr>
          <w:p>
            <w:pPr>
              <w:widowControl/>
              <w:jc w:val="left"/>
              <w:rPr>
                <w:rFonts w:ascii="仿宋_GB2312" w:hAnsi="宋体" w:eastAsia="仿宋_GB2312" w:cs="宋体"/>
                <w:kern w:val="0"/>
                <w:sz w:val="24"/>
                <w:szCs w:val="24"/>
              </w:rPr>
            </w:pPr>
            <w:r>
              <w:rPr>
                <w:rFonts w:hint="eastAsia" w:ascii="仿宋_GB2312" w:hAnsi="宋体" w:eastAsia="仿宋_GB2312" w:cs="宋体"/>
                <w:kern w:val="0"/>
                <w:sz w:val="24"/>
                <w:szCs w:val="24"/>
              </w:rPr>
              <w:t>赎回费</w:t>
            </w:r>
          </w:p>
        </w:tc>
        <w:tc>
          <w:tcPr>
            <w:tcW w:w="2827" w:type="dxa"/>
          </w:tcPr>
          <w:p>
            <w:pPr>
              <w:rPr>
                <w:rFonts w:ascii="仿宋_GB2312" w:eastAsia="仿宋_GB2312"/>
                <w:sz w:val="24"/>
                <w:szCs w:val="24"/>
              </w:rPr>
            </w:pPr>
            <w:r>
              <w:rPr>
                <w:rFonts w:hint="eastAsia" w:ascii="仿宋_GB2312" w:eastAsia="仿宋_GB2312"/>
                <w:sz w:val="24"/>
                <w:szCs w:val="24"/>
              </w:rPr>
              <w:t>N＜7天</w:t>
            </w:r>
          </w:p>
        </w:tc>
        <w:tc>
          <w:tcPr>
            <w:tcW w:w="1752" w:type="dxa"/>
            <w:vAlign w:val="center"/>
          </w:tcPr>
          <w:p>
            <w:pPr>
              <w:rPr>
                <w:rFonts w:ascii="仿宋_GB2312" w:eastAsia="仿宋_GB2312"/>
                <w:sz w:val="24"/>
                <w:szCs w:val="24"/>
              </w:rPr>
            </w:pPr>
            <w:r>
              <w:rPr>
                <w:rFonts w:hint="eastAsia" w:ascii="仿宋_GB2312" w:eastAsia="仿宋_GB2312"/>
                <w:sz w:val="24"/>
                <w:szCs w:val="24"/>
              </w:rPr>
              <w:t>1.5%</w:t>
            </w:r>
          </w:p>
        </w:tc>
        <w:tc>
          <w:tcPr>
            <w:tcW w:w="1873" w:type="dxa"/>
            <w:vAlign w:val="center"/>
          </w:tcPr>
          <w:p>
            <w:pPr>
              <w:rPr>
                <w:rFonts w:ascii="仿宋_GB2312" w:eastAsia="仿宋_GB2312"/>
                <w:sz w:val="24"/>
                <w:szCs w:val="24"/>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663" w:type="dxa"/>
            <w:vMerge w:val="continue"/>
            <w:vAlign w:val="center"/>
          </w:tcPr>
          <w:p>
            <w:pPr>
              <w:widowControl/>
              <w:jc w:val="left"/>
              <w:rPr>
                <w:rFonts w:ascii="仿宋_GB2312" w:hAnsi="宋体" w:eastAsia="仿宋_GB2312" w:cs="宋体"/>
                <w:kern w:val="0"/>
                <w:sz w:val="24"/>
                <w:szCs w:val="24"/>
              </w:rPr>
            </w:pPr>
          </w:p>
        </w:tc>
        <w:tc>
          <w:tcPr>
            <w:tcW w:w="2827" w:type="dxa"/>
          </w:tcPr>
          <w:p>
            <w:pPr>
              <w:rPr>
                <w:rFonts w:ascii="仿宋_GB2312" w:eastAsia="仿宋_GB2312"/>
                <w:sz w:val="24"/>
                <w:szCs w:val="24"/>
              </w:rPr>
            </w:pPr>
            <w:r>
              <w:rPr>
                <w:rFonts w:hint="eastAsia" w:ascii="仿宋_GB2312" w:eastAsia="仿宋_GB2312"/>
                <w:sz w:val="24"/>
                <w:szCs w:val="24"/>
              </w:rPr>
              <w:t>7天≤N＜30天</w:t>
            </w:r>
          </w:p>
        </w:tc>
        <w:tc>
          <w:tcPr>
            <w:tcW w:w="1752" w:type="dxa"/>
            <w:vAlign w:val="center"/>
          </w:tcPr>
          <w:p>
            <w:pPr>
              <w:rPr>
                <w:rFonts w:ascii="仿宋_GB2312" w:eastAsia="仿宋_GB2312"/>
                <w:sz w:val="24"/>
                <w:szCs w:val="24"/>
              </w:rPr>
            </w:pPr>
            <w:r>
              <w:rPr>
                <w:rFonts w:ascii="仿宋_GB2312" w:eastAsia="仿宋_GB2312"/>
                <w:sz w:val="24"/>
                <w:szCs w:val="24"/>
              </w:rPr>
              <w:t>1.0</w:t>
            </w:r>
            <w:r>
              <w:rPr>
                <w:rFonts w:hint="eastAsia" w:ascii="仿宋_GB2312" w:eastAsia="仿宋_GB2312"/>
                <w:sz w:val="24"/>
                <w:szCs w:val="24"/>
              </w:rPr>
              <w:t>%</w:t>
            </w:r>
          </w:p>
        </w:tc>
        <w:tc>
          <w:tcPr>
            <w:tcW w:w="1873" w:type="dxa"/>
            <w:vAlign w:val="center"/>
          </w:tcPr>
          <w:p>
            <w:pPr>
              <w:rPr>
                <w:rFonts w:ascii="仿宋_GB2312" w:eastAsia="仿宋_GB2312"/>
                <w:sz w:val="24"/>
                <w:szCs w:val="24"/>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663" w:type="dxa"/>
            <w:vMerge w:val="continue"/>
            <w:vAlign w:val="center"/>
          </w:tcPr>
          <w:p>
            <w:pPr>
              <w:widowControl/>
              <w:jc w:val="left"/>
              <w:rPr>
                <w:rFonts w:ascii="仿宋_GB2312" w:hAnsi="宋体" w:eastAsia="仿宋_GB2312" w:cs="宋体"/>
                <w:kern w:val="0"/>
                <w:sz w:val="24"/>
                <w:szCs w:val="24"/>
              </w:rPr>
            </w:pPr>
          </w:p>
        </w:tc>
        <w:tc>
          <w:tcPr>
            <w:tcW w:w="2827" w:type="dxa"/>
          </w:tcPr>
          <w:p>
            <w:pPr>
              <w:rPr>
                <w:rFonts w:ascii="仿宋_GB2312" w:eastAsia="仿宋_GB2312"/>
                <w:sz w:val="24"/>
                <w:szCs w:val="24"/>
              </w:rPr>
            </w:pPr>
            <w:r>
              <w:rPr>
                <w:rFonts w:hint="eastAsia" w:ascii="仿宋_GB2312" w:eastAsia="仿宋_GB2312"/>
                <w:sz w:val="24"/>
                <w:szCs w:val="24"/>
              </w:rPr>
              <w:t>30天≤N＜</w:t>
            </w:r>
            <w:r>
              <w:rPr>
                <w:rFonts w:ascii="仿宋_GB2312" w:eastAsia="仿宋_GB2312"/>
                <w:sz w:val="24"/>
                <w:szCs w:val="24"/>
              </w:rPr>
              <w:t>180</w:t>
            </w:r>
            <w:r>
              <w:rPr>
                <w:rFonts w:hint="eastAsia" w:ascii="仿宋_GB2312" w:eastAsia="仿宋_GB2312"/>
                <w:sz w:val="24"/>
                <w:szCs w:val="24"/>
              </w:rPr>
              <w:t>天</w:t>
            </w:r>
          </w:p>
        </w:tc>
        <w:tc>
          <w:tcPr>
            <w:tcW w:w="1752" w:type="dxa"/>
          </w:tcPr>
          <w:p>
            <w:pPr>
              <w:rPr>
                <w:rFonts w:ascii="仿宋_GB2312" w:eastAsia="仿宋_GB2312"/>
                <w:sz w:val="24"/>
                <w:szCs w:val="24"/>
              </w:rPr>
            </w:pPr>
            <w:r>
              <w:rPr>
                <w:rFonts w:ascii="仿宋_GB2312" w:eastAsia="仿宋_GB2312"/>
                <w:sz w:val="24"/>
                <w:szCs w:val="24"/>
              </w:rPr>
              <w:t>0.5%</w:t>
            </w:r>
          </w:p>
        </w:tc>
        <w:tc>
          <w:tcPr>
            <w:tcW w:w="1873" w:type="dxa"/>
            <w:vAlign w:val="center"/>
          </w:tcPr>
          <w:p>
            <w:pPr>
              <w:rPr>
                <w:rFonts w:ascii="仿宋_GB2312" w:eastAsia="仿宋_GB2312"/>
                <w:sz w:val="24"/>
                <w:szCs w:val="24"/>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663" w:type="dxa"/>
            <w:vMerge w:val="continue"/>
            <w:vAlign w:val="center"/>
          </w:tcPr>
          <w:p>
            <w:pPr>
              <w:widowControl/>
              <w:jc w:val="left"/>
              <w:rPr>
                <w:rFonts w:ascii="仿宋_GB2312" w:hAnsi="宋体" w:eastAsia="仿宋_GB2312" w:cs="宋体"/>
                <w:kern w:val="0"/>
                <w:sz w:val="24"/>
                <w:szCs w:val="24"/>
              </w:rPr>
            </w:pPr>
          </w:p>
        </w:tc>
        <w:tc>
          <w:tcPr>
            <w:tcW w:w="2827" w:type="dxa"/>
          </w:tcPr>
          <w:p>
            <w:pPr>
              <w:rPr>
                <w:rFonts w:ascii="仿宋_GB2312" w:eastAsia="仿宋_GB2312"/>
                <w:sz w:val="24"/>
                <w:szCs w:val="24"/>
              </w:rPr>
            </w:pPr>
            <w:r>
              <w:rPr>
                <w:rFonts w:ascii="仿宋_GB2312" w:eastAsia="仿宋_GB2312"/>
                <w:sz w:val="24"/>
                <w:szCs w:val="24"/>
              </w:rPr>
              <w:t>180</w:t>
            </w:r>
            <w:r>
              <w:rPr>
                <w:rFonts w:hint="eastAsia" w:ascii="仿宋_GB2312" w:eastAsia="仿宋_GB2312"/>
                <w:sz w:val="24"/>
                <w:szCs w:val="24"/>
              </w:rPr>
              <w:t>天≤N</w:t>
            </w:r>
          </w:p>
        </w:tc>
        <w:tc>
          <w:tcPr>
            <w:tcW w:w="1752" w:type="dxa"/>
          </w:tcPr>
          <w:p>
            <w:pPr>
              <w:rPr>
                <w:rFonts w:ascii="仿宋_GB2312" w:eastAsia="仿宋_GB2312"/>
                <w:sz w:val="24"/>
                <w:szCs w:val="24"/>
              </w:rPr>
            </w:pPr>
            <w:r>
              <w:rPr>
                <w:rFonts w:ascii="仿宋_GB2312" w:eastAsia="仿宋_GB2312"/>
                <w:sz w:val="24"/>
                <w:szCs w:val="24"/>
              </w:rPr>
              <w:t>0</w:t>
            </w:r>
          </w:p>
        </w:tc>
        <w:tc>
          <w:tcPr>
            <w:tcW w:w="1873" w:type="dxa"/>
            <w:vAlign w:val="center"/>
          </w:tcPr>
          <w:p>
            <w:pPr>
              <w:rPr>
                <w:rFonts w:ascii="仿宋_GB2312" w:eastAsia="仿宋_GB2312"/>
                <w:sz w:val="24"/>
                <w:szCs w:val="24"/>
              </w:rPr>
            </w:pPr>
          </w:p>
        </w:tc>
      </w:tr>
    </w:tbl>
    <w:p>
      <w:pPr>
        <w:rPr>
          <w:rFonts w:ascii="仿宋_GB2312" w:eastAsia="仿宋_GB2312"/>
          <w:sz w:val="24"/>
          <w:szCs w:val="24"/>
        </w:rPr>
      </w:pPr>
      <w:r>
        <w:rPr>
          <w:rFonts w:hint="eastAsia" w:ascii="仿宋_GB2312" w:eastAsia="仿宋_GB2312"/>
          <w:sz w:val="24"/>
          <w:szCs w:val="24"/>
        </w:rPr>
        <w:t>注：1、本基金对持续持有期少于7日的投资人收取1.5%的赎回费，请投资人予以关注。2、销售机构若有其他费率优惠请见基金管理人或其他销售机构的有关公告或通知。</w:t>
      </w:r>
    </w:p>
    <w:p>
      <w:pPr>
        <w:jc w:val="left"/>
        <w:outlineLvl w:val="1"/>
        <w:rPr>
          <w:rFonts w:ascii="仿宋_GB2312" w:eastAsia="仿宋_GB2312"/>
          <w:b/>
          <w:sz w:val="24"/>
          <w:szCs w:val="24"/>
        </w:rPr>
      </w:pPr>
      <w:r>
        <w:rPr>
          <w:rFonts w:hint="eastAsia" w:ascii="仿宋_GB2312" w:eastAsia="仿宋_GB2312"/>
          <w:b/>
          <w:sz w:val="24"/>
          <w:szCs w:val="24"/>
        </w:rPr>
        <w:t>（二）基金运作相关费用</w:t>
      </w:r>
    </w:p>
    <w:p>
      <w:pPr>
        <w:jc w:val="left"/>
        <w:rPr>
          <w:rFonts w:ascii="仿宋_GB2312" w:hAnsi="宋体" w:eastAsia="仿宋_GB2312" w:cs="宋体"/>
          <w:kern w:val="0"/>
          <w:sz w:val="24"/>
          <w:szCs w:val="24"/>
        </w:rPr>
      </w:pPr>
      <w:r>
        <w:rPr>
          <w:rFonts w:hint="eastAsia" w:ascii="仿宋_GB2312" w:hAnsi="宋体" w:eastAsia="仿宋_GB2312" w:cs="宋体"/>
          <w:kern w:val="0"/>
          <w:sz w:val="24"/>
          <w:szCs w:val="24"/>
        </w:rPr>
        <w:t>以下费用将从基金资产中扣除：</w:t>
      </w:r>
    </w:p>
    <w:tbl>
      <w:tblPr>
        <w:tblStyle w:val="19"/>
        <w:tblW w:w="8575" w:type="dxa"/>
        <w:jc w:val="center"/>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Layout w:type="autofit"/>
        <w:tblCellMar>
          <w:top w:w="0" w:type="dxa"/>
          <w:left w:w="108" w:type="dxa"/>
          <w:bottom w:w="0" w:type="dxa"/>
          <w:right w:w="108" w:type="dxa"/>
        </w:tblCellMar>
      </w:tblPr>
      <w:tblGrid>
        <w:gridCol w:w="2043"/>
        <w:gridCol w:w="3535"/>
        <w:gridCol w:w="2997"/>
      </w:tblGrid>
      <w:tr>
        <w:tblPrEx>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CellMar>
            <w:top w:w="0" w:type="dxa"/>
            <w:left w:w="108" w:type="dxa"/>
            <w:bottom w:w="0" w:type="dxa"/>
            <w:right w:w="108" w:type="dxa"/>
          </w:tblCellMar>
        </w:tblPrEx>
        <w:trPr>
          <w:jc w:val="center"/>
        </w:trPr>
        <w:tc>
          <w:tcPr>
            <w:tcW w:w="2043" w:type="dxa"/>
            <w:tcBorders>
              <w:top w:val="single" w:color="auto" w:sz="8" w:space="0"/>
              <w:left w:val="nil"/>
              <w:bottom w:val="single" w:color="A5A5A5" w:sz="6" w:space="0"/>
              <w:right w:val="nil"/>
            </w:tcBorders>
            <w:shd w:val="clear" w:color="auto" w:fill="auto"/>
          </w:tcPr>
          <w:p>
            <w:pPr>
              <w:rPr>
                <w:rFonts w:ascii="仿宋_GB2312" w:hAnsi="Calibri" w:eastAsia="仿宋_GB2312" w:cs="Times New Roman"/>
                <w:b/>
                <w:kern w:val="0"/>
                <w:sz w:val="24"/>
                <w:szCs w:val="24"/>
              </w:rPr>
            </w:pPr>
            <w:r>
              <w:rPr>
                <w:rFonts w:hint="eastAsia" w:ascii="仿宋_GB2312" w:hAnsi="Calibri" w:eastAsia="仿宋_GB2312" w:cs="仿宋_GB2312"/>
                <w:b/>
                <w:kern w:val="0"/>
                <w:sz w:val="24"/>
                <w:szCs w:val="24"/>
                <w:lang w:bidi="ar"/>
              </w:rPr>
              <w:t>费用类别</w:t>
            </w:r>
          </w:p>
        </w:tc>
        <w:tc>
          <w:tcPr>
            <w:tcW w:w="3535" w:type="dxa"/>
            <w:tcBorders>
              <w:top w:val="single" w:color="auto" w:sz="8" w:space="0"/>
              <w:left w:val="nil"/>
              <w:bottom w:val="single" w:color="A5A5A5" w:sz="6" w:space="0"/>
              <w:right w:val="nil"/>
            </w:tcBorders>
            <w:shd w:val="clear" w:color="auto" w:fill="auto"/>
            <w:vAlign w:val="center"/>
          </w:tcPr>
          <w:p>
            <w:pPr>
              <w:rPr>
                <w:rFonts w:ascii="仿宋_GB2312" w:hAnsi="Calibri" w:eastAsia="仿宋_GB2312" w:cs="Times New Roman"/>
                <w:b/>
                <w:kern w:val="0"/>
                <w:sz w:val="24"/>
                <w:szCs w:val="24"/>
              </w:rPr>
            </w:pPr>
            <w:r>
              <w:rPr>
                <w:rFonts w:hint="eastAsia" w:ascii="仿宋_GB2312" w:hAnsi="宋体" w:eastAsia="仿宋_GB2312" w:cs="仿宋_GB2312"/>
                <w:b/>
                <w:kern w:val="0"/>
                <w:sz w:val="24"/>
                <w:szCs w:val="24"/>
                <w:lang w:bidi="ar"/>
              </w:rPr>
              <w:t>收费方式</w:t>
            </w:r>
            <w:r>
              <w:rPr>
                <w:rFonts w:hint="eastAsia" w:ascii="仿宋_GB2312" w:hAnsi="Calibri" w:eastAsia="仿宋_GB2312" w:cs="仿宋_GB2312"/>
                <w:b/>
                <w:kern w:val="0"/>
                <w:sz w:val="24"/>
                <w:szCs w:val="24"/>
                <w:lang w:bidi="ar"/>
              </w:rPr>
              <w:t>/</w:t>
            </w:r>
            <w:r>
              <w:rPr>
                <w:rFonts w:hint="eastAsia" w:ascii="仿宋_GB2312" w:hAnsi="宋体" w:eastAsia="仿宋_GB2312" w:cs="仿宋_GB2312"/>
                <w:b/>
                <w:kern w:val="0"/>
                <w:sz w:val="24"/>
                <w:szCs w:val="24"/>
                <w:lang w:bidi="ar"/>
              </w:rPr>
              <w:t>年费率或金额</w:t>
            </w:r>
          </w:p>
        </w:tc>
        <w:tc>
          <w:tcPr>
            <w:tcW w:w="2997" w:type="dxa"/>
            <w:tcBorders>
              <w:top w:val="single" w:color="auto" w:sz="8" w:space="0"/>
              <w:left w:val="nil"/>
              <w:bottom w:val="single" w:color="A5A5A5" w:sz="6" w:space="0"/>
              <w:right w:val="nil"/>
            </w:tcBorders>
            <w:shd w:val="clear" w:color="auto" w:fill="auto"/>
            <w:vAlign w:val="center"/>
          </w:tcPr>
          <w:p>
            <w:pPr>
              <w:rPr>
                <w:rFonts w:ascii="仿宋_GB2312" w:hAnsi="宋体" w:eastAsia="仿宋_GB2312" w:cs="宋体"/>
                <w:b/>
                <w:kern w:val="0"/>
                <w:sz w:val="24"/>
                <w:szCs w:val="24"/>
              </w:rPr>
            </w:pPr>
            <w:r>
              <w:rPr>
                <w:rFonts w:hint="eastAsia" w:ascii="仿宋_GB2312" w:hAnsi="宋体" w:eastAsia="仿宋_GB2312" w:cs="仿宋_GB2312"/>
                <w:b/>
                <w:kern w:val="0"/>
                <w:sz w:val="24"/>
                <w:szCs w:val="24"/>
                <w:lang w:bidi="ar"/>
              </w:rPr>
              <w:t>收取方</w:t>
            </w:r>
          </w:p>
        </w:tc>
      </w:tr>
      <w:tr>
        <w:tblPrEx>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CellMar>
            <w:top w:w="0" w:type="dxa"/>
            <w:left w:w="108" w:type="dxa"/>
            <w:bottom w:w="0" w:type="dxa"/>
            <w:right w:w="108" w:type="dxa"/>
          </w:tblCellMar>
        </w:tblPrEx>
        <w:trPr>
          <w:jc w:val="center"/>
        </w:trPr>
        <w:tc>
          <w:tcPr>
            <w:tcW w:w="2043" w:type="dxa"/>
            <w:tcBorders>
              <w:top w:val="single" w:color="A5A5A5" w:sz="6" w:space="0"/>
              <w:left w:val="nil"/>
              <w:bottom w:val="single" w:color="A5A5A5" w:sz="6" w:space="0"/>
              <w:right w:val="nil"/>
            </w:tcBorders>
            <w:shd w:val="clear" w:color="auto" w:fill="auto"/>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管理费</w:t>
            </w:r>
          </w:p>
        </w:tc>
        <w:tc>
          <w:tcPr>
            <w:tcW w:w="3535"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1.2%</w:t>
            </w:r>
          </w:p>
        </w:tc>
        <w:tc>
          <w:tcPr>
            <w:tcW w:w="2997"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基金管理人和销售机构</w:t>
            </w:r>
          </w:p>
        </w:tc>
      </w:tr>
      <w:tr>
        <w:tblPrEx>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CellMar>
            <w:top w:w="0" w:type="dxa"/>
            <w:left w:w="108" w:type="dxa"/>
            <w:bottom w:w="0" w:type="dxa"/>
            <w:right w:w="108" w:type="dxa"/>
          </w:tblCellMar>
        </w:tblPrEx>
        <w:trPr>
          <w:jc w:val="center"/>
        </w:trPr>
        <w:tc>
          <w:tcPr>
            <w:tcW w:w="2043" w:type="dxa"/>
            <w:tcBorders>
              <w:top w:val="single" w:color="A5A5A5" w:sz="6" w:space="0"/>
              <w:left w:val="nil"/>
              <w:bottom w:val="single" w:color="A5A5A5" w:sz="6" w:space="0"/>
              <w:right w:val="nil"/>
            </w:tcBorders>
            <w:shd w:val="clear" w:color="auto" w:fill="auto"/>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托管费</w:t>
            </w:r>
          </w:p>
        </w:tc>
        <w:tc>
          <w:tcPr>
            <w:tcW w:w="3535"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0.2%</w:t>
            </w:r>
          </w:p>
        </w:tc>
        <w:tc>
          <w:tcPr>
            <w:tcW w:w="2997"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基金托管人</w:t>
            </w:r>
          </w:p>
        </w:tc>
      </w:tr>
      <w:tr>
        <w:tblPrEx>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CellMar>
            <w:top w:w="0" w:type="dxa"/>
            <w:left w:w="108" w:type="dxa"/>
            <w:bottom w:w="0" w:type="dxa"/>
            <w:right w:w="108" w:type="dxa"/>
          </w:tblCellMar>
        </w:tblPrEx>
        <w:trPr>
          <w:jc w:val="center"/>
        </w:trPr>
        <w:tc>
          <w:tcPr>
            <w:tcW w:w="2043" w:type="dxa"/>
            <w:tcBorders>
              <w:top w:val="single" w:color="A5A5A5" w:sz="6" w:space="0"/>
              <w:left w:val="nil"/>
              <w:bottom w:val="single" w:color="A5A5A5" w:sz="6" w:space="0"/>
              <w:right w:val="nil"/>
            </w:tcBorders>
            <w:shd w:val="clear" w:color="auto" w:fill="auto"/>
          </w:tcPr>
          <w:p>
            <w:pPr>
              <w:jc w:val="left"/>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销售服务费</w:t>
            </w:r>
          </w:p>
        </w:tc>
        <w:tc>
          <w:tcPr>
            <w:tcW w:w="3535"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0.</w:t>
            </w:r>
            <w:r>
              <w:rPr>
                <w:rFonts w:ascii="仿宋_GB2312" w:hAnsi="Calibri" w:eastAsia="仿宋_GB2312" w:cs="仿宋_GB2312"/>
                <w:kern w:val="0"/>
                <w:sz w:val="24"/>
                <w:szCs w:val="24"/>
                <w:lang w:bidi="ar"/>
              </w:rPr>
              <w:t>4</w:t>
            </w:r>
            <w:r>
              <w:rPr>
                <w:rFonts w:hint="eastAsia" w:ascii="仿宋_GB2312" w:hAnsi="Calibri" w:eastAsia="仿宋_GB2312" w:cs="仿宋_GB2312"/>
                <w:kern w:val="0"/>
                <w:sz w:val="24"/>
                <w:szCs w:val="24"/>
                <w:lang w:bidi="ar"/>
              </w:rPr>
              <w:t>%</w:t>
            </w:r>
          </w:p>
        </w:tc>
        <w:tc>
          <w:tcPr>
            <w:tcW w:w="2997"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销售机构</w:t>
            </w:r>
          </w:p>
        </w:tc>
      </w:tr>
      <w:tr>
        <w:tblPrEx>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CellMar>
            <w:top w:w="0" w:type="dxa"/>
            <w:left w:w="108" w:type="dxa"/>
            <w:bottom w:w="0" w:type="dxa"/>
            <w:right w:w="108" w:type="dxa"/>
          </w:tblCellMar>
        </w:tblPrEx>
        <w:trPr>
          <w:jc w:val="center"/>
        </w:trPr>
        <w:tc>
          <w:tcPr>
            <w:tcW w:w="2043" w:type="dxa"/>
            <w:tcBorders>
              <w:top w:val="single" w:color="A5A5A5" w:sz="6" w:space="0"/>
              <w:left w:val="nil"/>
              <w:bottom w:val="single" w:color="A5A5A5" w:sz="6" w:space="0"/>
              <w:right w:val="nil"/>
            </w:tcBorders>
            <w:shd w:val="clear" w:color="auto" w:fill="auto"/>
          </w:tcPr>
          <w:p>
            <w:pPr>
              <w:jc w:val="left"/>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审计费用</w:t>
            </w:r>
          </w:p>
        </w:tc>
        <w:tc>
          <w:tcPr>
            <w:tcW w:w="3535"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w:t>
            </w:r>
          </w:p>
        </w:tc>
        <w:tc>
          <w:tcPr>
            <w:tcW w:w="2997"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会计师事务所</w:t>
            </w:r>
          </w:p>
        </w:tc>
      </w:tr>
      <w:tr>
        <w:tblPrEx>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CellMar>
            <w:top w:w="0" w:type="dxa"/>
            <w:left w:w="108" w:type="dxa"/>
            <w:bottom w:w="0" w:type="dxa"/>
            <w:right w:w="108" w:type="dxa"/>
          </w:tblCellMar>
        </w:tblPrEx>
        <w:trPr>
          <w:jc w:val="center"/>
        </w:trPr>
        <w:tc>
          <w:tcPr>
            <w:tcW w:w="2043" w:type="dxa"/>
            <w:tcBorders>
              <w:top w:val="single" w:color="A5A5A5" w:sz="6" w:space="0"/>
              <w:left w:val="nil"/>
              <w:bottom w:val="single" w:color="A5A5A5" w:sz="6" w:space="0"/>
              <w:right w:val="nil"/>
            </w:tcBorders>
            <w:shd w:val="clear" w:color="auto" w:fill="auto"/>
          </w:tcPr>
          <w:p>
            <w:pPr>
              <w:jc w:val="left"/>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信息披露费</w:t>
            </w:r>
          </w:p>
        </w:tc>
        <w:tc>
          <w:tcPr>
            <w:tcW w:w="3535"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w:t>
            </w:r>
          </w:p>
        </w:tc>
        <w:tc>
          <w:tcPr>
            <w:tcW w:w="2997"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规定披露报刊</w:t>
            </w:r>
          </w:p>
        </w:tc>
      </w:tr>
      <w:tr>
        <w:tblPrEx>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CellMar>
            <w:top w:w="0" w:type="dxa"/>
            <w:left w:w="108" w:type="dxa"/>
            <w:bottom w:w="0" w:type="dxa"/>
            <w:right w:w="108" w:type="dxa"/>
          </w:tblCellMar>
        </w:tblPrEx>
        <w:trPr>
          <w:jc w:val="center"/>
        </w:trPr>
        <w:tc>
          <w:tcPr>
            <w:tcW w:w="2043" w:type="dxa"/>
            <w:tcBorders>
              <w:top w:val="single" w:color="A5A5A5" w:sz="6" w:space="0"/>
              <w:left w:val="nil"/>
              <w:bottom w:val="single" w:color="A5A5A5" w:sz="6" w:space="0"/>
              <w:right w:val="nil"/>
            </w:tcBorders>
            <w:shd w:val="clear" w:color="auto" w:fill="auto"/>
          </w:tcPr>
          <w:p>
            <w:pPr>
              <w:jc w:val="left"/>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指数许可使用费</w:t>
            </w:r>
          </w:p>
        </w:tc>
        <w:tc>
          <w:tcPr>
            <w:tcW w:w="3535"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w:t>
            </w:r>
          </w:p>
        </w:tc>
        <w:tc>
          <w:tcPr>
            <w:tcW w:w="2997"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指数编制公司</w:t>
            </w:r>
          </w:p>
        </w:tc>
      </w:tr>
      <w:tr>
        <w:tblPrEx>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CellMar>
            <w:top w:w="0" w:type="dxa"/>
            <w:left w:w="108" w:type="dxa"/>
            <w:bottom w:w="0" w:type="dxa"/>
            <w:right w:w="108" w:type="dxa"/>
          </w:tblCellMar>
        </w:tblPrEx>
        <w:trPr>
          <w:jc w:val="center"/>
        </w:trPr>
        <w:tc>
          <w:tcPr>
            <w:tcW w:w="2043" w:type="dxa"/>
            <w:tcBorders>
              <w:top w:val="single" w:color="A5A5A5" w:sz="6" w:space="0"/>
              <w:left w:val="nil"/>
              <w:bottom w:val="single" w:color="auto" w:sz="8" w:space="0"/>
              <w:right w:val="nil"/>
            </w:tcBorders>
            <w:shd w:val="clear" w:color="auto" w:fill="auto"/>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其他费用</w:t>
            </w:r>
          </w:p>
        </w:tc>
        <w:tc>
          <w:tcPr>
            <w:tcW w:w="3535" w:type="dxa"/>
            <w:tcBorders>
              <w:top w:val="single" w:color="A5A5A5" w:sz="6" w:space="0"/>
              <w:left w:val="nil"/>
              <w:bottom w:val="single" w:color="auto" w:sz="8"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详见本基金招募说明书“基金的费用与税收”部分</w:t>
            </w:r>
          </w:p>
        </w:tc>
        <w:tc>
          <w:tcPr>
            <w:tcW w:w="2997" w:type="dxa"/>
            <w:tcBorders>
              <w:top w:val="single" w:color="A5A5A5" w:sz="6" w:space="0"/>
              <w:left w:val="nil"/>
              <w:bottom w:val="single" w:color="auto" w:sz="8" w:space="0"/>
              <w:right w:val="nil"/>
            </w:tcBorders>
            <w:shd w:val="clear" w:color="auto" w:fill="auto"/>
            <w:vAlign w:val="center"/>
          </w:tcPr>
          <w:p>
            <w:pPr>
              <w:rPr>
                <w:rFonts w:ascii="仿宋_GB2312" w:hAnsi="Calibri" w:eastAsia="仿宋_GB2312" w:cs="Times New Roman"/>
                <w:kern w:val="0"/>
                <w:sz w:val="24"/>
                <w:szCs w:val="24"/>
              </w:rPr>
            </w:pPr>
          </w:p>
        </w:tc>
      </w:tr>
    </w:tbl>
    <w:p>
      <w:pPr>
        <w:jc w:val="left"/>
        <w:rPr>
          <w:rFonts w:ascii="仿宋_GB2312" w:eastAsia="仿宋_GB2312"/>
          <w:sz w:val="24"/>
          <w:szCs w:val="24"/>
        </w:rPr>
      </w:pPr>
      <w:r>
        <w:rPr>
          <w:rFonts w:hint="eastAsia" w:ascii="仿宋_GB2312" w:eastAsia="仿宋_GB2312"/>
          <w:sz w:val="24"/>
          <w:szCs w:val="24"/>
        </w:rPr>
        <w:t>注：1、通过直销机构认购/申购的C类基金份额，计提的销售服务费将在投资人赎回相应基金份额或基金合同终止时随赎回款或清算款一并返还给投资人；通过其他销售机构认购/申购的C类基金份额，持续持有超过一年后计提的销售服务费将在投资人赎回相应基金份额或基金合同终止时随赎回款或清算款一并返还给投资人。2、本基金交易证券、基金等产生的费用和税负，按实际发生额从基金资产扣除。</w:t>
      </w:r>
    </w:p>
    <w:p>
      <w:pPr>
        <w:jc w:val="left"/>
        <w:outlineLvl w:val="0"/>
        <w:rPr>
          <w:rFonts w:ascii="仿宋_GB2312" w:hAnsi="宋体" w:eastAsia="仿宋_GB2312" w:cs="宋体"/>
          <w:b/>
          <w:kern w:val="0"/>
          <w:sz w:val="24"/>
          <w:szCs w:val="24"/>
        </w:rPr>
      </w:pPr>
      <w:r>
        <w:rPr>
          <w:rFonts w:hint="eastAsia" w:ascii="仿宋_GB2312" w:hAnsi="宋体" w:eastAsia="仿宋_GB2312" w:cs="宋体"/>
          <w:b/>
          <w:kern w:val="0"/>
          <w:sz w:val="24"/>
          <w:szCs w:val="24"/>
        </w:rPr>
        <w:t>四、风险揭示与重要提示</w:t>
      </w:r>
    </w:p>
    <w:p>
      <w:pPr>
        <w:jc w:val="left"/>
        <w:outlineLvl w:val="1"/>
        <w:rPr>
          <w:rFonts w:ascii="仿宋_GB2312" w:eastAsia="仿宋_GB2312"/>
          <w:b/>
          <w:sz w:val="24"/>
          <w:szCs w:val="24"/>
        </w:rPr>
      </w:pPr>
      <w:r>
        <w:rPr>
          <w:rFonts w:hint="eastAsia" w:ascii="仿宋_GB2312" w:eastAsia="仿宋_GB2312"/>
          <w:b/>
          <w:sz w:val="24"/>
          <w:szCs w:val="24"/>
        </w:rPr>
        <w:t>（一）风险揭示</w:t>
      </w:r>
    </w:p>
    <w:p>
      <w:pPr>
        <w:ind w:firstLine="480" w:firstLineChars="200"/>
        <w:rPr>
          <w:rFonts w:ascii="仿宋_GB2312" w:eastAsia="仿宋_GB2312"/>
          <w:sz w:val="24"/>
          <w:szCs w:val="24"/>
        </w:rPr>
      </w:pPr>
      <w:r>
        <w:rPr>
          <w:rFonts w:hint="eastAsia" w:ascii="仿宋_GB2312" w:eastAsia="仿宋_GB2312"/>
          <w:sz w:val="24"/>
          <w:szCs w:val="24"/>
        </w:rPr>
        <w:t>本基金不提供任何保证。投资者可能损失投资本金。</w:t>
      </w:r>
    </w:p>
    <w:p>
      <w:pPr>
        <w:ind w:firstLine="480" w:firstLineChars="200"/>
        <w:rPr>
          <w:rFonts w:ascii="仿宋_GB2312" w:eastAsia="仿宋_GB2312"/>
          <w:sz w:val="24"/>
          <w:szCs w:val="24"/>
        </w:rPr>
      </w:pPr>
      <w:r>
        <w:rPr>
          <w:rFonts w:hint="eastAsia" w:ascii="仿宋_GB2312" w:eastAsia="仿宋_GB2312"/>
          <w:sz w:val="24"/>
          <w:szCs w:val="24"/>
        </w:rPr>
        <w:t>投资有风险，投资者购买基金时应认真阅读本基金的《招募说明书》等销售文件。</w:t>
      </w:r>
    </w:p>
    <w:p>
      <w:pPr>
        <w:ind w:firstLine="480" w:firstLineChars="200"/>
        <w:rPr>
          <w:rFonts w:ascii="仿宋_GB2312" w:eastAsia="仿宋_GB2312"/>
          <w:sz w:val="24"/>
          <w:szCs w:val="24"/>
        </w:rPr>
      </w:pPr>
      <w:r>
        <w:rPr>
          <w:rFonts w:hint="eastAsia" w:ascii="仿宋_GB2312" w:eastAsia="仿宋_GB2312"/>
          <w:sz w:val="24"/>
          <w:szCs w:val="24"/>
        </w:rPr>
        <w:t>基金份额持有人须了解并承受以下风险：</w:t>
      </w:r>
    </w:p>
    <w:p>
      <w:pPr>
        <w:ind w:firstLine="420"/>
        <w:outlineLvl w:val="2"/>
        <w:rPr>
          <w:rFonts w:ascii="仿宋_GB2312" w:eastAsia="仿宋_GB2312"/>
          <w:sz w:val="24"/>
          <w:szCs w:val="24"/>
        </w:rPr>
      </w:pPr>
      <w:r>
        <w:rPr>
          <w:rFonts w:hint="eastAsia" w:ascii="仿宋_GB2312" w:eastAsia="仿宋_GB2312"/>
          <w:sz w:val="24"/>
          <w:szCs w:val="24"/>
        </w:rPr>
        <w:t>1、市场风险</w:t>
      </w:r>
    </w:p>
    <w:p>
      <w:pPr>
        <w:ind w:firstLine="420"/>
        <w:outlineLvl w:val="2"/>
        <w:rPr>
          <w:rFonts w:ascii="仿宋_GB2312" w:eastAsia="仿宋_GB2312"/>
          <w:sz w:val="24"/>
          <w:szCs w:val="24"/>
        </w:rPr>
      </w:pPr>
      <w:r>
        <w:rPr>
          <w:rFonts w:hint="eastAsia" w:ascii="仿宋_GB2312" w:eastAsia="仿宋_GB2312"/>
          <w:sz w:val="24"/>
          <w:szCs w:val="24"/>
        </w:rPr>
        <w:t>（1）政策风险（2）经济周期风险（3）利率风险（4）上市公司经营风险（5）购买力风险</w:t>
      </w:r>
    </w:p>
    <w:p>
      <w:pPr>
        <w:ind w:firstLine="420"/>
        <w:outlineLvl w:val="2"/>
        <w:rPr>
          <w:rFonts w:ascii="仿宋_GB2312" w:eastAsia="仿宋_GB2312"/>
          <w:sz w:val="24"/>
          <w:szCs w:val="24"/>
        </w:rPr>
      </w:pPr>
      <w:r>
        <w:rPr>
          <w:rFonts w:hint="eastAsia" w:ascii="仿宋_GB2312" w:eastAsia="仿宋_GB2312"/>
          <w:sz w:val="24"/>
          <w:szCs w:val="24"/>
        </w:rPr>
        <w:t>2、管理风险</w:t>
      </w:r>
    </w:p>
    <w:p>
      <w:pPr>
        <w:ind w:firstLine="420"/>
        <w:outlineLvl w:val="2"/>
        <w:rPr>
          <w:rFonts w:ascii="仿宋_GB2312" w:eastAsia="仿宋_GB2312"/>
          <w:sz w:val="24"/>
          <w:szCs w:val="24"/>
        </w:rPr>
      </w:pPr>
      <w:r>
        <w:rPr>
          <w:rFonts w:hint="eastAsia" w:ascii="仿宋_GB2312" w:eastAsia="仿宋_GB2312"/>
          <w:sz w:val="24"/>
          <w:szCs w:val="24"/>
        </w:rPr>
        <w:t>3、流动性风险</w:t>
      </w:r>
    </w:p>
    <w:p>
      <w:pPr>
        <w:ind w:firstLine="420"/>
        <w:outlineLvl w:val="2"/>
        <w:rPr>
          <w:rFonts w:ascii="仿宋_GB2312" w:eastAsia="仿宋_GB2312"/>
          <w:sz w:val="24"/>
          <w:szCs w:val="24"/>
        </w:rPr>
      </w:pPr>
      <w:r>
        <w:rPr>
          <w:rFonts w:hint="eastAsia" w:ascii="仿宋_GB2312" w:eastAsia="仿宋_GB2312"/>
          <w:sz w:val="24"/>
          <w:szCs w:val="24"/>
        </w:rPr>
        <w:t>4、信用风险</w:t>
      </w:r>
    </w:p>
    <w:p>
      <w:pPr>
        <w:ind w:firstLine="420"/>
        <w:outlineLvl w:val="2"/>
        <w:rPr>
          <w:rFonts w:ascii="仿宋_GB2312" w:eastAsia="仿宋_GB2312"/>
          <w:sz w:val="24"/>
          <w:szCs w:val="24"/>
        </w:rPr>
      </w:pPr>
      <w:r>
        <w:rPr>
          <w:rFonts w:hint="eastAsia" w:ascii="仿宋_GB2312" w:eastAsia="仿宋_GB2312"/>
          <w:sz w:val="24"/>
          <w:szCs w:val="24"/>
        </w:rPr>
        <w:t>5、本基金的特有风险</w:t>
      </w:r>
    </w:p>
    <w:p>
      <w:pPr>
        <w:ind w:firstLine="420"/>
        <w:outlineLvl w:val="2"/>
        <w:rPr>
          <w:rFonts w:ascii="仿宋_GB2312" w:eastAsia="仿宋_GB2312"/>
          <w:sz w:val="24"/>
          <w:szCs w:val="24"/>
        </w:rPr>
      </w:pPr>
      <w:r>
        <w:rPr>
          <w:rFonts w:hint="eastAsia" w:ascii="仿宋_GB2312" w:eastAsia="仿宋_GB2312"/>
          <w:sz w:val="24"/>
          <w:szCs w:val="24"/>
        </w:rPr>
        <w:t>（1）本基金属于混合型基金，因此股市、债市的变化将影响到本基金的业绩表现。本基金管理人将发挥专业研究优势，持续优化组合配置，以控制特定风险。</w:t>
      </w:r>
    </w:p>
    <w:p>
      <w:pPr>
        <w:ind w:firstLine="420"/>
        <w:outlineLvl w:val="2"/>
        <w:rPr>
          <w:rFonts w:ascii="仿宋_GB2312" w:eastAsia="仿宋_GB2312"/>
          <w:sz w:val="24"/>
          <w:szCs w:val="24"/>
        </w:rPr>
      </w:pPr>
      <w:r>
        <w:rPr>
          <w:rFonts w:hint="eastAsia" w:ascii="仿宋_GB2312" w:eastAsia="仿宋_GB2312"/>
          <w:sz w:val="24"/>
          <w:szCs w:val="24"/>
        </w:rPr>
        <w:t>（</w:t>
      </w:r>
      <w:r>
        <w:rPr>
          <w:rFonts w:ascii="仿宋_GB2312" w:eastAsia="仿宋_GB2312"/>
          <w:sz w:val="24"/>
          <w:szCs w:val="24"/>
        </w:rPr>
        <w:t>2</w:t>
      </w:r>
      <w:r>
        <w:rPr>
          <w:rFonts w:hint="eastAsia" w:ascii="仿宋_GB2312" w:eastAsia="仿宋_GB2312"/>
          <w:sz w:val="24"/>
          <w:szCs w:val="24"/>
        </w:rPr>
        <w:t>）本基金可投资创业板股票，创业板个股上市后的前五个交易日不设价格涨跌幅限制，第六个交易日开始涨跌幅限制比例为20%。</w:t>
      </w:r>
    </w:p>
    <w:p>
      <w:pPr>
        <w:ind w:firstLine="420"/>
        <w:outlineLvl w:val="2"/>
        <w:rPr>
          <w:rFonts w:ascii="仿宋_GB2312" w:eastAsia="仿宋_GB2312"/>
          <w:sz w:val="24"/>
          <w:szCs w:val="24"/>
        </w:rPr>
      </w:pPr>
      <w:r>
        <w:rPr>
          <w:rFonts w:hint="eastAsia" w:ascii="仿宋_GB2312" w:eastAsia="仿宋_GB2312"/>
          <w:sz w:val="24"/>
          <w:szCs w:val="24"/>
        </w:rPr>
        <w:t>（3）投资股指期货的特定风险</w:t>
      </w:r>
    </w:p>
    <w:p>
      <w:pPr>
        <w:ind w:firstLine="420"/>
        <w:outlineLvl w:val="2"/>
        <w:rPr>
          <w:rFonts w:ascii="仿宋_GB2312" w:eastAsia="仿宋_GB2312"/>
          <w:sz w:val="24"/>
          <w:szCs w:val="24"/>
        </w:rPr>
      </w:pPr>
      <w:r>
        <w:rPr>
          <w:rFonts w:hint="eastAsia" w:ascii="仿宋_GB2312" w:eastAsia="仿宋_GB2312"/>
          <w:sz w:val="24"/>
          <w:szCs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outlineLvl w:val="2"/>
        <w:rPr>
          <w:rFonts w:ascii="仿宋_GB2312" w:eastAsia="仿宋_GB2312"/>
          <w:sz w:val="24"/>
          <w:szCs w:val="24"/>
        </w:rPr>
      </w:pPr>
      <w:r>
        <w:rPr>
          <w:rFonts w:hint="eastAsia" w:ascii="仿宋_GB2312" w:eastAsia="仿宋_GB2312"/>
          <w:sz w:val="24"/>
          <w:szCs w:val="24"/>
        </w:rPr>
        <w:t>（4）投资资产支持证券的特定风险</w:t>
      </w:r>
    </w:p>
    <w:p>
      <w:pPr>
        <w:ind w:firstLine="420"/>
        <w:outlineLvl w:val="2"/>
        <w:rPr>
          <w:rFonts w:ascii="仿宋_GB2312" w:eastAsia="仿宋_GB2312"/>
          <w:sz w:val="24"/>
          <w:szCs w:val="24"/>
        </w:rPr>
      </w:pPr>
      <w:r>
        <w:rPr>
          <w:rFonts w:hint="eastAsia" w:ascii="仿宋_GB2312" w:eastAsia="仿宋_GB2312"/>
          <w:sz w:val="24"/>
          <w:szCs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outlineLvl w:val="2"/>
        <w:rPr>
          <w:rFonts w:ascii="仿宋_GB2312" w:eastAsia="仿宋_GB2312"/>
          <w:sz w:val="24"/>
          <w:szCs w:val="24"/>
        </w:rPr>
      </w:pPr>
      <w:r>
        <w:rPr>
          <w:rFonts w:hint="eastAsia" w:ascii="仿宋_GB2312" w:eastAsia="仿宋_GB2312"/>
          <w:sz w:val="24"/>
          <w:szCs w:val="24"/>
        </w:rPr>
        <w:t>（5）投资流通受限证券的特定风险</w:t>
      </w:r>
    </w:p>
    <w:p>
      <w:pPr>
        <w:ind w:firstLine="420"/>
        <w:outlineLvl w:val="2"/>
        <w:rPr>
          <w:rFonts w:ascii="仿宋_GB2312" w:eastAsia="仿宋_GB2312"/>
          <w:sz w:val="24"/>
          <w:szCs w:val="24"/>
        </w:rPr>
      </w:pPr>
      <w:r>
        <w:rPr>
          <w:rFonts w:hint="eastAsia" w:ascii="仿宋_GB2312" w:eastAsia="仿宋_GB2312"/>
          <w:sz w:val="24"/>
          <w:szCs w:val="24"/>
        </w:rPr>
        <w:t>本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outlineLvl w:val="2"/>
        <w:rPr>
          <w:rFonts w:ascii="仿宋_GB2312" w:eastAsia="仿宋_GB2312"/>
          <w:sz w:val="24"/>
          <w:szCs w:val="24"/>
        </w:rPr>
      </w:pPr>
      <w:r>
        <w:rPr>
          <w:rFonts w:hint="eastAsia" w:ascii="仿宋_GB2312" w:eastAsia="仿宋_GB2312"/>
          <w:sz w:val="24"/>
          <w:szCs w:val="24"/>
        </w:rPr>
        <w:t>（6）投资港股通标的股票的特定风险</w:t>
      </w:r>
    </w:p>
    <w:p>
      <w:pPr>
        <w:ind w:firstLine="420"/>
        <w:outlineLvl w:val="2"/>
        <w:rPr>
          <w:rFonts w:ascii="仿宋_GB2312" w:eastAsia="仿宋_GB2312"/>
          <w:sz w:val="24"/>
          <w:szCs w:val="24"/>
        </w:rPr>
      </w:pPr>
      <w:r>
        <w:rPr>
          <w:rFonts w:hint="eastAsia" w:ascii="仿宋_GB2312" w:eastAsia="仿宋_GB2312"/>
          <w:sz w:val="24"/>
          <w:szCs w:val="24"/>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outlineLvl w:val="2"/>
        <w:rPr>
          <w:rFonts w:ascii="仿宋_GB2312" w:eastAsia="仿宋_GB2312"/>
          <w:sz w:val="24"/>
          <w:szCs w:val="24"/>
        </w:rPr>
      </w:pPr>
      <w:r>
        <w:rPr>
          <w:rFonts w:hint="eastAsia" w:ascii="仿宋_GB2312" w:eastAsia="仿宋_GB2312"/>
          <w:sz w:val="24"/>
          <w:szCs w:val="24"/>
        </w:rPr>
        <w:t>（7）投资存托凭证的特定风险</w:t>
      </w:r>
    </w:p>
    <w:p>
      <w:pPr>
        <w:ind w:firstLine="420"/>
        <w:outlineLvl w:val="2"/>
        <w:rPr>
          <w:rFonts w:ascii="仿宋_GB2312" w:eastAsia="仿宋_GB2312"/>
          <w:sz w:val="24"/>
          <w:szCs w:val="24"/>
        </w:rPr>
      </w:pPr>
      <w:r>
        <w:rPr>
          <w:rFonts w:hint="eastAsia" w:ascii="仿宋_GB2312" w:eastAsia="仿宋_GB2312"/>
          <w:sz w:val="24"/>
          <w:szCs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outlineLvl w:val="2"/>
        <w:rPr>
          <w:rFonts w:ascii="仿宋_GB2312" w:eastAsia="仿宋_GB2312"/>
          <w:sz w:val="24"/>
          <w:szCs w:val="24"/>
        </w:rPr>
      </w:pPr>
      <w:r>
        <w:rPr>
          <w:rFonts w:hint="eastAsia" w:ascii="仿宋_GB2312" w:eastAsia="仿宋_GB2312"/>
          <w:sz w:val="24"/>
          <w:szCs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outlineLvl w:val="2"/>
        <w:rPr>
          <w:rFonts w:ascii="仿宋_GB2312" w:eastAsia="仿宋_GB2312"/>
          <w:sz w:val="24"/>
          <w:szCs w:val="24"/>
        </w:rPr>
      </w:pPr>
      <w:r>
        <w:rPr>
          <w:rFonts w:hint="eastAsia" w:ascii="仿宋_GB2312" w:eastAsia="仿宋_GB2312"/>
          <w:sz w:val="24"/>
          <w:szCs w:val="24"/>
        </w:rPr>
        <w:t>本基金可根据投资策略需要或市场环境的变化，选择将部分基金资产投资于存托凭证或选择不将基金资产投资于存托凭证，基金资产并非必然投资存托凭证。</w:t>
      </w:r>
    </w:p>
    <w:p>
      <w:pPr>
        <w:ind w:firstLine="420"/>
        <w:outlineLvl w:val="2"/>
        <w:rPr>
          <w:rFonts w:ascii="仿宋_GB2312" w:eastAsia="仿宋_GB2312"/>
          <w:sz w:val="24"/>
          <w:szCs w:val="24"/>
        </w:rPr>
      </w:pPr>
      <w:r>
        <w:rPr>
          <w:rFonts w:hint="eastAsia" w:ascii="仿宋_GB2312" w:eastAsia="仿宋_GB2312"/>
          <w:sz w:val="24"/>
          <w:szCs w:val="24"/>
        </w:rPr>
        <w:t>（</w:t>
      </w:r>
      <w:r>
        <w:rPr>
          <w:rFonts w:ascii="仿宋_GB2312" w:eastAsia="仿宋_GB2312"/>
          <w:sz w:val="24"/>
          <w:szCs w:val="24"/>
        </w:rPr>
        <w:t>8</w:t>
      </w:r>
      <w:r>
        <w:rPr>
          <w:rFonts w:hint="eastAsia" w:ascii="仿宋_GB2312" w:eastAsia="仿宋_GB2312"/>
          <w:sz w:val="24"/>
          <w:szCs w:val="24"/>
        </w:rPr>
        <w:t>）投资科创板股票的特定风险</w:t>
      </w:r>
    </w:p>
    <w:p>
      <w:pPr>
        <w:ind w:firstLine="420"/>
        <w:outlineLvl w:val="2"/>
        <w:rPr>
          <w:rFonts w:ascii="仿宋_GB2312" w:eastAsia="仿宋_GB2312"/>
          <w:sz w:val="24"/>
          <w:szCs w:val="24"/>
        </w:rPr>
      </w:pPr>
      <w:r>
        <w:rPr>
          <w:rFonts w:hint="eastAsia" w:ascii="仿宋_GB2312" w:eastAsia="仿宋_GB2312"/>
          <w:sz w:val="24"/>
          <w:szCs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outlineLvl w:val="2"/>
        <w:rPr>
          <w:rFonts w:ascii="仿宋_GB2312" w:eastAsia="仿宋_GB2312"/>
          <w:sz w:val="24"/>
          <w:szCs w:val="24"/>
        </w:rPr>
      </w:pPr>
      <w:r>
        <w:rPr>
          <w:rFonts w:hint="eastAsia" w:ascii="仿宋_GB2312" w:eastAsia="仿宋_GB2312"/>
          <w:sz w:val="24"/>
          <w:szCs w:val="24"/>
        </w:rPr>
        <w:t>（9）采用量化策略进行投资管理可能引致的特定风险</w:t>
      </w:r>
    </w:p>
    <w:p>
      <w:pPr>
        <w:ind w:firstLine="420"/>
        <w:outlineLvl w:val="2"/>
        <w:rPr>
          <w:rFonts w:ascii="仿宋_GB2312" w:eastAsia="仿宋_GB2312"/>
          <w:sz w:val="24"/>
          <w:szCs w:val="24"/>
        </w:rPr>
      </w:pPr>
      <w:r>
        <w:rPr>
          <w:rFonts w:hint="eastAsia" w:ascii="仿宋_GB2312" w:eastAsia="仿宋_GB2312"/>
          <w:sz w:val="24"/>
          <w:szCs w:val="24"/>
        </w:rPr>
        <w:t>本基金主要利用定量投资模型重点投资于本基金界定的红利主题相关股票，其以广泛覆盖各类信息源的数据库为基础，包括宏观经济数据、行业经济数据、证券与期货交易行情数据、上市公司财务数据等。这些数据通常来源于不同的数据提供商，并且因为不同的需要，在数据加工过程中可能遵循不同的规范。基金管理人所建立量化模型将以加工后的数据作为输入，因此，源数据错误或预处理过程中出现的错误可能直接影响量化模型的输出结果，形成数据风险。</w:t>
      </w:r>
    </w:p>
    <w:p>
      <w:pPr>
        <w:ind w:firstLine="420"/>
        <w:outlineLvl w:val="2"/>
        <w:rPr>
          <w:rFonts w:ascii="仿宋_GB2312" w:eastAsia="仿宋_GB2312"/>
          <w:sz w:val="24"/>
          <w:szCs w:val="24"/>
        </w:rPr>
      </w:pPr>
      <w:r>
        <w:rPr>
          <w:rFonts w:hint="eastAsia" w:ascii="仿宋_GB2312" w:eastAsia="仿宋_GB2312"/>
          <w:sz w:val="24"/>
          <w:szCs w:val="24"/>
        </w:rPr>
        <w:t>此外，由于本基金采用量化模型指导投资决策，因此定量方法的缺陷在一定程度上也会影响本基金的表现。一方面，面对不断变换的市场环境，量化投资策略所遵循的模型理论均处于不断发展和完善的过程中；另一方面，在定量模型的具体设定中，核心参数假定的变动均可能影响整体效果的稳定性；最后，定量模型存在对历史数据的依赖。因此，在实际运作过程中，市场环境的变化可能导致遵循量化模型构建的投资组合在一定程度上无法达到预期的投资效果。</w:t>
      </w:r>
    </w:p>
    <w:p>
      <w:pPr>
        <w:ind w:firstLine="420"/>
        <w:outlineLvl w:val="2"/>
        <w:rPr>
          <w:rFonts w:ascii="仿宋_GB2312" w:eastAsia="仿宋_GB2312"/>
          <w:sz w:val="24"/>
          <w:szCs w:val="24"/>
        </w:rPr>
      </w:pPr>
      <w:r>
        <w:rPr>
          <w:rFonts w:ascii="仿宋_GB2312" w:eastAsia="仿宋_GB2312"/>
          <w:sz w:val="24"/>
          <w:szCs w:val="24"/>
        </w:rPr>
        <w:t>6</w:t>
      </w:r>
      <w:r>
        <w:rPr>
          <w:rFonts w:hint="eastAsia" w:ascii="仿宋_GB2312" w:eastAsia="仿宋_GB2312"/>
          <w:sz w:val="24"/>
          <w:szCs w:val="24"/>
        </w:rPr>
        <w:t>、本基金法律文件风险收益特征表述与销售机构基金风险评价可能不一致的风险</w:t>
      </w:r>
    </w:p>
    <w:p>
      <w:pPr>
        <w:ind w:firstLine="420"/>
        <w:outlineLvl w:val="2"/>
        <w:rPr>
          <w:rFonts w:ascii="仿宋_GB2312" w:eastAsia="仿宋_GB2312"/>
          <w:sz w:val="24"/>
          <w:szCs w:val="24"/>
        </w:rPr>
      </w:pPr>
      <w:r>
        <w:rPr>
          <w:rFonts w:hint="eastAsia" w:ascii="仿宋_GB2312" w:eastAsia="仿宋_GB2312"/>
          <w:sz w:val="24"/>
          <w:szCs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outlineLvl w:val="2"/>
        <w:rPr>
          <w:rFonts w:ascii="仿宋_GB2312" w:eastAsia="仿宋_GB2312"/>
          <w:sz w:val="24"/>
          <w:szCs w:val="24"/>
        </w:rPr>
      </w:pPr>
      <w:r>
        <w:rPr>
          <w:rFonts w:ascii="仿宋_GB2312" w:eastAsia="仿宋_GB2312"/>
          <w:sz w:val="24"/>
          <w:szCs w:val="24"/>
        </w:rPr>
        <w:t>7</w:t>
      </w:r>
      <w:r>
        <w:rPr>
          <w:rFonts w:hint="eastAsia" w:ascii="仿宋_GB2312" w:eastAsia="仿宋_GB2312"/>
          <w:sz w:val="24"/>
          <w:szCs w:val="24"/>
        </w:rPr>
        <w:t>、其他风险</w:t>
      </w:r>
    </w:p>
    <w:p>
      <w:pPr>
        <w:outlineLvl w:val="1"/>
        <w:rPr>
          <w:rFonts w:ascii="仿宋_GB2312" w:eastAsia="仿宋_GB2312"/>
          <w:b/>
          <w:sz w:val="24"/>
          <w:szCs w:val="24"/>
        </w:rPr>
      </w:pPr>
      <w:r>
        <w:rPr>
          <w:rFonts w:hint="eastAsia" w:ascii="仿宋_GB2312" w:eastAsia="仿宋_GB2312"/>
          <w:b/>
          <w:sz w:val="24"/>
          <w:szCs w:val="24"/>
        </w:rPr>
        <w:t>（二）重要提示</w:t>
      </w:r>
    </w:p>
    <w:p>
      <w:pPr>
        <w:ind w:firstLine="420"/>
        <w:rPr>
          <w:rFonts w:ascii="仿宋_GB2312" w:eastAsia="仿宋_GB2312"/>
          <w:sz w:val="24"/>
          <w:szCs w:val="24"/>
        </w:rPr>
      </w:pPr>
      <w:r>
        <w:rPr>
          <w:rFonts w:hint="eastAsia" w:ascii="仿宋_GB2312" w:eastAsia="仿宋_GB2312"/>
          <w:sz w:val="24"/>
          <w:szCs w:val="24"/>
        </w:rPr>
        <w:t>中国证监会对本基金募集的核准或注册，并不表明其对本基金的价值和收益作出实质性判断或保证，也不表明投资于本基金没有风险。</w:t>
      </w:r>
    </w:p>
    <w:p>
      <w:pPr>
        <w:ind w:firstLine="420"/>
        <w:rPr>
          <w:rFonts w:ascii="仿宋_GB2312" w:eastAsia="仿宋_GB2312"/>
          <w:sz w:val="24"/>
          <w:szCs w:val="24"/>
        </w:rPr>
      </w:pPr>
      <w:r>
        <w:rPr>
          <w:rFonts w:hint="eastAsia" w:ascii="仿宋_GB2312" w:eastAsia="仿宋_GB2312"/>
          <w:sz w:val="24"/>
          <w:szCs w:val="24"/>
        </w:rPr>
        <w:t>基金管理人依照恪尽职守、诚实信用、谨慎勤勉的原则管理和运用基金财产，但不保证基金一定盈利，也不保证最低收益。</w:t>
      </w:r>
    </w:p>
    <w:p>
      <w:pPr>
        <w:ind w:firstLine="420"/>
        <w:rPr>
          <w:rFonts w:ascii="仿宋_GB2312" w:eastAsia="仿宋_GB2312"/>
          <w:sz w:val="24"/>
          <w:szCs w:val="24"/>
        </w:rPr>
      </w:pPr>
      <w:r>
        <w:rPr>
          <w:rFonts w:hint="eastAsia" w:ascii="仿宋_GB2312" w:eastAsia="仿宋_GB2312"/>
          <w:sz w:val="24"/>
          <w:szCs w:val="24"/>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rPr>
          <w:rFonts w:ascii="仿宋_GB2312" w:eastAsia="仿宋_GB2312"/>
          <w:sz w:val="24"/>
          <w:szCs w:val="24"/>
        </w:rPr>
      </w:pPr>
      <w:r>
        <w:rPr>
          <w:rFonts w:hint="eastAsia" w:ascii="仿宋_GB2312" w:eastAsia="仿宋_GB2312"/>
          <w:sz w:val="24"/>
          <w:szCs w:val="24"/>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sz w:val="24"/>
          <w:szCs w:val="24"/>
        </w:rPr>
      </w:pPr>
      <w:r>
        <w:rPr>
          <w:rFonts w:hint="eastAsia" w:ascii="仿宋_GB2312" w:eastAsia="仿宋_GB2312"/>
          <w:b/>
          <w:sz w:val="24"/>
          <w:szCs w:val="24"/>
        </w:rPr>
        <w:t>因基金合同而产生的或与基金合同有关的一切争议，如经友好协商未能解决的，任何一方均有权将争议提交深圳国际仲裁院，按照深圳国际仲裁院届时有效的仲裁规则进行仲裁。仲裁地点为深圳市。</w:t>
      </w:r>
    </w:p>
    <w:p>
      <w:pPr>
        <w:ind w:firstLine="420"/>
        <w:jc w:val="left"/>
        <w:rPr>
          <w:rFonts w:ascii="仿宋_GB2312" w:eastAsia="仿宋_GB2312"/>
          <w:sz w:val="24"/>
          <w:szCs w:val="24"/>
        </w:rPr>
      </w:pPr>
      <w:r>
        <w:rPr>
          <w:rFonts w:hint="eastAsia" w:ascii="仿宋_GB2312" w:eastAsia="仿宋_GB2312"/>
          <w:sz w:val="24"/>
          <w:szCs w:val="24"/>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outlineLvl w:val="0"/>
        <w:rPr>
          <w:rFonts w:ascii="仿宋_GB2312" w:eastAsia="仿宋_GB2312"/>
          <w:b/>
          <w:sz w:val="24"/>
          <w:szCs w:val="24"/>
        </w:rPr>
      </w:pPr>
      <w:r>
        <w:rPr>
          <w:rFonts w:hint="eastAsia" w:ascii="仿宋_GB2312" w:eastAsia="仿宋_GB2312"/>
          <w:b/>
          <w:sz w:val="24"/>
          <w:szCs w:val="24"/>
        </w:rPr>
        <w:t>五、其他资料查询方式</w:t>
      </w:r>
    </w:p>
    <w:p>
      <w:pPr>
        <w:ind w:firstLine="420"/>
        <w:jc w:val="left"/>
        <w:rPr>
          <w:rFonts w:ascii="仿宋_GB2312" w:eastAsia="仿宋_GB2312"/>
          <w:sz w:val="24"/>
          <w:szCs w:val="24"/>
        </w:rPr>
      </w:pPr>
      <w:r>
        <w:rPr>
          <w:rFonts w:hint="eastAsia" w:ascii="仿宋_GB2312" w:eastAsia="仿宋_GB2312"/>
          <w:sz w:val="24"/>
          <w:szCs w:val="24"/>
        </w:rPr>
        <w:t>以下资料详见交银施罗德基金官方网站[www.fund001.com][客服电话：400-700-5000]</w:t>
      </w:r>
    </w:p>
    <w:p>
      <w:pPr>
        <w:ind w:firstLine="420"/>
        <w:jc w:val="left"/>
        <w:rPr>
          <w:rFonts w:ascii="仿宋_GB2312" w:eastAsia="仿宋_GB2312"/>
          <w:sz w:val="24"/>
          <w:szCs w:val="24"/>
        </w:rPr>
      </w:pPr>
      <w:r>
        <w:rPr>
          <w:rFonts w:hint="eastAsia" w:ascii="仿宋_GB2312" w:eastAsia="仿宋_GB2312"/>
          <w:sz w:val="24"/>
          <w:szCs w:val="24"/>
        </w:rPr>
        <w:t>●《交银施罗德红利量化选股混合型证券投资基金基金合同》、</w:t>
      </w:r>
    </w:p>
    <w:p>
      <w:pPr>
        <w:ind w:firstLine="420"/>
        <w:jc w:val="left"/>
        <w:rPr>
          <w:rFonts w:ascii="仿宋_GB2312" w:eastAsia="仿宋_GB2312"/>
          <w:sz w:val="24"/>
          <w:szCs w:val="24"/>
        </w:rPr>
      </w:pPr>
      <w:r>
        <w:rPr>
          <w:rFonts w:hint="eastAsia" w:ascii="仿宋_GB2312" w:eastAsia="仿宋_GB2312"/>
          <w:sz w:val="24"/>
          <w:szCs w:val="24"/>
        </w:rPr>
        <w:t>《交银施罗德红利量化选股混合型证券投资基金托管协议》、</w:t>
      </w:r>
    </w:p>
    <w:p>
      <w:pPr>
        <w:ind w:firstLine="420"/>
        <w:jc w:val="left"/>
        <w:rPr>
          <w:rFonts w:ascii="仿宋_GB2312" w:eastAsia="仿宋_GB2312"/>
          <w:sz w:val="24"/>
          <w:szCs w:val="24"/>
        </w:rPr>
      </w:pPr>
      <w:r>
        <w:rPr>
          <w:rFonts w:hint="eastAsia" w:ascii="仿宋_GB2312" w:eastAsia="仿宋_GB2312"/>
          <w:sz w:val="24"/>
          <w:szCs w:val="24"/>
        </w:rPr>
        <w:t>《交银施罗德红利量化选股混合型证券投资基金招募说明书》</w:t>
      </w:r>
    </w:p>
    <w:p>
      <w:pPr>
        <w:ind w:firstLine="420"/>
        <w:jc w:val="left"/>
        <w:rPr>
          <w:rFonts w:ascii="仿宋_GB2312" w:eastAsia="仿宋_GB2312"/>
          <w:sz w:val="24"/>
          <w:szCs w:val="24"/>
        </w:rPr>
      </w:pPr>
      <w:r>
        <w:rPr>
          <w:rFonts w:hint="eastAsia" w:ascii="仿宋_GB2312" w:eastAsia="仿宋_GB2312"/>
          <w:sz w:val="24"/>
          <w:szCs w:val="24"/>
        </w:rPr>
        <w:t>●定期报告，包括基金季度报告、中期报告和年度报告</w:t>
      </w:r>
    </w:p>
    <w:p>
      <w:pPr>
        <w:ind w:firstLine="420"/>
        <w:jc w:val="left"/>
        <w:rPr>
          <w:rFonts w:ascii="仿宋_GB2312" w:eastAsia="仿宋_GB2312"/>
          <w:sz w:val="24"/>
          <w:szCs w:val="24"/>
        </w:rPr>
      </w:pPr>
      <w:r>
        <w:rPr>
          <w:rFonts w:hint="eastAsia" w:ascii="仿宋_GB2312" w:eastAsia="仿宋_GB2312"/>
          <w:sz w:val="24"/>
          <w:szCs w:val="24"/>
        </w:rPr>
        <w:t>●基金份额净值</w:t>
      </w:r>
    </w:p>
    <w:p>
      <w:pPr>
        <w:ind w:firstLine="420"/>
        <w:jc w:val="left"/>
        <w:rPr>
          <w:rFonts w:ascii="仿宋_GB2312" w:eastAsia="仿宋_GB2312"/>
          <w:sz w:val="24"/>
          <w:szCs w:val="24"/>
        </w:rPr>
      </w:pPr>
      <w:r>
        <w:rPr>
          <w:rFonts w:hint="eastAsia" w:ascii="仿宋_GB2312" w:eastAsia="仿宋_GB2312"/>
          <w:sz w:val="24"/>
          <w:szCs w:val="24"/>
        </w:rPr>
        <w:t>●基金销售机构及联系方式</w:t>
      </w:r>
    </w:p>
    <w:p>
      <w:pPr>
        <w:ind w:firstLine="420"/>
        <w:jc w:val="left"/>
        <w:rPr>
          <w:rFonts w:ascii="仿宋_GB2312" w:eastAsia="仿宋_GB2312"/>
          <w:sz w:val="24"/>
          <w:szCs w:val="24"/>
        </w:rPr>
      </w:pPr>
      <w:r>
        <w:rPr>
          <w:rFonts w:hint="eastAsia" w:ascii="仿宋_GB2312" w:eastAsia="仿宋_GB2312"/>
          <w:sz w:val="24"/>
          <w:szCs w:val="24"/>
        </w:rPr>
        <w:t>●其他重要资料</w:t>
      </w:r>
    </w:p>
    <w:p>
      <w:pPr>
        <w:jc w:val="left"/>
        <w:outlineLvl w:val="0"/>
        <w:rPr>
          <w:rFonts w:ascii="仿宋_GB2312" w:eastAsia="仿宋_GB2312"/>
          <w:b/>
          <w:sz w:val="24"/>
          <w:szCs w:val="24"/>
        </w:rPr>
      </w:pPr>
      <w:r>
        <w:rPr>
          <w:rFonts w:hint="eastAsia" w:ascii="仿宋_GB2312" w:eastAsia="仿宋_GB2312"/>
          <w:b/>
          <w:sz w:val="24"/>
          <w:szCs w:val="24"/>
        </w:rPr>
        <w:t>六、其他情况说明</w:t>
      </w:r>
    </w:p>
    <w:p>
      <w:pPr>
        <w:ind w:firstLine="420"/>
        <w:jc w:val="left"/>
        <w:rPr>
          <w:rFonts w:ascii="仿宋_GB2312" w:eastAsia="仿宋_GB2312"/>
          <w:sz w:val="24"/>
          <w:szCs w:val="24"/>
        </w:rPr>
      </w:pPr>
      <w:r>
        <w:rPr>
          <w:rFonts w:hint="eastAsia" w:ascii="仿宋_GB2312" w:eastAsia="仿宋_GB2312"/>
          <w:sz w:val="24"/>
          <w:szCs w:val="24"/>
        </w:rPr>
        <w:t>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13A90"/>
    <w:rsid w:val="00033E25"/>
    <w:rsid w:val="00044A75"/>
    <w:rsid w:val="00054711"/>
    <w:rsid w:val="00066221"/>
    <w:rsid w:val="000703A7"/>
    <w:rsid w:val="0008792D"/>
    <w:rsid w:val="00094816"/>
    <w:rsid w:val="000A05D4"/>
    <w:rsid w:val="000D720B"/>
    <w:rsid w:val="00105937"/>
    <w:rsid w:val="00131F08"/>
    <w:rsid w:val="0013476A"/>
    <w:rsid w:val="00161705"/>
    <w:rsid w:val="0019752C"/>
    <w:rsid w:val="001A5E6E"/>
    <w:rsid w:val="001B37BE"/>
    <w:rsid w:val="001E402A"/>
    <w:rsid w:val="001F5955"/>
    <w:rsid w:val="00202C47"/>
    <w:rsid w:val="00250FF5"/>
    <w:rsid w:val="00287210"/>
    <w:rsid w:val="0029201A"/>
    <w:rsid w:val="002E7217"/>
    <w:rsid w:val="002F22AE"/>
    <w:rsid w:val="002F5DBC"/>
    <w:rsid w:val="00301DD3"/>
    <w:rsid w:val="0030630A"/>
    <w:rsid w:val="00335FE8"/>
    <w:rsid w:val="003535E1"/>
    <w:rsid w:val="00357B4C"/>
    <w:rsid w:val="00374BDE"/>
    <w:rsid w:val="00393720"/>
    <w:rsid w:val="003A7685"/>
    <w:rsid w:val="003D0FEE"/>
    <w:rsid w:val="003E1547"/>
    <w:rsid w:val="003E1D46"/>
    <w:rsid w:val="003E751E"/>
    <w:rsid w:val="003F689E"/>
    <w:rsid w:val="00400C3A"/>
    <w:rsid w:val="00401C56"/>
    <w:rsid w:val="0044472F"/>
    <w:rsid w:val="00447692"/>
    <w:rsid w:val="00473527"/>
    <w:rsid w:val="0047654B"/>
    <w:rsid w:val="004829BA"/>
    <w:rsid w:val="0048467A"/>
    <w:rsid w:val="004912E1"/>
    <w:rsid w:val="004A275D"/>
    <w:rsid w:val="004B2CE0"/>
    <w:rsid w:val="004E50BE"/>
    <w:rsid w:val="004E7AB7"/>
    <w:rsid w:val="00531102"/>
    <w:rsid w:val="00541934"/>
    <w:rsid w:val="00554F25"/>
    <w:rsid w:val="0058198E"/>
    <w:rsid w:val="00586A8B"/>
    <w:rsid w:val="005A2B10"/>
    <w:rsid w:val="005A4D86"/>
    <w:rsid w:val="005B4DC4"/>
    <w:rsid w:val="005C72FE"/>
    <w:rsid w:val="005E408E"/>
    <w:rsid w:val="005E6297"/>
    <w:rsid w:val="006240B9"/>
    <w:rsid w:val="006273DD"/>
    <w:rsid w:val="00656F6B"/>
    <w:rsid w:val="006574CB"/>
    <w:rsid w:val="00661AC3"/>
    <w:rsid w:val="00662487"/>
    <w:rsid w:val="00667B4E"/>
    <w:rsid w:val="006A53E7"/>
    <w:rsid w:val="006A738D"/>
    <w:rsid w:val="00727156"/>
    <w:rsid w:val="0075144A"/>
    <w:rsid w:val="00762DC1"/>
    <w:rsid w:val="0076699F"/>
    <w:rsid w:val="00771DBE"/>
    <w:rsid w:val="00782CED"/>
    <w:rsid w:val="007911FE"/>
    <w:rsid w:val="007974E0"/>
    <w:rsid w:val="007A64C5"/>
    <w:rsid w:val="007E001B"/>
    <w:rsid w:val="007E6C2D"/>
    <w:rsid w:val="007F3F24"/>
    <w:rsid w:val="00803554"/>
    <w:rsid w:val="00846EFA"/>
    <w:rsid w:val="0084744E"/>
    <w:rsid w:val="00856750"/>
    <w:rsid w:val="00880454"/>
    <w:rsid w:val="00890214"/>
    <w:rsid w:val="00893C5E"/>
    <w:rsid w:val="008A6FA6"/>
    <w:rsid w:val="008B008A"/>
    <w:rsid w:val="008B5795"/>
    <w:rsid w:val="008D0395"/>
    <w:rsid w:val="008D32D2"/>
    <w:rsid w:val="008D3FEA"/>
    <w:rsid w:val="00902522"/>
    <w:rsid w:val="0090269C"/>
    <w:rsid w:val="0092148D"/>
    <w:rsid w:val="009412BA"/>
    <w:rsid w:val="009728DC"/>
    <w:rsid w:val="00976527"/>
    <w:rsid w:val="00985932"/>
    <w:rsid w:val="009A4369"/>
    <w:rsid w:val="009B6985"/>
    <w:rsid w:val="009B7D3E"/>
    <w:rsid w:val="009C0C41"/>
    <w:rsid w:val="009F18CA"/>
    <w:rsid w:val="009F4EAE"/>
    <w:rsid w:val="00A753F8"/>
    <w:rsid w:val="00A8364D"/>
    <w:rsid w:val="00AB59CB"/>
    <w:rsid w:val="00AF7A1E"/>
    <w:rsid w:val="00B24739"/>
    <w:rsid w:val="00B41589"/>
    <w:rsid w:val="00B7293A"/>
    <w:rsid w:val="00B84864"/>
    <w:rsid w:val="00BB4F14"/>
    <w:rsid w:val="00BD150A"/>
    <w:rsid w:val="00C0525C"/>
    <w:rsid w:val="00C65C23"/>
    <w:rsid w:val="00C73DB2"/>
    <w:rsid w:val="00C91E45"/>
    <w:rsid w:val="00CB7CF1"/>
    <w:rsid w:val="00CD7637"/>
    <w:rsid w:val="00CD7D01"/>
    <w:rsid w:val="00CF365F"/>
    <w:rsid w:val="00CF432A"/>
    <w:rsid w:val="00D00E24"/>
    <w:rsid w:val="00D04A15"/>
    <w:rsid w:val="00D26563"/>
    <w:rsid w:val="00D373CC"/>
    <w:rsid w:val="00D4061A"/>
    <w:rsid w:val="00D56E8B"/>
    <w:rsid w:val="00D57035"/>
    <w:rsid w:val="00D92B09"/>
    <w:rsid w:val="00DB319C"/>
    <w:rsid w:val="00DC5D1A"/>
    <w:rsid w:val="00E041A0"/>
    <w:rsid w:val="00E05905"/>
    <w:rsid w:val="00E35BBE"/>
    <w:rsid w:val="00E51B6D"/>
    <w:rsid w:val="00E939AB"/>
    <w:rsid w:val="00EC12DB"/>
    <w:rsid w:val="00F0110A"/>
    <w:rsid w:val="00F4780C"/>
    <w:rsid w:val="00F5534A"/>
    <w:rsid w:val="00F75715"/>
    <w:rsid w:val="00F811C4"/>
    <w:rsid w:val="00F84F2B"/>
    <w:rsid w:val="00F96463"/>
    <w:rsid w:val="00FA7DEE"/>
    <w:rsid w:val="00FC2918"/>
    <w:rsid w:val="03943DCE"/>
    <w:rsid w:val="06670118"/>
    <w:rsid w:val="09501807"/>
    <w:rsid w:val="0DB50E2C"/>
    <w:rsid w:val="127B2B4B"/>
    <w:rsid w:val="25155FD7"/>
    <w:rsid w:val="2CD44D88"/>
    <w:rsid w:val="406003EA"/>
    <w:rsid w:val="49C779D9"/>
    <w:rsid w:val="4B7A67D6"/>
    <w:rsid w:val="54176E62"/>
    <w:rsid w:val="55C00E57"/>
    <w:rsid w:val="5B6125BD"/>
    <w:rsid w:val="5FE73F39"/>
    <w:rsid w:val="63660456"/>
    <w:rsid w:val="63DF72BF"/>
    <w:rsid w:val="66BA6AB5"/>
    <w:rsid w:val="6AF469B2"/>
    <w:rsid w:val="6C9906AB"/>
    <w:rsid w:val="7A543C21"/>
    <w:rsid w:val="7E3578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字符"/>
    <w:basedOn w:val="9"/>
    <w:link w:val="5"/>
    <w:qFormat/>
    <w:uiPriority w:val="99"/>
    <w:rPr>
      <w:sz w:val="18"/>
      <w:szCs w:val="18"/>
    </w:rPr>
  </w:style>
  <w:style w:type="character" w:customStyle="1" w:styleId="12">
    <w:name w:val="页脚 字符"/>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字符"/>
    <w:basedOn w:val="9"/>
    <w:link w:val="2"/>
    <w:semiHidden/>
    <w:qFormat/>
    <w:uiPriority w:val="99"/>
  </w:style>
  <w:style w:type="character" w:customStyle="1" w:styleId="15">
    <w:name w:val="批注主题 字符"/>
    <w:basedOn w:val="14"/>
    <w:link w:val="6"/>
    <w:semiHidden/>
    <w:qFormat/>
    <w:uiPriority w:val="99"/>
    <w:rPr>
      <w:b/>
      <w:bCs/>
    </w:rPr>
  </w:style>
  <w:style w:type="character" w:customStyle="1" w:styleId="16">
    <w:name w:val="批注框文本 字符"/>
    <w:basedOn w:val="9"/>
    <w:link w:val="3"/>
    <w:semiHidden/>
    <w:qFormat/>
    <w:uiPriority w:val="99"/>
    <w:rPr>
      <w:sz w:val="18"/>
      <w:szCs w:val="18"/>
    </w:rPr>
  </w:style>
  <w:style w:type="paragraph" w:customStyle="1" w:styleId="17">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8">
    <w:name w:val="修订2"/>
    <w:hidden/>
    <w:semiHidden/>
    <w:qFormat/>
    <w:uiPriority w:val="99"/>
    <w:rPr>
      <w:rFonts w:asciiTheme="minorHAnsi" w:hAnsiTheme="minorHAnsi" w:eastAsiaTheme="minorEastAsia" w:cstheme="minorBidi"/>
      <w:kern w:val="2"/>
      <w:sz w:val="21"/>
      <w:szCs w:val="22"/>
      <w:lang w:val="en-US" w:eastAsia="zh-CN" w:bidi="ar-SA"/>
    </w:rPr>
  </w:style>
  <w:style w:type="table" w:customStyle="1" w:styleId="19">
    <w:name w:val="网格型1"/>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4885</Words>
  <Characters>5055</Characters>
  <Lines>37</Lines>
  <Paragraphs>10</Paragraphs>
  <TotalTime>71</TotalTime>
  <ScaleCrop>false</ScaleCrop>
  <LinksUpToDate>false</LinksUpToDate>
  <CharactersWithSpaces>5055</CharactersWithSpaces>
  <Application>WPS Office_11.8.2.12187_F1E327BC-269C-435d-A152-05C5408002CA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2020-08-25T09:35:00Z</dcterms:created>
  <dc:creator>Cc</dc:creator>
  <cp:lastModifiedBy>xufan</cp:lastModifiedBy>
  <dcterms:modified xsi:type="dcterms:W3CDTF">2026-05-07T03:19:52Z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5DADD25B172F4B1FBED9F552CFC52C0F</vt:lpwstr>
  </property>
</Properties>
</file>