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A6C16">
      <w:pPr>
        <w:rPr>
          <w:sz w:val="32"/>
        </w:rPr>
      </w:pPr>
    </w:p>
    <w:p w:rsidR="00C92FC0" w:rsidRPr="00EB07BC" w:rsidRDefault="00CA6C16">
      <w:pPr>
        <w:rPr>
          <w:sz w:val="32"/>
        </w:rPr>
      </w:pPr>
    </w:p>
    <w:p w:rsidR="00C92FC0" w:rsidRPr="00EB07BC" w:rsidRDefault="00CA6C16">
      <w:pPr>
        <w:rPr>
          <w:sz w:val="32"/>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2F6AF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F6AF2" w:rsidRDefault="0067707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交银施罗德中证海外中国互联网指数型证券投资基金</w:t>
      </w:r>
      <w:r>
        <w:rPr>
          <w:rFonts w:ascii="Times New Roman" w:hAnsi="Times New Roman"/>
          <w:b/>
          <w:spacing w:val="2"/>
          <w:w w:val="99"/>
          <w:kern w:val="0"/>
          <w:position w:val="-4"/>
          <w:sz w:val="44"/>
          <w:szCs w:val="44"/>
        </w:rPr>
        <w:t>(LOF)</w:t>
      </w:r>
    </w:p>
    <w:p w:rsidR="002F6AF2" w:rsidRDefault="0067707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F6AF2" w:rsidRDefault="002F6AF2">
      <w:pPr>
        <w:snapToGrid w:val="0"/>
        <w:spacing w:line="360" w:lineRule="auto"/>
        <w:jc w:val="center"/>
        <w:rPr>
          <w:rFonts w:ascii="宋体" w:hAnsi="宋体"/>
          <w:b/>
          <w:sz w:val="30"/>
          <w:szCs w:val="30"/>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67707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F6AF2" w:rsidRDefault="0067707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2F6AF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F6AF2" w:rsidRDefault="0067707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2F6AF2" w:rsidRDefault="002F6AF2">
      <w:pPr>
        <w:autoSpaceDE w:val="0"/>
        <w:autoSpaceDN w:val="0"/>
        <w:adjustRightInd w:val="0"/>
        <w:snapToGrid w:val="0"/>
        <w:spacing w:line="360" w:lineRule="auto"/>
        <w:ind w:left="1347" w:rightChars="6" w:right="13"/>
        <w:rPr>
          <w:rFonts w:ascii="宋体" w:hAnsi="宋体"/>
          <w:kern w:val="0"/>
          <w:sz w:val="32"/>
          <w:szCs w:val="32"/>
        </w:rPr>
        <w:sectPr w:rsidR="002F6AF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F6AF2" w:rsidRDefault="00677079">
      <w:pPr>
        <w:pStyle w:val="1"/>
        <w:snapToGrid w:val="0"/>
        <w:spacing w:beforeLines="0" w:before="240" w:after="240"/>
        <w:rPr>
          <w:rFonts w:ascii="宋体" w:hAnsi="宋体"/>
          <w:kern w:val="0"/>
        </w:rPr>
      </w:pPr>
      <w:bookmarkStart w:id="0" w:name="_Toc324920538"/>
      <w:bookmarkStart w:id="1" w:name="_Toc496884613"/>
      <w:bookmarkStart w:id="2" w:name="_Toc227915008"/>
      <w:r>
        <w:rPr>
          <w:rFonts w:ascii="Times New Roman" w:hAnsi="Times New Roman"/>
          <w:kern w:val="0"/>
        </w:rPr>
        <w:lastRenderedPageBreak/>
        <w:t>重要提示</w:t>
      </w:r>
      <w:bookmarkEnd w:id="0"/>
      <w:bookmarkEnd w:id="1"/>
      <w:bookmarkEnd w:id="2"/>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交银施罗德中证海外中国互联网指数型证券投资基金（</w:t>
      </w:r>
      <w:r>
        <w:rPr>
          <w:rFonts w:ascii="Times New Roman" w:hAnsi="Times New Roman"/>
          <w:kern w:val="0"/>
          <w:sz w:val="24"/>
        </w:rPr>
        <w:t>LOF</w:t>
      </w:r>
      <w:r>
        <w:rPr>
          <w:rFonts w:ascii="Times New Roman" w:hAnsi="Times New Roman"/>
          <w:kern w:val="0"/>
          <w:sz w:val="24"/>
        </w:rPr>
        <w:t>）（以下简称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2015</w:t>
      </w:r>
      <w:r>
        <w:rPr>
          <w:rFonts w:ascii="Times New Roman" w:hAnsi="Times New Roman"/>
          <w:kern w:val="0"/>
          <w:sz w:val="24"/>
        </w:rPr>
        <w:t>】</w:t>
      </w:r>
      <w:r>
        <w:rPr>
          <w:rFonts w:ascii="Times New Roman" w:hAnsi="Times New Roman"/>
          <w:kern w:val="0"/>
          <w:sz w:val="24"/>
        </w:rPr>
        <w:t>429</w:t>
      </w:r>
      <w:r>
        <w:rPr>
          <w:rFonts w:ascii="Times New Roman" w:hAnsi="Times New Roman"/>
          <w:kern w:val="0"/>
          <w:sz w:val="24"/>
        </w:rPr>
        <w:t>号文核准募集。本基金基金合同于</w:t>
      </w:r>
      <w:r>
        <w:rPr>
          <w:rFonts w:ascii="Times New Roman" w:hAnsi="Times New Roman"/>
          <w:kern w:val="0"/>
          <w:sz w:val="24"/>
        </w:rPr>
        <w:t>2015</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中国证监会不对基金的投资价值及市场前景等作出实质性判断或者保证。</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境外证券市场，基金净值会因为境外证券市场波动等因素产生波动。投资人在投资本基金前，需全面认识本基金产品的风险收益特征和产品特性，充分考虑自身的风险承受能力，自主判断基金的投资价值，理性判断市场，对投资本基金的意愿、时机、数量等投资行为作出独立决策。投资人根据所持有份额享受基金的收益，但同时也需承担相应的投资风险。</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作为境外投资产品，投资本基金可能遇到境外投资产品风险，包括海外市场风险、汇率风险、法律及政治管制风险、政治风险、税务风险、会计核算风险等；作为开放式基金，投资本基金可能遇到的风险包括：因受到经济因素、政治因素、投资心理和交易制度等各种因素的影响而引起的市场风险，基金管理人在基金管理实施过程中产生的基金管理风险，流动性风险，交易对手违约风险，交易结算风险，操作或技术风险，投资本基金特有的其他风险等等；投资本基金特有的风险主要包括指数化投资风险和基金运作的特有风险，其中指数化投资风险主要包括：标的指数回报与股票市场平均回报偏离的风险、标的指数波动的风险、基金投资组合回报与标的指数回报偏离的风险、标的指数变更的风险、跟踪误差控制未达约定目标的风险、指数编制机构停止服务的风险、成份股停牌的风险等；基金运作的特有风险主要包括：上市交易风险、基金份额的折</w:t>
      </w:r>
      <w:r>
        <w:rPr>
          <w:rFonts w:ascii="Times New Roman" w:hAnsi="Times New Roman"/>
          <w:kern w:val="0"/>
          <w:sz w:val="24"/>
        </w:rPr>
        <w:t>/</w:t>
      </w:r>
      <w:r>
        <w:rPr>
          <w:rFonts w:ascii="Times New Roman" w:hAnsi="Times New Roman"/>
          <w:kern w:val="0"/>
          <w:sz w:val="24"/>
        </w:rPr>
        <w:t>溢价交易风险、基金合同提前终止风险、金融模型风险、衍生品投资风险、证券借贷和正</w:t>
      </w:r>
      <w:r>
        <w:rPr>
          <w:rFonts w:ascii="Times New Roman" w:hAnsi="Times New Roman"/>
          <w:kern w:val="0"/>
          <w:sz w:val="24"/>
        </w:rPr>
        <w:lastRenderedPageBreak/>
        <w:t>回购／逆回购风险等。</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股票型基金，其预期风险与预期收益高于混合型基金、债券型基金和货币市场基金，属于承担较高预期风险、预期收益较高的证券投资基金品种。同时本基金为指数型基金，具有与标的指数相似的风险收益特征。</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本基金为指数基金，投资者投资于本基金面临跟踪误差控制未达约定目标、指数编制机构停止服务、成份券停牌等潜在风险。</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本基金标的指数为中证海外中国互联网指数。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1</w:t>
      </w:r>
      <w:r>
        <w:rPr>
          <w:rFonts w:ascii="Times New Roman" w:hAnsi="Times New Roman"/>
          <w:kern w:val="0"/>
          <w:sz w:val="24"/>
        </w:rPr>
        <w:t>、选样空间</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香港市场：同中证香港</w:t>
      </w:r>
      <w:r>
        <w:rPr>
          <w:rFonts w:ascii="Times New Roman" w:hAnsi="Times New Roman"/>
          <w:kern w:val="0"/>
          <w:sz w:val="24"/>
        </w:rPr>
        <w:t xml:space="preserve"> 300 </w:t>
      </w:r>
      <w:r>
        <w:rPr>
          <w:rFonts w:ascii="Times New Roman" w:hAnsi="Times New Roman"/>
          <w:kern w:val="0"/>
          <w:sz w:val="24"/>
        </w:rPr>
        <w:t>指数的样本空间且满足以下条件之一的中国内地公司证券：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注册地在中国内地；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公司营运中心在中国内地；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公司主营业务收入</w:t>
      </w:r>
      <w:r>
        <w:rPr>
          <w:rFonts w:ascii="Times New Roman" w:hAnsi="Times New Roman"/>
          <w:kern w:val="0"/>
          <w:sz w:val="24"/>
        </w:rPr>
        <w:t>50%</w:t>
      </w:r>
      <w:r>
        <w:rPr>
          <w:rFonts w:ascii="Times New Roman" w:hAnsi="Times New Roman"/>
          <w:kern w:val="0"/>
          <w:sz w:val="24"/>
        </w:rPr>
        <w:t>以上来自中国内地。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其他市场：以其他证券交易所为主要上市地、上市交易时间超过</w:t>
      </w:r>
      <w:r>
        <w:rPr>
          <w:rFonts w:ascii="Times New Roman" w:hAnsi="Times New Roman"/>
          <w:kern w:val="0"/>
          <w:sz w:val="24"/>
        </w:rPr>
        <w:t>3</w:t>
      </w:r>
      <w:r>
        <w:rPr>
          <w:rFonts w:ascii="Times New Roman" w:hAnsi="Times New Roman"/>
          <w:kern w:val="0"/>
          <w:sz w:val="24"/>
        </w:rPr>
        <w:t>个月（除非该证券发行市值超过</w:t>
      </w:r>
      <w:r>
        <w:rPr>
          <w:rFonts w:ascii="Times New Roman" w:hAnsi="Times New Roman"/>
          <w:kern w:val="0"/>
          <w:sz w:val="24"/>
        </w:rPr>
        <w:t>30</w:t>
      </w:r>
      <w:r>
        <w:rPr>
          <w:rFonts w:ascii="Times New Roman" w:hAnsi="Times New Roman"/>
          <w:kern w:val="0"/>
          <w:sz w:val="24"/>
        </w:rPr>
        <w:t>亿美元）且满足以下条件之一的中国内地公司证券：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注册地在中国内地；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公司营运中心在中国内地；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公司主营业务收入</w:t>
      </w:r>
      <w:r>
        <w:rPr>
          <w:rFonts w:ascii="Times New Roman" w:hAnsi="Times New Roman"/>
          <w:kern w:val="0"/>
          <w:sz w:val="24"/>
        </w:rPr>
        <w:t>50%</w:t>
      </w:r>
      <w:r>
        <w:rPr>
          <w:rFonts w:ascii="Times New Roman" w:hAnsi="Times New Roman"/>
          <w:kern w:val="0"/>
          <w:sz w:val="24"/>
        </w:rPr>
        <w:t>以上来自中国内地。</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2</w:t>
      </w:r>
      <w:r>
        <w:rPr>
          <w:rFonts w:ascii="Times New Roman" w:hAnsi="Times New Roman"/>
          <w:kern w:val="0"/>
          <w:sz w:val="24"/>
        </w:rPr>
        <w:t>、可投资性筛选</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）流动性要求：过去一年日均成交金额不低于</w:t>
      </w:r>
      <w:r>
        <w:rPr>
          <w:rFonts w:ascii="Times New Roman" w:hAnsi="Times New Roman"/>
          <w:kern w:val="0"/>
          <w:sz w:val="24"/>
        </w:rPr>
        <w:t xml:space="preserve"> 300 </w:t>
      </w:r>
      <w:r>
        <w:rPr>
          <w:rFonts w:ascii="Times New Roman" w:hAnsi="Times New Roman"/>
          <w:kern w:val="0"/>
          <w:sz w:val="24"/>
        </w:rPr>
        <w:t>万美元；</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）市值要求：过去一年日均总市值不低于</w:t>
      </w:r>
      <w:r>
        <w:rPr>
          <w:rFonts w:ascii="Times New Roman" w:hAnsi="Times New Roman"/>
          <w:kern w:val="0"/>
          <w:sz w:val="24"/>
        </w:rPr>
        <w:t xml:space="preserve"> 20 </w:t>
      </w:r>
      <w:r>
        <w:rPr>
          <w:rFonts w:ascii="Times New Roman" w:hAnsi="Times New Roman"/>
          <w:kern w:val="0"/>
          <w:sz w:val="24"/>
        </w:rPr>
        <w:t>亿美元。</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3</w:t>
      </w:r>
      <w:r>
        <w:rPr>
          <w:rFonts w:ascii="Times New Roman" w:hAnsi="Times New Roman"/>
          <w:kern w:val="0"/>
          <w:sz w:val="24"/>
        </w:rPr>
        <w:t>、选样方法</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1</w:t>
      </w:r>
      <w:r>
        <w:rPr>
          <w:rFonts w:ascii="Times New Roman" w:hAnsi="Times New Roman"/>
          <w:kern w:val="0"/>
          <w:sz w:val="24"/>
        </w:rPr>
        <w:t>）对样本空间内剩余证券，选取符合以下条件之一的公司证券作为待选样本：</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互联网软件：开发与销售互联网软件的公司；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家庭娱乐软件：开发主要在家中使用的家庭娱乐软件和教育软件的公司；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互联网零售：主要通过互联网提供零售服务的公司；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互联网服务：主要通过互联网提供各类服务的公司；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移动互联网：开发与销售移动互联网软件或提供移动互联网服务的公司。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w:t>
      </w:r>
      <w:r>
        <w:rPr>
          <w:rFonts w:ascii="Times New Roman" w:hAnsi="Times New Roman"/>
          <w:kern w:val="0"/>
          <w:sz w:val="24"/>
        </w:rPr>
        <w:t>2</w:t>
      </w:r>
      <w:r>
        <w:rPr>
          <w:rFonts w:ascii="Times New Roman" w:hAnsi="Times New Roman"/>
          <w:kern w:val="0"/>
          <w:sz w:val="24"/>
        </w:rPr>
        <w:t>）将上述待选样本作为指数样本。其中，若同一家公司的国外市场证券</w:t>
      </w:r>
      <w:r>
        <w:rPr>
          <w:rFonts w:ascii="Times New Roman" w:hAnsi="Times New Roman"/>
          <w:kern w:val="0"/>
          <w:sz w:val="24"/>
        </w:rPr>
        <w:lastRenderedPageBreak/>
        <w:t>和香港市场证券同时入选，则优先纳入香港市场证券。</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4</w:t>
      </w:r>
      <w:r>
        <w:rPr>
          <w:rFonts w:ascii="Times New Roman" w:hAnsi="Times New Roman"/>
          <w:kern w:val="0"/>
          <w:sz w:val="24"/>
        </w:rPr>
        <w:t>、指数计算</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指数的计算公式为：</w:t>
      </w:r>
    </w:p>
    <w:p w:rsidR="002F6AF2" w:rsidRDefault="00CA6C16">
      <w:pPr>
        <w:autoSpaceDE w:val="0"/>
        <w:autoSpaceDN w:val="0"/>
        <w:adjustRightInd w:val="0"/>
        <w:snapToGrid w:val="0"/>
        <w:spacing w:line="360" w:lineRule="auto"/>
        <w:ind w:leftChars="50" w:left="105" w:firstLineChars="200" w:firstLine="480"/>
        <w:rPr>
          <w:rFonts w:ascii="宋体" w:hAnsi="宋体"/>
          <w:kern w:val="0"/>
          <w:sz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108pt">
            <v:imagedata r:id="rId14" o:title="1521256610242020828"/>
          </v:shape>
        </w:pic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其中，调整市值＝</w:t>
      </w:r>
      <w:r>
        <w:rPr>
          <w:rFonts w:ascii="Times New Roman" w:hAnsi="Times New Roman"/>
          <w:kern w:val="0"/>
          <w:sz w:val="24"/>
        </w:rPr>
        <w:t>∑(</w:t>
      </w:r>
      <w:r>
        <w:rPr>
          <w:rFonts w:ascii="Times New Roman" w:hAnsi="Times New Roman"/>
          <w:kern w:val="0"/>
          <w:sz w:val="24"/>
        </w:rPr>
        <w:t>证券价格</w:t>
      </w:r>
      <w:r>
        <w:rPr>
          <w:rFonts w:ascii="Times New Roman" w:hAnsi="Times New Roman"/>
          <w:kern w:val="0"/>
          <w:sz w:val="24"/>
        </w:rPr>
        <w:t>×</w:t>
      </w:r>
      <w:r>
        <w:rPr>
          <w:rFonts w:ascii="Times New Roman" w:hAnsi="Times New Roman"/>
          <w:kern w:val="0"/>
          <w:sz w:val="24"/>
        </w:rPr>
        <w:t>调整股本数</w:t>
      </w:r>
      <w:r>
        <w:rPr>
          <w:rFonts w:ascii="Times New Roman" w:hAnsi="Times New Roman"/>
          <w:kern w:val="0"/>
          <w:sz w:val="24"/>
        </w:rPr>
        <w:t>×</w:t>
      </w:r>
      <w:r>
        <w:rPr>
          <w:rFonts w:ascii="Times New Roman" w:hAnsi="Times New Roman"/>
          <w:kern w:val="0"/>
          <w:sz w:val="24"/>
        </w:rPr>
        <w:t>权重因子</w:t>
      </w:r>
      <w:r>
        <w:rPr>
          <w:rFonts w:ascii="Times New Roman" w:hAnsi="Times New Roman"/>
          <w:kern w:val="0"/>
          <w:sz w:val="24"/>
        </w:rPr>
        <w:t>×</w:t>
      </w:r>
      <w:r>
        <w:rPr>
          <w:rFonts w:ascii="Times New Roman" w:hAnsi="Times New Roman"/>
          <w:kern w:val="0"/>
          <w:sz w:val="24"/>
        </w:rPr>
        <w:t>汇率</w:t>
      </w:r>
      <w:r>
        <w:rPr>
          <w:rFonts w:ascii="Times New Roman" w:hAnsi="Times New Roman"/>
          <w:kern w:val="0"/>
          <w:sz w:val="24"/>
        </w:rPr>
        <w:t>)</w:t>
      </w:r>
      <w:r>
        <w:rPr>
          <w:rFonts w:ascii="Times New Roman" w:hAnsi="Times New Roman"/>
          <w:kern w:val="0"/>
          <w:sz w:val="24"/>
        </w:rPr>
        <w:t>。权重因子介于</w:t>
      </w:r>
      <w:r>
        <w:rPr>
          <w:rFonts w:ascii="Times New Roman" w:hAnsi="Times New Roman"/>
          <w:kern w:val="0"/>
          <w:sz w:val="24"/>
        </w:rPr>
        <w:t>0</w:t>
      </w:r>
      <w:r>
        <w:rPr>
          <w:rFonts w:ascii="Times New Roman" w:hAnsi="Times New Roman"/>
          <w:kern w:val="0"/>
          <w:sz w:val="24"/>
        </w:rPr>
        <w:t>和</w:t>
      </w:r>
      <w:r>
        <w:rPr>
          <w:rFonts w:ascii="Times New Roman" w:hAnsi="Times New Roman"/>
          <w:kern w:val="0"/>
          <w:sz w:val="24"/>
        </w:rPr>
        <w:t>1</w:t>
      </w:r>
      <w:r>
        <w:rPr>
          <w:rFonts w:ascii="Times New Roman" w:hAnsi="Times New Roman"/>
          <w:kern w:val="0"/>
          <w:sz w:val="24"/>
        </w:rPr>
        <w:t>之间，以使单个样本权重不超过</w:t>
      </w:r>
      <w:r>
        <w:rPr>
          <w:rFonts w:ascii="Times New Roman" w:hAnsi="Times New Roman"/>
          <w:kern w:val="0"/>
          <w:sz w:val="24"/>
        </w:rPr>
        <w:t xml:space="preserve"> 10%</w:t>
      </w:r>
      <w:r>
        <w:rPr>
          <w:rFonts w:ascii="Times New Roman" w:hAnsi="Times New Roman"/>
          <w:kern w:val="0"/>
          <w:sz w:val="24"/>
        </w:rPr>
        <w:t>，前五大样本权重合计不超过</w:t>
      </w:r>
      <w:r>
        <w:rPr>
          <w:rFonts w:ascii="Times New Roman" w:hAnsi="Times New Roman"/>
          <w:kern w:val="0"/>
          <w:sz w:val="24"/>
        </w:rPr>
        <w:t xml:space="preserve"> 40%</w:t>
      </w:r>
      <w:r>
        <w:rPr>
          <w:rFonts w:ascii="Times New Roman" w:hAnsi="Times New Roman"/>
          <w:kern w:val="0"/>
          <w:sz w:val="24"/>
        </w:rPr>
        <w:t>。</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有关标的指数具体编制方案及成份股信息详见中证指数有限公司官方网站，网址：</w:t>
      </w:r>
      <w:r>
        <w:rPr>
          <w:rFonts w:ascii="Times New Roman" w:hAnsi="Times New Roman"/>
          <w:kern w:val="0"/>
          <w:sz w:val="24"/>
        </w:rPr>
        <w:t>www.csindex.com.cn</w:t>
      </w:r>
      <w:r>
        <w:rPr>
          <w:rFonts w:ascii="Times New Roman" w:hAnsi="Times New Roman"/>
          <w:kern w:val="0"/>
          <w:sz w:val="24"/>
        </w:rPr>
        <w:t>。</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2F6AF2" w:rsidRDefault="0067707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2F6AF2" w:rsidRDefault="002F6AF2">
      <w:pPr>
        <w:autoSpaceDE w:val="0"/>
        <w:autoSpaceDN w:val="0"/>
        <w:adjustRightInd w:val="0"/>
        <w:snapToGrid w:val="0"/>
        <w:spacing w:before="51" w:line="360" w:lineRule="auto"/>
        <w:ind w:left="120" w:rightChars="6" w:right="13" w:firstLine="480"/>
        <w:rPr>
          <w:rFonts w:ascii="宋体" w:hAnsi="宋体"/>
          <w:kern w:val="0"/>
          <w:szCs w:val="24"/>
        </w:rPr>
        <w:sectPr w:rsidR="002F6AF2">
          <w:headerReference w:type="default" r:id="rId15"/>
          <w:pgSz w:w="11920" w:h="16840"/>
          <w:pgMar w:top="1440" w:right="1680" w:bottom="280" w:left="1680" w:header="0" w:footer="1073" w:gutter="0"/>
          <w:pgNumType w:start="1"/>
          <w:cols w:space="720"/>
        </w:sectPr>
      </w:pPr>
    </w:p>
    <w:p w:rsidR="00CA6C16" w:rsidRPr="00CA6C16" w:rsidRDefault="00677079" w:rsidP="00CA6C16">
      <w:pPr>
        <w:pStyle w:val="ad"/>
        <w:snapToGrid w:val="0"/>
        <w:spacing w:after="240" w:line="360" w:lineRule="auto"/>
        <w:jc w:val="center"/>
        <w:rPr>
          <w:rFonts w:ascii="宋体" w:hAnsi="宋体"/>
          <w:noProof/>
          <w:sz w:val="24"/>
        </w:rPr>
      </w:pPr>
      <w:r w:rsidRPr="00CA6C16">
        <w:rPr>
          <w:rFonts w:ascii="宋体" w:hAnsi="宋体"/>
          <w:color w:val="000000"/>
          <w:position w:val="-4"/>
          <w:sz w:val="24"/>
          <w:szCs w:val="30"/>
        </w:rPr>
        <w:lastRenderedPageBreak/>
        <w:t>目</w:t>
      </w:r>
      <w:r w:rsidRPr="00CA6C16">
        <w:rPr>
          <w:rFonts w:ascii="宋体" w:hAnsi="宋体"/>
          <w:color w:val="000000"/>
          <w:position w:val="-4"/>
          <w:sz w:val="24"/>
          <w:szCs w:val="30"/>
        </w:rPr>
        <w:tab/>
        <w:t>录</w:t>
      </w:r>
      <w:r w:rsidR="00CA6C16" w:rsidRPr="00CA6C16">
        <w:rPr>
          <w:rFonts w:ascii="宋体" w:hAnsi="宋体"/>
          <w:color w:val="000000"/>
          <w:position w:val="-4"/>
          <w:sz w:val="24"/>
          <w:szCs w:val="30"/>
        </w:rPr>
        <w:fldChar w:fldCharType="begin"/>
      </w:r>
      <w:r w:rsidR="00CA6C16" w:rsidRPr="00CA6C16">
        <w:rPr>
          <w:rFonts w:ascii="宋体" w:hAnsi="宋体"/>
          <w:color w:val="000000"/>
          <w:position w:val="-4"/>
          <w:sz w:val="24"/>
          <w:szCs w:val="30"/>
        </w:rPr>
        <w:instrText xml:space="preserve"> TOC \o "1-3" \f - \h \t "-1" </w:instrText>
      </w:r>
      <w:r w:rsidR="00CA6C16" w:rsidRPr="00CA6C16">
        <w:rPr>
          <w:rFonts w:ascii="宋体" w:hAnsi="宋体"/>
          <w:color w:val="000000"/>
          <w:position w:val="-4"/>
          <w:sz w:val="24"/>
          <w:szCs w:val="30"/>
        </w:rPr>
        <w:fldChar w:fldCharType="separate"/>
      </w:r>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08" w:history="1">
        <w:r w:rsidRPr="00CA6C16">
          <w:rPr>
            <w:rStyle w:val="aa"/>
            <w:rFonts w:ascii="宋体" w:hAnsi="宋体" w:hint="eastAsia"/>
            <w:noProof/>
            <w:kern w:val="0"/>
            <w:sz w:val="24"/>
          </w:rPr>
          <w:t>重要提示</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_Toc227915008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09" w:history="1">
        <w:r w:rsidRPr="00CA6C16">
          <w:rPr>
            <w:rStyle w:val="aa"/>
            <w:rFonts w:ascii="宋体" w:hAnsi="宋体" w:hint="eastAsia"/>
            <w:noProof/>
            <w:sz w:val="24"/>
          </w:rPr>
          <w:t>一、绪言</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_Toc227915009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5</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0" w:history="1">
        <w:r w:rsidRPr="00CA6C16">
          <w:rPr>
            <w:rStyle w:val="aa"/>
            <w:rFonts w:ascii="宋体" w:hAnsi="宋体" w:hint="eastAsia"/>
            <w:noProof/>
            <w:sz w:val="24"/>
          </w:rPr>
          <w:t>二、释义</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_Toc227915010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6</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1" w:history="1">
        <w:r w:rsidRPr="00CA6C16">
          <w:rPr>
            <w:rStyle w:val="aa"/>
            <w:rFonts w:ascii="宋体" w:hAnsi="宋体" w:hint="eastAsia"/>
            <w:noProof/>
            <w:sz w:val="24"/>
          </w:rPr>
          <w:t>三、风险揭示</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_Toc227915011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12</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2" w:history="1">
        <w:r w:rsidRPr="00CA6C16">
          <w:rPr>
            <w:rStyle w:val="aa"/>
            <w:rFonts w:ascii="宋体" w:hAnsi="宋体" w:hint="eastAsia"/>
            <w:noProof/>
            <w:sz w:val="24"/>
          </w:rPr>
          <w:t>四、基金的投资</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_Toc227915012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22</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3" w:history="1">
        <w:r w:rsidRPr="00CA6C16">
          <w:rPr>
            <w:rStyle w:val="aa"/>
            <w:rFonts w:ascii="宋体" w:hAnsi="宋体" w:hint="eastAsia"/>
            <w:noProof/>
            <w:sz w:val="24"/>
          </w:rPr>
          <w:t>五、基金的业绩</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_Toc227915013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35</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4" w:history="1">
        <w:r w:rsidRPr="00CA6C16">
          <w:rPr>
            <w:rStyle w:val="aa"/>
            <w:rFonts w:ascii="宋体" w:hAnsi="宋体" w:hint="eastAsia"/>
            <w:noProof/>
            <w:sz w:val="24"/>
          </w:rPr>
          <w:t>六、基金管理人</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_Toc227915014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38</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5" w:history="1">
        <w:r w:rsidRPr="00CA6C16">
          <w:rPr>
            <w:rStyle w:val="aa"/>
            <w:rFonts w:ascii="宋体" w:hAnsi="宋体" w:hint="eastAsia"/>
            <w:noProof/>
            <w:sz w:val="24"/>
          </w:rPr>
          <w:t>七、基金的募集</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_Toc227915015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47</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6" w:history="1">
        <w:r w:rsidRPr="00CA6C16">
          <w:rPr>
            <w:rStyle w:val="aa"/>
            <w:rFonts w:ascii="宋体" w:hAnsi="宋体" w:hint="eastAsia"/>
            <w:noProof/>
            <w:sz w:val="24"/>
          </w:rPr>
          <w:t>八、基金合同的生效</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_Toc227915016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48</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7" w:history="1">
        <w:r w:rsidRPr="00CA6C16">
          <w:rPr>
            <w:rStyle w:val="aa"/>
            <w:rFonts w:ascii="宋体" w:hAnsi="宋体" w:hint="eastAsia"/>
            <w:noProof/>
            <w:sz w:val="24"/>
          </w:rPr>
          <w:t>九、基金份额的上市交易</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_Toc227915017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49</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8" w:history="1">
        <w:r w:rsidRPr="00CA6C16">
          <w:rPr>
            <w:rStyle w:val="aa"/>
            <w:rFonts w:ascii="宋体" w:hAnsi="宋体" w:hint="eastAsia"/>
            <w:noProof/>
            <w:sz w:val="24"/>
          </w:rPr>
          <w:t>十、基金份额的申购与赎回</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_Toc227915018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51</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19" w:history="1">
        <w:r w:rsidRPr="00CA6C16">
          <w:rPr>
            <w:rStyle w:val="aa"/>
            <w:rFonts w:ascii="宋体" w:hAnsi="宋体" w:hint="eastAsia"/>
            <w:noProof/>
            <w:sz w:val="24"/>
          </w:rPr>
          <w:t>十一、基金的费用与税收</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_Toc227915019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68</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0" w:history="1">
        <w:r w:rsidRPr="00CA6C16">
          <w:rPr>
            <w:rStyle w:val="aa"/>
            <w:rFonts w:ascii="宋体" w:hAnsi="宋体" w:hint="eastAsia"/>
            <w:noProof/>
            <w:sz w:val="24"/>
          </w:rPr>
          <w:t>十二、基金的财产</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_Toc227915020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71</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1" w:history="1">
        <w:r w:rsidRPr="00CA6C16">
          <w:rPr>
            <w:rStyle w:val="aa"/>
            <w:rFonts w:ascii="宋体" w:hAnsi="宋体" w:hint="eastAsia"/>
            <w:noProof/>
            <w:sz w:val="24"/>
          </w:rPr>
          <w:t>十三、基金资产的估值</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_Toc227915021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72</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2" w:history="1">
        <w:r w:rsidRPr="00CA6C16">
          <w:rPr>
            <w:rStyle w:val="aa"/>
            <w:rFonts w:ascii="宋体" w:hAnsi="宋体" w:hint="eastAsia"/>
            <w:noProof/>
            <w:sz w:val="24"/>
          </w:rPr>
          <w:t>十四、基金收益与分配</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_Toc227915022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78</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3" w:history="1">
        <w:r w:rsidRPr="00CA6C16">
          <w:rPr>
            <w:rStyle w:val="aa"/>
            <w:rFonts w:ascii="宋体" w:hAnsi="宋体" w:hint="eastAsia"/>
            <w:noProof/>
            <w:sz w:val="24"/>
          </w:rPr>
          <w:t>十五、基金的会计与审计</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_Toc227915023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80</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4" w:history="1">
        <w:r w:rsidRPr="00CA6C16">
          <w:rPr>
            <w:rStyle w:val="aa"/>
            <w:rFonts w:ascii="宋体" w:hAnsi="宋体" w:hint="eastAsia"/>
            <w:noProof/>
            <w:sz w:val="24"/>
          </w:rPr>
          <w:t>十六、基金的信息披露</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_Toc227915024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81</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5" w:history="1">
        <w:r w:rsidRPr="00CA6C16">
          <w:rPr>
            <w:rStyle w:val="aa"/>
            <w:rFonts w:ascii="宋体" w:hAnsi="宋体" w:hint="eastAsia"/>
            <w:noProof/>
            <w:sz w:val="24"/>
          </w:rPr>
          <w:t>十七、基金合同的变更、终止与基金财产的清算</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_Toc227915025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87</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6" w:history="1">
        <w:r w:rsidRPr="00CA6C16">
          <w:rPr>
            <w:rStyle w:val="aa"/>
            <w:rFonts w:ascii="宋体" w:hAnsi="宋体" w:hint="eastAsia"/>
            <w:noProof/>
            <w:sz w:val="24"/>
          </w:rPr>
          <w:t>十八、基金托管人</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_Toc227915026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89</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7" w:history="1">
        <w:r w:rsidRPr="00CA6C16">
          <w:rPr>
            <w:rStyle w:val="aa"/>
            <w:rFonts w:ascii="宋体" w:hAnsi="宋体" w:hint="eastAsia"/>
            <w:noProof/>
            <w:sz w:val="24"/>
          </w:rPr>
          <w:t>十九、境外托管人</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_Toc227915027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92</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8" w:history="1">
        <w:r w:rsidRPr="00CA6C16">
          <w:rPr>
            <w:rStyle w:val="aa"/>
            <w:rFonts w:ascii="宋体" w:hAnsi="宋体" w:hint="eastAsia"/>
            <w:noProof/>
            <w:sz w:val="24"/>
          </w:rPr>
          <w:t>二十、相关服务机构</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_Toc227915028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94</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29" w:history="1">
        <w:r w:rsidRPr="00CA6C16">
          <w:rPr>
            <w:rStyle w:val="aa"/>
            <w:rFonts w:ascii="宋体" w:hAnsi="宋体" w:hint="eastAsia"/>
            <w:noProof/>
            <w:sz w:val="24"/>
          </w:rPr>
          <w:t>二十一、基金合同内容摘要</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_Toc227915029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127</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30" w:history="1">
        <w:r w:rsidRPr="00CA6C16">
          <w:rPr>
            <w:rStyle w:val="aa"/>
            <w:rFonts w:ascii="宋体" w:hAnsi="宋体" w:hint="eastAsia"/>
            <w:noProof/>
            <w:sz w:val="24"/>
          </w:rPr>
          <w:t>二十二、托管协议的内容摘要</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_Toc227915030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144</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31" w:history="1">
        <w:r w:rsidRPr="00CA6C16">
          <w:rPr>
            <w:rStyle w:val="aa"/>
            <w:rFonts w:ascii="宋体" w:hAnsi="宋体" w:hint="eastAsia"/>
            <w:noProof/>
            <w:sz w:val="24"/>
          </w:rPr>
          <w:t>二十三、对基金份额持有人的服务</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_Toc227915031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157</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32" w:history="1">
        <w:r w:rsidRPr="00CA6C16">
          <w:rPr>
            <w:rStyle w:val="aa"/>
            <w:rFonts w:ascii="宋体" w:hAnsi="宋体" w:hint="eastAsia"/>
            <w:noProof/>
            <w:sz w:val="24"/>
          </w:rPr>
          <w:t>二十四、其他应披露事项</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_Toc227915032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159</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33" w:history="1">
        <w:r w:rsidRPr="00CA6C16">
          <w:rPr>
            <w:rStyle w:val="aa"/>
            <w:rFonts w:ascii="宋体" w:hAnsi="宋体" w:hint="eastAsia"/>
            <w:noProof/>
            <w:sz w:val="24"/>
          </w:rPr>
          <w:t>二十五、招募说明书的存放及查阅方式</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_Toc227915033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162</w:t>
        </w:r>
        <w:r w:rsidRPr="00CA6C16">
          <w:rPr>
            <w:rFonts w:ascii="宋体" w:hAnsi="宋体"/>
            <w:noProof/>
            <w:sz w:val="24"/>
          </w:rPr>
          <w:fldChar w:fldCharType="end"/>
        </w:r>
      </w:hyperlink>
    </w:p>
    <w:p w:rsidR="00CA6C16" w:rsidRPr="00CA6C16" w:rsidRDefault="00CA6C16" w:rsidP="00CA6C16">
      <w:pPr>
        <w:pStyle w:val="10"/>
        <w:tabs>
          <w:tab w:val="right" w:leader="dot" w:pos="8550"/>
        </w:tabs>
        <w:spacing w:line="360" w:lineRule="auto"/>
        <w:rPr>
          <w:rFonts w:ascii="宋体" w:hAnsi="宋体" w:cstheme="minorBidi"/>
          <w:noProof/>
          <w:sz w:val="24"/>
        </w:rPr>
      </w:pPr>
      <w:hyperlink w:anchor="_Toc227915034" w:history="1">
        <w:r w:rsidRPr="00CA6C16">
          <w:rPr>
            <w:rStyle w:val="aa"/>
            <w:rFonts w:ascii="宋体" w:hAnsi="宋体" w:hint="eastAsia"/>
            <w:noProof/>
            <w:sz w:val="24"/>
          </w:rPr>
          <w:t>二十六、备查文件</w:t>
        </w:r>
        <w:r w:rsidRPr="00CA6C16">
          <w:rPr>
            <w:rFonts w:ascii="宋体" w:hAnsi="宋体"/>
            <w:noProof/>
            <w:sz w:val="24"/>
          </w:rPr>
          <w:tab/>
        </w:r>
        <w:r w:rsidRPr="00CA6C16">
          <w:rPr>
            <w:rFonts w:ascii="宋体" w:hAnsi="宋体"/>
            <w:noProof/>
            <w:sz w:val="24"/>
          </w:rPr>
          <w:fldChar w:fldCharType="begin"/>
        </w:r>
        <w:r w:rsidRPr="00CA6C16">
          <w:rPr>
            <w:rFonts w:ascii="宋体" w:hAnsi="宋体"/>
            <w:noProof/>
            <w:sz w:val="24"/>
          </w:rPr>
          <w:instrText xml:space="preserve"> PAGEREF _Toc227915034 \h </w:instrText>
        </w:r>
        <w:r w:rsidRPr="00CA6C16">
          <w:rPr>
            <w:rFonts w:ascii="宋体" w:hAnsi="宋体"/>
            <w:noProof/>
            <w:sz w:val="24"/>
          </w:rPr>
        </w:r>
        <w:r w:rsidRPr="00CA6C16">
          <w:rPr>
            <w:rFonts w:ascii="宋体" w:hAnsi="宋体"/>
            <w:noProof/>
            <w:sz w:val="24"/>
          </w:rPr>
          <w:fldChar w:fldCharType="separate"/>
        </w:r>
        <w:r w:rsidRPr="00CA6C16">
          <w:rPr>
            <w:rFonts w:ascii="宋体" w:hAnsi="宋体"/>
            <w:noProof/>
            <w:sz w:val="24"/>
          </w:rPr>
          <w:t>163</w:t>
        </w:r>
        <w:r w:rsidRPr="00CA6C16">
          <w:rPr>
            <w:rFonts w:ascii="宋体" w:hAnsi="宋体"/>
            <w:noProof/>
            <w:sz w:val="24"/>
          </w:rPr>
          <w:fldChar w:fldCharType="end"/>
        </w:r>
      </w:hyperlink>
    </w:p>
    <w:p w:rsidR="002F6AF2" w:rsidRPr="00CA6C16" w:rsidRDefault="00CA6C16" w:rsidP="00CA6C16">
      <w:pPr>
        <w:pStyle w:val="ad"/>
        <w:snapToGrid w:val="0"/>
        <w:spacing w:after="240" w:line="360" w:lineRule="auto"/>
        <w:jc w:val="center"/>
        <w:rPr>
          <w:rFonts w:ascii="宋体" w:hAnsi="宋体"/>
          <w:color w:val="000000"/>
          <w:sz w:val="24"/>
        </w:rPr>
      </w:pPr>
      <w:r w:rsidRPr="00CA6C16">
        <w:rPr>
          <w:rFonts w:ascii="宋体" w:hAnsi="宋体"/>
          <w:color w:val="000000"/>
          <w:position w:val="-4"/>
          <w:sz w:val="24"/>
          <w:szCs w:val="30"/>
        </w:rPr>
        <w:fldChar w:fldCharType="end"/>
      </w:r>
      <w:bookmarkStart w:id="3" w:name="_GoBack"/>
      <w:bookmarkEnd w:id="3"/>
    </w:p>
    <w:p w:rsidR="002F6AF2" w:rsidRDefault="002F6AF2">
      <w:pPr>
        <w:autoSpaceDE w:val="0"/>
        <w:autoSpaceDN w:val="0"/>
        <w:adjustRightInd w:val="0"/>
        <w:snapToGrid w:val="0"/>
        <w:spacing w:line="360" w:lineRule="auto"/>
        <w:ind w:left="120" w:rightChars="6" w:right="13"/>
        <w:rPr>
          <w:rFonts w:ascii="宋体" w:hAnsi="宋体"/>
          <w:kern w:val="0"/>
          <w:szCs w:val="24"/>
        </w:rPr>
        <w:sectPr w:rsidR="002F6AF2">
          <w:pgSz w:w="11920" w:h="16840"/>
          <w:pgMar w:top="1480" w:right="1680" w:bottom="280" w:left="1680" w:header="0" w:footer="1073" w:gutter="0"/>
          <w:cols w:space="720"/>
        </w:sectPr>
      </w:pPr>
    </w:p>
    <w:p w:rsidR="002F6AF2" w:rsidRDefault="00677079">
      <w:pPr>
        <w:pStyle w:val="1"/>
        <w:snapToGrid w:val="0"/>
        <w:spacing w:beforeLines="0" w:before="240" w:after="240"/>
        <w:rPr>
          <w:rFonts w:ascii="宋体" w:hAnsi="宋体"/>
          <w:szCs w:val="30"/>
        </w:rPr>
      </w:pPr>
      <w:bookmarkStart w:id="4" w:name="_Toc227915009"/>
      <w:r>
        <w:rPr>
          <w:rFonts w:ascii="Times New Roman" w:hAnsi="Times New Roman"/>
          <w:sz w:val="30"/>
        </w:rPr>
        <w:lastRenderedPageBreak/>
        <w:t>一、绪言</w:t>
      </w:r>
      <w:bookmarkEnd w:id="4"/>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中证海外中国互联网指数型证券投资基金（LOF）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合格境内机构投资者境外证券投资管理试行办法》（以下简称“《试行办法》”）、《公开募集开放式证券投资基金流动性风险管理规定》（以下简称“《流动性规定》”）、《公开募集证券投资基金运作指引第3号——指数基金指引》（以下简称“《指数基金指引》”）和其他相关法律法规的规定以及《交银施罗德中证海外中国互联网指数型证券投资基金（LOF）基金合同》（以下简称“基金合同”）编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5" w:name="_Toc227915010"/>
      <w:r>
        <w:rPr>
          <w:rFonts w:ascii="Times New Roman" w:hAnsi="Times New Roman"/>
          <w:sz w:val="30"/>
        </w:rPr>
        <w:lastRenderedPageBreak/>
        <w:t>二、释义</w:t>
      </w:r>
      <w:bookmarkEnd w:id="5"/>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1、基金或本基金：指交银施罗德中证海外中国互联网指数型证券投资基金（LOF）</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4、境外托管人：指符合法律法规规定的条件，根据基金托管人与其签订的合同，为本基金提供境外资产托管服务的境外金融机构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5、基金合同或《基金合同》：指《交银施罗德中证海外中国互联网指数型证券投资基金（LOF）基金合同》及对基金合同的任何有效修订和补充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6、托管协议：指基金管理人与基金托管人就本基金签订之《交银施罗德中证海外中国互联网指数型证券投资基金（LOF）托管协议》及对该托管协议的任何有效修订和补充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7、招募说明书或《招募说明书》或本招募说明书：指《交银施罗德中证海外中国互联网指数型证券投资基金（LOF）招募说明书》及其更新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8、基金产品资料概要：指《交银施罗德中证海外中国互联网指数型证券投资基金（LOF）基金产品资料概要》及其更新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9、基金份额发售公告：指《交银施罗德中证海外中国互联网指数型证券投资基金（LOF）基金份额发售公告》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10、上市交易公告书：指《交银施罗德中证海外中国互联网指数型证券投资基金（LOF）上市交易公告书》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11、法律法规：指中国现行有效并公布实施的法律、行政法规、规范性文件、司法解释、行政规章以及其他对基金合同当事人有约束力的决定、决议、通知等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法》：指2003年10月28日经第十届全国人民代表大会常务委员会第五次会议通过，并经2012年12月28日第十一届全国人民代表大会常务委员会第三十次会议修订，自2013年6月1日起实施的《中华人民共和国证券投资基金法》及其后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13、《销售办法》：指中国证监会2013年3月15日颁布、同年6月1日实施的《证券投资基金销售管理办法》及颁布机关对其不时做出的修订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14、《信息披露办法》：指中国证监会2019年7月26日颁布、同年9月1日实施的《公开募集证券投资基金信息披露管理办法》及颁布机关对其不时做出的修订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15、《运作办法》：指中国证监会2014年7月7日颁布、同年8月8日实施的《公开募集证券投资基金运作管理办法》及颁布机关对其不时做出的修订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16、《试行办法》：指中国证监会2007年6月18日颁布、同年7月5日实施的《合格境内机构投资者境外证券投资管理试行办法》及颁布机关对其不时做出的修订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17、《通知》：指中国证监会2007年6月18日颁布、同年7月5日实施的《关于实施&lt;合格境内机构投资者境外证券投资管理试行办法&gt;有关问题的通知》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18、《流动性规定》：指中国证监会2017年8月31日颁布、同年10月1日实施的《公开募集开放式证券投资基金流动性风险管理规定》及颁布机关对其不时做出的修订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19、《指数基金指引》：指中国证监会2021年1月22日颁布、同年2月1日实施的《公开募集证券投资基金运作指引第3号——指数基金指引》及颁布机关对其不时做出的修订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20、中国证监会：指中国证券监督管理委员会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21、银行业监督管理机构：指中国人民银行和/或中国银行业监督管理委员会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22、外管局：指国家外汇管理局或其授权的派出机构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23、基金合同当事人：指受基金合同约束，根据基金合同享有权利并承担义务的法律主体，包括基金管理人、基金托管人和基金份额持有人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24、个人投资者：指依据有关法律法规规定可投资于证券投资基金的自然人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25、机构投资者：指依法可以投资证券投资基金的、在中华人民共和国境内合法登记并存续或经有关政府部门批准设立并存续的企业法人、事业法人、社会团体或其他组织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26、合格境外机构投资者：指符合《合格境外机构投资者境内证券投资管理办法》及相关法律法规规定可以投资于在中国境内依法募集的证券投资基金的中国境外的机构投资者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27、投资人或投资者：指个人投资者、机构投资者和合格境外机构投资者以及法律法规或中国证监会允许购买证券投资基金的其他投资人的合称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28、基金份额持有人：指依基金合同和招募说明书合法取得基金份额的投资人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29、基金销售业务：指基金管理人或销售机构宣传推介基金，发售基金份额，</w:t>
      </w:r>
      <w:r>
        <w:rPr>
          <w:rFonts w:ascii="宋体" w:hAnsi="宋体"/>
          <w:sz w:val="24"/>
        </w:rPr>
        <w:lastRenderedPageBreak/>
        <w:t>办理基金份额的申购、赎回、转换、转托管、定期定额投资及上市交易等业务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30、直销机构：指交银施罗德基金管理有限公司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销售机构：指交银施罗德基金管理有限公司以及符合《销售办法》和中国证监会规定的其他条件，取得基金销售业务资格并与基金管理人签订了基金销售服务协议，办理基金销售业务的机构以及可通过深圳证券交易所交易系统办理基金销售业务的会员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32、会员单位：指深圳证券交易所会员单位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场外：指不通过深圳证券交易所交易系统，而通过直销机构和其它场外销售机构的柜台系统或其他交易系统办理基金份额认购、申购和赎回等业务的场所。通过该等场所办理基金份额的认购、申购和赎回也称为场外认购、场外申购和场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场内：指通过深圳证券交易所内具有相应业务资格的会员单位利用深圳证券交易所交易系统办理基金份额认购、申购、赎回和上市交易等业务的场所。通过该等场所办理基金份额的认购、申购和赎回也称为场内认购、场内申购和场内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35、标的指数：指中证海外中国互联网指数（人民币）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36、注册登记系统：指中国证券登记结算有限责任公司开放式基金登记结算系统，通过场外认购、申购的基金份额登记在注册登记系统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37、证券登记结算系统：指中国证券登记结算有限责任公司深圳分公司证券登记结算系统，通过场内认购、申购的基金份额和买入的基金份额登记在证券登记结算系统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38、场外份额：指登记在注册登记系统下的基金份额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39、场内份额：指登记在证券登记结算系统下的基金份额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41、登记机构：指办理登记业务的机构。基金的登记机构为交银施罗德基金管理有限公司或接受交银施罗德基金管理有限公司委托代为办理登记业务的机构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开放式基金账户：指投资者通过场外销售机构在中国证券登记结算有限责任公司注册的开放式基金账户，基金投资者办理场外认购、场外申购和场外赎回等业务时需具有开放式基金账户，记录在该账户下的基金份额登记在登记机构的注册</w:t>
      </w:r>
      <w:r>
        <w:rPr>
          <w:rFonts w:ascii="宋体" w:hAnsi="宋体"/>
          <w:sz w:val="24"/>
        </w:rPr>
        <w:lastRenderedPageBreak/>
        <w:t>登记系统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深圳证券账户：指在中国证券登记结算有限责任公司开设的深圳证券交易所人民币普通股票账户或证券投资基金账户。基金投资者通过深圳证券交易所交易系统办理基金交易、场内认购、场内申购和场内赎回等业务时需持有深圳证券账户，记录在该账户下的基金份额登记在登记机构的证券登记结算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44、基金交易账户：指销售机构为投资人开立的、记录投资人通过该销售机构办理认购、申购、赎回、交易、转换、转托管及定期定额投资等业务而引起的基金份额变动及结余情况的账户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45、基金合同生效日：指基金募集达到法律法规规定及基金合同规定的条件，基金管理人向中国证监会办理基金备案手续完毕，并获得中国证监会书面确认的日期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46、基金合同终止日：指基金合同规定的基金合同终止事由出现后，基金财产清算完毕，清算结果报中国证监会备案并予以公告的日期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47、基金募集期：指自基金份额发售之日起至发售结束之日止的期间，最长不得超过3个月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48、存续期：指基金合同生效至终止之间的不定期期限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49、工作日：指上海证券交易所、深圳证券交易所的正常交易日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50、T日：指销售机构在规定时间受理投资人申购、赎回或其他业务申请的开放日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51、T+n日：指自T日起第n个工作日(不包含T日)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52、开放日：指为投资人办理基金份额申购、赎回或其他业务的工作日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53、开放时间：指开放日基金接受申购、赎回或其他交易的时间段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54、《业务规则》：指本基金管理人、深圳证券交易所、中国证券登记结算有限责任公司及销售机构的相关业务规则及其不时做出的修订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55、认购：指在基金募集期内，投资人根据基金合同和招募说明书的规定申请购买基金份额的行为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56、申购：指基金合同生效后，投资人根据基金合同和招募说明书的规定申请购买基金份额的行为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57、赎回：指基金合同生效后，基金份额持有人按基金合同和招募说明书规定的条件要求将基金份额兑换为现金的行为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58、上市交易：指基金合同生效后，投资人通过场内会员单位以集中竞价的方式买卖基金份额的行为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59、基金转换：指基金份额持有人按照基金合同和基金管理人届时有效公告规定的条件，申请将其持有基金管理人管理的、某一基金的基金份额转换为基金管理人管理的其他基金基金份额的行为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60、转托管：指基金份额持有人在本基金的不同销售机构之间实施的变更所持基金份额销售机构的操作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61、系统内转托管：指基金份额持有人将持有的基金份额在注册登记系统内不同销售机构（网点）之间或证券登记结算系统内不同会员单位（交易单元）之间进行转登记的行为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62、跨系统转托管：指基金份额持有人将持有的A类基金份额在注册登记系统和证券登记结算系统间进行转登记的行为。除经基金管理人另行公告，C类基金份额不能进行跨系统转托管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65、元：指人民币元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66、基金收益：指基金投资所得红利、股息、债券利息、买卖证券价差、银行存款利息、已实现的其他合法收入及因运用基金财产带来的成本和费用的节约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67、基金资产总值：指基金拥有的各类有价证券、银行存款本息、基金应收申购款及其他资产的价值总和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68、基金资产净值：指基金资产总值减去基金负债后的价值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69、基金份额净值：指计算日基金资产净值除以计算日基金份额总数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70、基金资产估值：指计算评估基金资产和负债的价值，以确定基金资产净值和基金份额净值的过程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71、销售服务费：指从基金财产中计提的，用于本基金市场推广、销售以及基金份额持有人服务的费用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72、A类基金份额：指在投资人申购时收取申购费用且不从本类别基金资产中计提销售服务费的基金份额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73、C类基金份额：指在投资人申购时不收取申购费用，并从本类别基金资产中计提销售服务费的基金份额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75、指定媒介：指中国证监会指定的用以进行信息披露的全国性报刊及指定互联网网站（包括基金管理人网站、基金托管人网站、中国证监会基金电子披露网站）等媒介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76、不可抗力：指基金合同当事人不能预见、不能避免且不能克服的客观事件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77、公司行为信息：本基金持仓证券的发行公司公布的需要在基金净值计算、会计核算时所考虑的重大信息，包括但不限于权益派发、配股、提前赎回等信息</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6" w:name="_Toc227915011"/>
      <w:r>
        <w:rPr>
          <w:rFonts w:ascii="Times New Roman" w:hAnsi="Times New Roman"/>
          <w:sz w:val="30"/>
        </w:rPr>
        <w:lastRenderedPageBreak/>
        <w:t>三、风险揭示</w:t>
      </w:r>
      <w:bookmarkEnd w:id="6"/>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信息披露文件，了解基金的风险收益特征，并根据自身的投资目的、投资期限、投资经验、资产状况等判断基金是否和投资人的风险承受能力相适应，自主判断基金的投资价值，自主做出投资决策，自行承担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分红等行为导致基金份额净值变化，不会改变基金的风险收益特征，不会降低基金投资风险或提高基金投资收益。以1元初始面值开展基金募集或因分红等行为导致基金份额净值调整至1元初始面值或1元附近，在市场波动等因素的影响下，基金投资仍有可能出现亏损或基金净值仍有可能低于初始面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w:t>
      </w:r>
      <w:r>
        <w:rPr>
          <w:rFonts w:ascii="宋体" w:hAnsi="宋体"/>
          <w:sz w:val="24"/>
        </w:rPr>
        <w:lastRenderedPageBreak/>
        <w:t>赎回处理。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（五）交易结算风险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交易结算风险是指基金在投资交易的过程中，因交易对手方无法履行支付义务而使基金资产有遭受损失的可能性。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（六）操作或技术风险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相关当事人在业务各环节操作过程中，因内部控制存在缺陷或者人为因素造成操作失误或违反操作规程等原因可能引致风险，例如，越权违规交易、会计部门欺</w:t>
      </w:r>
      <w:r>
        <w:rPr>
          <w:rFonts w:ascii="宋体" w:hAnsi="宋体"/>
          <w:sz w:val="24"/>
        </w:rPr>
        <w:lastRenderedPageBreak/>
        <w:t>诈、交易错误、IT系统故障等风险。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放式基金的各种交易行为或者后台运作中，可能因为技术系统的故障或者差错而影响交易的正常进行或者导致投资者的利益受到影响。这种技术风险可能来自基金管理人、基金托管人、境外托管人、注册登记机构、销售机构、证券交易所、证券登记结算机构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（七）本基金投资策略所特有的指数化投资风险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1、标的指数回报与股票市场平均回报偏离的风险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标的指数并不能完全代表整个股票市场。标的指数成份股的平均回报率与整个股票市场的平均回报率可能存在偏离。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2、标的指数波动的风险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标的指数成份股的价格可能受到政治因素、经济因素、上市公司经营状况、投资人心理和交易制度等各种因素的影响而波动，导致指数波动，从而使基金收益水平发生变化，产生风险。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3、基金投资组合回报与标的指数回报偏离的风险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以下因素可能使基金投资组合的收益率与标的指数的收益率发生偏离：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（1）由于标的指数调整成份股或变更编制方法，使本基金在相应的组合调整中产生跟踪偏离度与跟踪误差。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（2）由于标的指数成份股发生配股、增发等行为导致成份股在标的指数中的权重发生变化，使本基金在相应的组合调整中产生跟踪偏离度和跟踪误差。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（3）标的指数成份股派发现金红利、新股市值配售收益将导致基金收益率超过标的指数收益率，产生正的跟踪偏离度。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（4）由于标的指数成份股停牌、摘牌或流动性差等原因使本基金无法及时调整投资组合或承担冲击成本而产生跟踪偏离度和跟踪误差。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（5）因法律法规的限制或其他限制，本基金可能不能投资于部分标的指数成分股。在使用替代方法，如投资同行业中相关性较高的股票以替代上述投资受限股票时，会产生一定的跟踪偏离度和跟踪误差。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（6）基金有投资成本、各种费用及税收，而指数编制不考虑费用和税收，这将导致基金收益率落后于标的指数收益率，产生负的跟踪偏离度。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（7）在本基金指数化投资过程中，基金管理人的管理能力，例如跟踪指数的水平、技术手段、买入卖出的时机选择等，都会对本基金的收益产生影响，从而影</w:t>
      </w:r>
      <w:r>
        <w:rPr>
          <w:rFonts w:ascii="宋体" w:hAnsi="宋体"/>
          <w:sz w:val="24"/>
        </w:rPr>
        <w:lastRenderedPageBreak/>
        <w:t>响本基金对标的指数的跟踪程度。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4、标的指数变更的风险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5、跟踪误差控制未达约定目标的风险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本基金力争控制本基金日均跟踪偏离度的绝对值不超过0.5%，年跟踪误差不超过5%。但因标的指数编制规则调整或其他因素可能导致跟踪误差超过上述范围，本基金净值表现与指数价格走势可能发生较大偏离。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6、指数编制机构停止服务的风险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投资人将面临更换基金标的指数、转换运作方式，与其他基金合并或者终止基金合同等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7、成份股停牌的风险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标的指数成份股可能因各种原因临时或长期停牌，发生成份股停牌时可能面临如下风险：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（1）基金可能因无法及时调整投资组合而导致跟踪偏离度和跟踪误差扩大。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（2）若成份股停牌时间较长，在约定时间内仍未能及时买入或卖出的，由此可能影响投资者的投资损益并使基金产生跟踪偏离度和跟踪误差。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极端情况下，标的指数成份股可能大面积停牌，基金可能无法及时卖出成份股以获取足额的符合要求的赎回款项，由此基金管理人可能采取暂停赎回的措施，投资者将面临无法赎回全部或部分基金份额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当标的指数成份股发生明显负面事件面临退市，且指数编制机构暂未作出调整的，基金管理人应当按照持有人利益优先的原则，履行内部决策程序后及时对相关成份股进行调整，可能影响投资者的投资损益并使基金产生跟踪偏离度和跟踪误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（八）境外投资风险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1、海外市场风险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海外市场风险是指由于市场因素如基础利率、汇率、股票价格和商品价格的变化或由于这些市场因素的波动率的变化而引起的证券价格的非预期变化，并产生损失的可能性。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将投资于海外股票市场，因此一方面基金净值会因全球股市的整体变化而出现价格波动。另一方面，各国各地区处于不同的产业经济循环周期之中，这也将对基金的投资绩效产生影响。具体而言，海外股票市场对于负面的特定事件的反映各不相同；各国或地区有其独特的政治因素、法律法规、市场状况、经济发展趋势；并且美国、香港等证券交易市场对每日证券交易价格并无涨跌幅上下限的规定，使得这些国家或地区证券的每日涨跌幅空间相对较大。以上所述因素都可能会带来市场的急剧下跌，从而导致投资风险的增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当汇率发生变动时，将会影响到人民币计价的净资产价值，从而导致基金资产面临潜在风险。汇率的波动也可能加大基金净值的波动，从而对基金业绩产生影响。此外，由于基金运作中的汇率取自汇率发布机构，如果汇率发布机构出现汇率发布时间延迟或是汇率数据错误等情况，可能会对基金运作或者投资者的决策产生不利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3、法律及政治管制风险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由于各个国家/地区适用不同法律法规的原因，可能导致本基金的某些投资行为在部分国家/地区受到限制或合同不能正常执行，从而使得基金资产面临损失的</w:t>
      </w:r>
      <w:r>
        <w:rPr>
          <w:rFonts w:ascii="宋体" w:hAnsi="宋体"/>
          <w:sz w:val="24"/>
        </w:rPr>
        <w:lastRenderedPageBreak/>
        <w:t>可能性。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4、政治风险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或地区的财政政策、货币政策、产业政策、地区发展政策等宏观政策发生变化，导致市场波动而影响基金收益，也会产生风险，称之为政治风险。例如，外国政府可能会鉴于政治上的优先考虑，改变支付政策；新政府或许会拒绝承担前任政府的债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全球市场为主要的投资地区，因此全球的政治、社会或经济情势的变动（包括天然灾害、战争、暴动或罢工等），都可能对本基金所参与的投资市场或投资产品造成直接或者是间接的负面冲击。本基金将在内部及外部研究机构的支持下，密切关注各国政治、经济和产业政策的变化，适时调整投资策略以应对政治风险的变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5、税务风险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投资各国或地区市场时，因各国、地区税务法律法规的不同，可能会就股息、利息、资本利得等收益向各国、地区税务机构缴纳税金，包括预扣税，该行为可能会使得资产回报受到一定影响。各国、地区的税收法律法规的规定可能变化，或者加以具有追溯力的修订，所以可能须向该等国家或地区缴纳本基金销售、估值或者出售投资当日并未预计的额外税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本基金在投资海外市场时会事先了解清楚各地区的税务法律法规，同时，在境外托管人的协助下，完成投资所在国家或地区的税务扣缴工作。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6、会计核算风险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由于各个国家/地区对上市公司日常经营活动的会计处理、财务报表披露等会计核算标准的规定存在一定差异，可能导致基金经理对公司盈利能力、投资价值的判断产生偏差，从而给本基金投资带来潜在风险。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（九）基金运作的特定风险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上市期间可能因发生停牌情形导致基金停牌，投资人在停牌期间不能买卖对应上市交易份额，从而产生不能买卖A类基金份额的风险；同时，可能因上市后交易对手不足而产生流动性风险；另外，当本基金A类基金份额存续期内不满足深圳证券交易所规定的上市条件时，本基金A类基金份额存在暂停上市或终止上市的可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2、基金份额的折/溢价交易风险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本基金A类基金份额上市交易后，由于受市场供求关系的影响，A类基金份额的交易价格与A类基金份额的基金份额净值可能发生偏离而出现折/溢价交易风险。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3、基金合同提前终止风险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连续二十个工作日低于1亿元时，基金管理人可向中国证监会报告并履行适当程序后提前终止基金合同，不需召开基金份额持有人大会。若基金管理人未依前述规定提前终止合同的，连续六十个工作日出现基金份额持有人数量不满200人或者基金资产净值低于5000万元情形的，基金管理人应当向中国证监会报告并履行适当程序后提前终止基金合同，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4、金融模型风险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运作将采用一定的金融模型进行决策。任何金融模型都是建立在一定理论假设的基础之上，理论假设是对现实情况的高度抽象，这使得金融模型在实际运用当中可能会产生偏差。此外，在实际运作中，可能因市场结构、投资者行为模式等条件发生变动，导致有关模型出现重大偏离的问题，从而引起基金资产损失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5、衍生品投资风险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金融衍生产品具有杠杆效应，价格波动较为剧烈，在市场面临突发事件时，可能会导致投资亏损高于初始投资金额，从而对基金收益带来不利影响。此外，衍生品的交易可能不够活跃，在市场变化时，可能因无法及时找到交易对手或交易对手方压低报价，导致基金资产的额外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本基金投资衍生品不得应用于投机交易目的，会通过控制规模、计算风险价值等手段来有效控制风险。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6、证券借贷和正回购／逆回购风险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借贷、正回购／逆回购的主要风险在于交易对手风险，具体讲，对于证券借贷，作为证券借出方，如果交易对手方（即证券借入方）违约，则基金可能面临到期无法获得证券借贷收入甚至借出证券无法归还的风险，从而导致基金资产发生损失；对于正回购，交易期满时，可能会出现交易对手方未如约卖回已买入证券、未如约支付售出证券产生的所有股息、利息和分红的风险；对于逆回购，交易期满时，可能会出现交易对手方未如约买回已售出证券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w:t>
      </w:r>
      <w:r w:rsidRPr="00BB248E">
        <w:rPr>
          <w:rFonts w:ascii="宋体" w:hAnsi="宋体" w:hint="eastAsia"/>
          <w:b/>
          <w:kern w:val="0"/>
          <w:sz w:val="24"/>
        </w:rPr>
        <w:lastRenderedPageBreak/>
        <w:t>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7" w:name="_Toc227915012"/>
      <w:r>
        <w:rPr>
          <w:rFonts w:ascii="Times New Roman" w:hAnsi="Times New Roman"/>
          <w:sz w:val="30"/>
        </w:rPr>
        <w:lastRenderedPageBreak/>
        <w:t>四、基金的投资</w:t>
      </w:r>
      <w:bookmarkEnd w:id="7"/>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本基金紧密跟踪标的指数，追求跟踪偏离度与跟踪误差最小化。本基金力争控制本基金日均跟踪偏离度的绝对值不超过0. 5%，年跟踪误差不超过5%。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的比例合计不低于基金资产净值的5%，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指数型基金，原则上采用完全复制标的指数的方法跟踪标的指数，即按照中证海外中国互联网指数中的成份股组成及其权重构建股票投资组合，并根据标的指数成份股及其权重的变动进行相应调整。当预期成份股发生调整和成份股发生配股、增发、分红等行为时，或因基金的申购和赎回等对本基金跟踪标的指数的</w:t>
      </w:r>
      <w:r>
        <w:rPr>
          <w:rFonts w:ascii="宋体" w:hAnsi="宋体"/>
          <w:sz w:val="24"/>
        </w:rPr>
        <w:lastRenderedPageBreak/>
        <w:t>效果可能带来影响时，或因某些特殊情况导致成份股流动性不足时，或其他原因导致无法有效复制和跟踪标的指数时，基金管理人可以对投资组合管理进行适当变通和调整，从而使得投资组合紧密地跟踪标的指数，并使跟踪误差控制在限定的范围之内。如因指数编制规则调整或其他因素导致跟踪偏离度和跟踪误差超过上述范围，基金管理人应采取合理措施避免跟踪偏离度、跟踪误差进一步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（1）本基金投资于中证海外中国互联网指数成份股、备选成份股、与中证海外中国互联网指数相关的公募基金（包括上市交易型基金）的比例不低于基金资产的90%。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同一家银行的存款不得超过基金资产净值的20%，其中银行应当是中资商业银行在境外设立的分行或在最近一个会计年度达到中国证监会认可的信用评级机构评级的境外银行。在基金托管账户的存款可以不受上述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前述非流动性资产是指法律或基金合同规定的流通受限证券以及中国证监会认定的其他资产。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（6）本基金持有境外基金的市值合计不得超过基金资产净值的10%，但持有货币市场基金不受此限制。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（7）本基金管理人管理的全部基金持有任何一只境外基金，不得超过该境外</w:t>
      </w:r>
      <w:r>
        <w:rPr>
          <w:rFonts w:ascii="宋体" w:hAnsi="宋体"/>
          <w:sz w:val="24"/>
        </w:rPr>
        <w:lastRenderedPageBreak/>
        <w:t>基金总份额的20%。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（8）本基金的金融衍生品全部敞口不得高于基金资产净值的100%。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（9）本基金投资期货支付的初始保证金、投资期权支付或收取的期权费、投资柜台交易衍生品支付的初始费用的总额不得高于基金资产净值的10%。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（10）本基金投资于远期合约、互换等柜台交易金融衍生品，应当符合以下要求：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①所有参与交易的对手方（中资商业银行除外）应当具有不低于中国证监会认可的信用评级机构评级。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②交易对手方应当至少每个工作日对交易进行估值，并且本基金可在任何时候以公允价值终止交易。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③任一交易对手方的市值计价敞口不得超过基金资产净值的20%。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（11）本基金可以参与证券借贷交易，并且应当遵守下列规定：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②应当采取市值计价制度进行调整以确保担保物市值不低于已借出证券市值的102%。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③借方应当在交易期内及时向本基金支付已借出证券产生的所有股息、利息和分红。一旦借方违约，本基金根据协议和有关法律有权保留和处置担保物以满足索赔需要。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④除中国证监会另有规定外，担保物可以是以下金融工具或品种：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a现金；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 政府债券；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 中资商业银行或由不低于中国证监会认可的信用评级机构评级的境外金融机构（作为交易对手方或其关联方的除外）出具的不可撤销信用证。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本基金有权在任何时候终止证券借贷交易并在正常市场惯例的合理期限内要求归还任一或所有已借出的证券。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⑥本基金管理人对本基金参与证券借贷交易中发生的损失，按照法律法规的规定承担相应责任。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 本基金可以根据正常市场惯例参与正回购交易、逆回购交易，并且应当遵守下列规定：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①所有参与正回购交易的对手方（中资商业银行除外）应当具有中国证监会认可的信用评级机构信用评级。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②参与正回购交易，应当采取市值计价制度对卖出收益进行调整以确保现金不低于已售出证券市值的102%。一旦买方违约，本基金根据协议和有关法律有权保留或处置卖出收益以满足索赔需要。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③买方应当在正回购交易期内及时向本基金支付售出证券产生的所有股息、利息和分红。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④参与逆回购交易，应当对购入证券采取市值计价制度进行调整以确保已购入证券市值不低于支付现金的102%。一旦卖方违约，本基金根据协议和有关法律有权保留或处置已购入证券以满足索赔需要。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⑤本基金管理人对本基金参与证券正回购交易、逆回购交易中发生的损失，按照法律法规的规定承担相应责任。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（13）本基金参与证券借贷交易、正回购交易，所有已借出而未归还证券总市值或所有已售出而未回购证券总市值均不得超过本基金总资产的50%。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前述比例限制计算，本基金因参与证券借贷交易、正回购交易而持有的担保物、现金不得计入本基金总资产。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若基金超过上述（1）、（3）-（7）项投资比例限制，应当在超过比例后30个工作日内采用合理的商业措施减仓以符合投资比例限制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基金托管人对基金的投资的监督与检查自基金合同生效之日起开始。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（4）购买不动产；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（5）购买房地产抵押按揭；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（6）购买贵重金属或代表贵重金属的凭证；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（7）购买实物商品；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（8）除应付赎回、交易清算等临时用途以外，借入现金，该临时用途借入现金的比例不得超过基金资产净值的10%；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（9）利用融资购买证券，但投资金融衍生品除外；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（10）参与未持有基础资产的卖空交易；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（11）购买证券用于控制或影响发行该证券的机构或其管理层；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（12）直接投资与实物商品相关的衍生品；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（13）向其基金管理人、基金托管人出资；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（14）从事内幕交易、操纵证券交易价格及其他不正当的证券交易活动；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（15）法律、行政法规和中国证监会规定禁止的其他活动。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w:t>
      </w:r>
      <w:r>
        <w:rPr>
          <w:rFonts w:ascii="宋体" w:hAnsi="宋体"/>
          <w:sz w:val="24"/>
        </w:rPr>
        <w:lastRenderedPageBreak/>
        <w:t>理人在履行适当程序后，本基金可不受上述规定的限制。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（五）标的指数与业绩比较基准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本基金的业绩比较基准为：中证海外中国互联网指数收益率×95%＋银行活期存款利率（税后）×5%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标的指数为中证海外中国互联网指数。中证海外中国互联网指数由中证指数有限公司编制，于2011年9月20日发布，该指数选取海外交易所上市的中国互联网企业组成成分股，反映在在海外交易所上市中国互联网企业的整体走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若出现标的指数不符合要求（不包括因成份股价格波动等指数编制方法变动之外的因素致使标的指数不符合要求的情形）、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自指数编制机构停止标的指数的编制及发布至解决方案确定期间，基金管理人应按照指数编制机构提供的最近一个交易日的指数信息遵循基金份额持有人利益优先原则维持基金投资运作。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若基金标的指数发生变更，基金业绩比较基准随之变更，由基金管理人根据标的指数变更情形履行对应适当程序，并在调整实施前依照《信息披露办法》的有关规定在中国证监会指定媒介上刊登公告。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股票型基金，其预期风险与预期收益高于混合型基金、债券型基金和货币市场基金，属于承担较高风险、预期收益较高的证券投资基金品种。同时本基金为指数型基金，具有与标的指数相似的风险收益特征。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（七）基金的融资融券、转融通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本基金可以根据届时有效的有关法律法规和政策的规定进行融资融券、转融通。待基金参与融资融券和转融通业务的相关规定颁布后，基金管理人可以在不改</w:t>
      </w:r>
      <w:r>
        <w:rPr>
          <w:rFonts w:ascii="宋体" w:hAnsi="宋体"/>
          <w:sz w:val="24"/>
        </w:rPr>
        <w:lastRenderedPageBreak/>
        <w:t>变本基金既有投资策略和风险收益特征并在控制风险的前提下，参与融资融券业务以及通过证券金融公司办理转融通业务，以提高投资效率及进行风险管理。届时基金参与融资融券、转融通等业务的风险控制原则、具体参与比例限制、费用收支、信息披露、估值方法及其他相关事项按照中国证监会的规定及其他相关法律法规的要求执行，无需召开基金份额持有人大会决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（八）基金管理人代表基金行使股东及债权人权利的处理原则及方法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（九）投资决策依据和投资流程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有关法律法规、基金合同和标的指数的相关规定是基金管理人运用基金财产的决策依据。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2、决策和交易机制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投资决策委员会的主要职责是决定有关指数重大调整的应对决策、其他重大组合调整决策以及重大的单项投资决策。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基金经理的主要职责是决定日常指数跟踪维护过程中的组合构建、调整决策。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研究、决策、组合构建、交易、评估及组合维护的有机配合共同构成了本基金的投资管理程序。严格的投资管理程序可以保证投资理念的正确执行，避免重大风险的发生。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研究支持：量化投资部依托公司整体研究平台，整合外部信息以及券商等外部研究力量的研究成果开展指数跟踪、成份股公司行为等相关信息的搜集与分析、流动性分析、误差及其归因分析等工作，以作为基金投资决策的重要依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（2）投资决策：投资决策委员会定期召开或遇重大事项时召开投资决策会议，决策相关事项。基金经理根据投资决策委员会的决议，每日进行基金投资管理的日常决策。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（3）组合构建：根据标的指数情况，结合研究支持，基金经理构建以目标指数成分股为主的证券组合。在追求跟踪误差和偏离度最小化的前提下，基金经理将采取适当的方法，以降低买入成本、控制投资风险。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（4）交易执行：中央交易室负责具体的交易执行，同时履行一线监控的职责。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绩效评估：量化投资部定期和不定期对基金进行投资绩效评估，并提供相关报告。绩效评估能够确认组合是否实现了投资预期、组合误差的来源及投资策略成功与否，基金经理可以据此检讨投资策略，进而调整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组合监控与调整：基金经理将跟踪标的指数变动，结合成份股基本面情况、成份股公司行为、流动性状况、基金申购和赎回的现金、现券流量情况以及组合投资绩效评估的结果等，采取适当的跟踪技术对投资组合进行监控和调整，密切跟踪标的指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（十）代理投票权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作为基金份额持有人的代理人，应行使所投资股票的投票权。基金管理人将本着维护持有人利益的原则，勤勉尽责的代理基金份额持有人行使投票权。在履行代理投票职责过程中，基金管理人可根据实际操作需要，委托基金托管人或其他专业机构提供代理投票的建议、协助完成代理投票的程序等，基金管理人应对代理机构的行为进行必要的监督，保留投票记录，并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（十一）证券交易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1．券商的选择标准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（1）资历雄厚，信誉良好；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（2）财务状况良好，经营行为规范；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（3）内部管理规范、严格，具备健全的内控制度（包括但不限于公平交易制度及保密制度），并能满足本基金运作高度保密的要求；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（4）针对本基金需要能及时、定期、全面地提供各方面研究报告及周到的信息服务；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（5）具备本基金运作所需的交易执行能力；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（6）具备本基金运作所需的后台清算执行能力；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（7）能够提供本基金运作、管理所需的其他服务。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2．券商的交易量分配程序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根据中国证监会《关于完善证券投资基金交易席位制度有关问题的通知》中关于“一家基金公司通过一家券商的交易席位买卖证券的年交易佣金，不得超过其当年所有基金买卖证券交易佣金的30％”的规定。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对券商服务的评价主要由以下几个方面组成：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（1）交易服务能力：包括券商所能够提供的交易方式、所能覆盖的交易市场范围及在该交易市场的交易执行能力、交易前后的交易执行分析评价能力等；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（2）交易执行质量：包括但不限于成交价格、数量是否符合指令要求；交易成本最小化、交易回报的及时性和准确性、公平交易安排以及保密制度的执行情况等；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（3）研究服务水平：包括但不限于研究报告、研究资源及路演服务等质量；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（4）清算协作表现：包括清算、交收服务的及时性和准确性；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（5）其他协作评价。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基金管理人将根据上述标准每季度对券商进行综合评价，并根据评价结果分配基金在各家券商的交易量。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根据有关规定，在基金定期报告中按规定将所选择的证券经营机构的有关情况、基金通过该证券经营机构买卖证券的成交量、支付的佣金等予以披露，同时将本着维护基金份额持有人的利益的原则，对券商选择和分仓中存在或潜在的利益冲突进行妥善处理，并向中国证监会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（十二）基金投资组合报告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90.43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其中：普通股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4,177,004,857.35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65.19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优先股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存托凭证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1,616,980,371.11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25.24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房地产信托凭证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其中：远期</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期货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期权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权证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533,095,185.42</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79,976,075.59</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1.25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6,407,056,489.47</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报告期末在各个国家（地区）证券市场的股票及存托凭证投资分布</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4,177,004,857.35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65.94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1,616,980,371.11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25.53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注：1、国家（地区）类别根据其所在的证券交易所确定；　　2、ADR、GDR按照存托凭证本身挂牌的证券交易所确定。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3、报告期末按行业分类的股票及存托凭证投资组合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报告期末指数投资按行业分类的股票及存托凭证投资组合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通讯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3,067,193,970.49</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48.42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非必需消费品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1,737,608,768.00</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27.43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407,109,451.05</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6.43</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120,199,365.94</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1.90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216,251,509.31</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245,622,163.67</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3.88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5,793,985,228.46</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91.47</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注：本报告采用彭博BICS一级分类标准编制。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报告期末积极投资按行业分类的股票及存托凭证投资组合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4、期末按公允价值占基金资产净值比例大小排序的权益投资明细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 报告期末指数投资按公允价值占基金资产净值比例大小排序的前十名股票及存托凭证投资明细</w:t>
      </w:r>
    </w:p>
    <w:tbl>
      <w:tblPr>
        <w:tblW w:w="5000" w:type="pct"/>
        <w:tblCellMar>
          <w:left w:w="0" w:type="dxa"/>
          <w:right w:w="0" w:type="dxa"/>
        </w:tblCellMar>
        <w:tblLook w:val="0000" w:firstRow="0" w:lastRow="0" w:firstColumn="0" w:lastColumn="0" w:noHBand="0" w:noVBand="0"/>
      </w:tblPr>
      <w:tblGrid>
        <w:gridCol w:w="939"/>
        <w:gridCol w:w="1288"/>
        <w:gridCol w:w="592"/>
        <w:gridCol w:w="940"/>
        <w:gridCol w:w="940"/>
        <w:gridCol w:w="940"/>
        <w:gridCol w:w="1010"/>
        <w:gridCol w:w="1573"/>
        <w:gridCol w:w="448"/>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英文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中文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所在证券市场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所属国家（地区）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w:t>
            </w:r>
            <w:r>
              <w:rPr>
                <w:rFonts w:ascii="Times New Roman" w:hAnsi="Times New Roman"/>
                <w:color w:val="000000"/>
                <w:kern w:val="0"/>
                <w:sz w:val="25"/>
                <w:szCs w:val="24"/>
              </w:rPr>
              <w:t>(</w:t>
            </w:r>
            <w:r>
              <w:rPr>
                <w:rFonts w:ascii="Times New Roman" w:hAnsi="Times New Roman"/>
                <w:color w:val="000000"/>
                <w:kern w:val="0"/>
                <w:sz w:val="25"/>
                <w:szCs w:val="24"/>
              </w:rPr>
              <w:t>股</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Tencent Holdings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700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1,414,100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604,052,079.96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9.54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PDD Holdings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拼多多</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PDD US</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720,348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509,303,534.69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Alibaba Group Holding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9988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4,822,756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506,513,647.62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8.00</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MEITUAN-CLASS B</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3690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5,726,590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419,238,714.93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6.62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NETEASE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网易股份有限公司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9999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2,261,765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340,346,087.71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5.37</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JD.com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京东集团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9618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2,697,512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269,499,964.53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4.25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Baidu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百度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9888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2,660,520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248,193,506.87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3.92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KE Holdings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贝壳控股有限公司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2423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7,343,100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245,622,163.67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3.88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JD Health International Inc</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京东健康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6618 HK</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5,408,500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224,635,120.61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3.55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Full Truck Alliance Co Ltd</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满帮集团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YMM US</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3,765,413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216,251,509.31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3.41</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 报告期末积极投资按公允价值占基金资产净值比例大小排序的前五名股票及存托凭证投资明细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5、报告期末按债券信用等级分类的债券投资组合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6、报告期末按公允价值占基金资产净值比例大小排名的前五名债券投资明细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7、报告期末按公允价值占基金资产净值比例大小排名的前十名资产支持证券投资明细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8、报告期末按公允价值占基金资产净值比例大小排名的前五名金融衍生品投资明细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w:t>
      </w:r>
      <w:r>
        <w:rPr>
          <w:rFonts w:ascii="宋体" w:hAnsi="宋体"/>
          <w:sz w:val="24"/>
        </w:rPr>
        <w:lastRenderedPageBreak/>
        <w:t>报告编制日前一年内受到公开谴责、处罚的情形披露如下：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2025年12月31日,央行重庆市分行公示渝银罚决字[2025]35号行政处罚决定书，给予美团旗下重庆美团三快小额贷款有限公司56.7万元人民币的罚款行政处罚。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29,988,566.11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49,987,509.48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right"/>
              <w:rPr>
                <w:rFonts w:ascii="宋体" w:hAnsi="宋体"/>
                <w:color w:val="000000"/>
                <w:kern w:val="0"/>
                <w:sz w:val="25"/>
                <w:szCs w:val="24"/>
              </w:rPr>
            </w:pPr>
            <w:r>
              <w:rPr>
                <w:rFonts w:ascii="Times New Roman" w:hAnsi="Times New Roman"/>
                <w:color w:val="000000"/>
                <w:kern w:val="0"/>
                <w:sz w:val="25"/>
                <w:szCs w:val="24"/>
              </w:rPr>
              <w:t>79,976,075.59</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①报告期末指数投资前十名股票中存在流通受限情况的说明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②报告期末积极投资前五名股票中存在流通受限情况的说明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8" w:name="_Toc227915013"/>
      <w:r>
        <w:rPr>
          <w:rFonts w:ascii="Times New Roman" w:hAnsi="Times New Roman"/>
          <w:sz w:val="30"/>
        </w:rPr>
        <w:lastRenderedPageBreak/>
        <w:t>五、基金的业绩</w:t>
      </w:r>
      <w:bookmarkEnd w:id="8"/>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基金业绩截止日为2026年3月31日，所载财务数据未经审计师审计。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(1)交银中证海外中国互联网指数(LOF)A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13.63%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-7.44%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1.77%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-6.97%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1.75%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-5.94%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3.54%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-46.55%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-48.38%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2.41%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46.71%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48.16%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30.22%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27.77%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2.45%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-25.47%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-31.39%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49.25%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64.21%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-14.96%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-3.41%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-8.19%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4.78%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月</w:t>
            </w:r>
            <w:r>
              <w:rPr>
                <w:rFonts w:ascii="Times New Roman" w:hAnsi="Times New Roman"/>
                <w:color w:val="000000"/>
                <w:kern w:val="0"/>
                <w:sz w:val="25"/>
                <w:szCs w:val="24"/>
              </w:rPr>
              <w:t>27</w:t>
            </w:r>
            <w:r>
              <w:rPr>
                <w:rFonts w:ascii="Times New Roman" w:hAnsi="Times New Roman"/>
                <w:color w:val="000000"/>
                <w:kern w:val="0"/>
                <w:sz w:val="25"/>
                <w:szCs w:val="24"/>
              </w:rPr>
              <w:t>日至</w:t>
            </w:r>
            <w:r>
              <w:rPr>
                <w:rFonts w:ascii="Times New Roman" w:hAnsi="Times New Roman"/>
                <w:color w:val="000000"/>
                <w:kern w:val="0"/>
                <w:sz w:val="25"/>
                <w:szCs w:val="24"/>
              </w:rPr>
              <w:t>2015</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-3.30%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-7.61%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4.31%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(2)交银中证海外中国互联网指数(LOF)C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18.80%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19.69%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13.00%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F6AF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2023</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2023</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证海外中国互联网指数收益率×95%＋银行活期存款利率（税后）×5%，每日进行再平衡过程。其中中证海外中国互联网指数采用人民币价格，自2020年第三季度报告起追溯调整过往业绩比较基准收益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F6AF2" w:rsidRDefault="0067707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交银施罗德中证海外中国互联网指数型证券投资基金(LOF)</w:t>
      </w:r>
    </w:p>
    <w:p w:rsidR="002F6AF2" w:rsidRDefault="0067707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(1)交银中证海外中国互联网指数(LOF)A</w:t>
      </w:r>
    </w:p>
    <w:p w:rsidR="002F6AF2" w:rsidRDefault="00CA6C1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358.5pt">
            <v:imagedata r:id="rId16" o:title="1521256610242020828"/>
          </v:shape>
        </w:pic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(2)交银中证海外中国互联网指数(LOF)C</w:t>
      </w:r>
    </w:p>
    <w:p w:rsidR="002F6AF2" w:rsidRDefault="00CA6C16">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358.5pt">
            <v:imagedata r:id="rId17" o:title="1521256610242020828"/>
          </v:shape>
        </w:pic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2、本基金自2023年6月12日起，开始销售C类份额，投资者提交的申购申请于2023年6月13日被确认并将有效份额登记在册。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9" w:name="_Toc227915014"/>
      <w:r>
        <w:rPr>
          <w:rFonts w:ascii="Times New Roman" w:hAnsi="Times New Roman"/>
          <w:sz w:val="30"/>
        </w:rPr>
        <w:lastRenderedPageBreak/>
        <w:t>六、基金管理人</w:t>
      </w:r>
      <w:bookmarkEnd w:id="9"/>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上证180公司治理交易型开放式指数证券投资基金(2012年12月27日至2021年04月30日)、深证300价值交易型开放式指数证券投资基金(2012年12月27日至2021年04月30日)、交银施罗德深证300价值交易型开放式指数证券投资基金联接基金(2012年12月27日至2021年04月30日)、交银施罗德沪深300行业分层等权重指数证券投资基金(2012年12月27日至2015年06月30日)、交银施罗德消费新驱动股票型证券投资基金(2012年12月27日至2015年06月30日)、交银施罗德上证180公司治理交易型开放式指数证券投资基金联接基金(2012年12月27日至2021年04月30日)、交银施罗德国证新能源指数证券投资基金（LOF）(2015年03月26日至2021年04月30日)、交银施罗德全球自然资源证券投资基金(2015年04月22日至2017年03月24日)、交银施罗德环球精选价值证券投资基金(2015年04月22日至2017年03月25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(2018年05月18日至2020年07月17日)、交银施罗德创业板50指数型证券投资基金(2019年11月20日至2021年04月30日)、交银施罗德安享稳健养老目标一年持有期混合型基金中基金（FOF）(2021年04月30日至2025年01月22日)、交银施罗德养老目标日期2035三年持有期混合型基金中基金（FOF）(2021年04月30日至2025年01月22日)的基金经理。现任交银施罗德中证海外中国互联网指数型证券投资基金(LOF)(2025年02月27日至今)、交银施罗德上证180公司治理交易型开放式指数证券</w:t>
      </w:r>
      <w:r>
        <w:rPr>
          <w:rFonts w:ascii="宋体" w:hAnsi="宋体"/>
          <w:sz w:val="24"/>
        </w:rPr>
        <w:lastRenderedPageBreak/>
        <w:t>投资基金联接基金(2025年02月27日至今)、交银施罗德中证红利低波动100指数型证券投资基金(2025年02月27日至今)、交银施罗德创业板50指数型证券投资基金(2025年02月27日至今)、上证180公司治理交易型开放式指数证券投资基金(2025年02月27日至今)、交银施罗德中证智选沪深港科技50交易型开放式指数证券投资基金(2025年12月10日至今)、交银施罗德环球精选价值证券投资基金(2026年01月22日至今)的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邵文婷女士:多资产研究部副总监、基金经理。英国诺丁汉大学金融与投资硕士、西南财经大学数学与经济学双学士。10年证券投资行业从业经验。2016年加入交银施罗德基金管理有限公司，曾任量化投资部研究员、投资经理，现任多资产研究部副总监、基金经理。曾任交银施罗德定期支付月月丰债券型证券投资基金(2022年11月30日至2024年12月27日)的基金经理。现任深证300价值交易型开放式指数证券投资基金(2021年04月30日至今)、上证180公司治理交易型开放式指数证券投资基金(2021年04月30日至今)、交银施罗德创业板50指数型证券投资基金(2021年04月30日至今)、交银施罗德上证180公司治理交易型开放式指数证券投资基金联接基金(2021年04月30日至今)、交银施罗德深证300价值交易型开放式指数证券投资基金联接基金(2021年04月30日至今)、交银施罗德国证新能源指数证券投资基金（LOF）(2021年04月30日至今)、交银施罗德中证环境治理指数型证券投资基金(LOF)(2021年04月30日至今)、交银施罗德中证海外中国互联网指数型证券投资基金(LOF)(2021年04月30日至今)、交银施罗德中证红利低波动100指数型证券投资基金(2024年03月15日至今)、交银施罗德中证A500指数型证券投资基金(2025年01月22日至今)、交银施罗德上证科创板100指数型证券投资基金(2025年02月26日至今)、交银施罗德中证A50指数型证券投资基金(2025年04月02日至今)、交银施罗德恒生港股通创新药精选指数型证券投资基金(2025年08月20日至今)、交银施罗德中证港股通央企红利指数型证券投资基金(2025年10月28日至今)、交银施罗德中证智选沪深港科技50交易型开放式指数证券投资基金(2025年12月10日至今)、交银施罗德中证A500指数增强型发起式证券投资基金(2026年02月10日至今)的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蔡铮先生(2015年05月27日至2021年04月30日)。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马俊（副总经理）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1、依法募集资金，办理或者委托经中国证监会认定的其他机构代为办理基金份额的发售、申购、赎回和登记事宜；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（4）向基金份额持有人违规承诺收益或者承担损失；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公司运用科学化的经营管理方法降低运作成本，提高经济效益，力争以合理的控制成本达到最佳的内部控制效果。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w:t>
      </w:r>
      <w:r>
        <w:rPr>
          <w:rFonts w:ascii="宋体" w:hAnsi="宋体"/>
          <w:sz w:val="24"/>
        </w:rPr>
        <w:lastRenderedPageBreak/>
        <w:t>助促进公司风险管理、控制和治理过程的完善，实现合规经营目标。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w:t>
      </w:r>
      <w:r>
        <w:rPr>
          <w:rFonts w:ascii="宋体" w:hAnsi="宋体"/>
          <w:sz w:val="24"/>
        </w:rPr>
        <w:lastRenderedPageBreak/>
        <w:t>控制和规避，尽可能地减少损失。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0" w:name="_Toc227915015"/>
      <w:r>
        <w:rPr>
          <w:rFonts w:ascii="Times New Roman" w:hAnsi="Times New Roman"/>
          <w:sz w:val="30"/>
        </w:rPr>
        <w:lastRenderedPageBreak/>
        <w:t>七、基金的募集</w:t>
      </w:r>
      <w:bookmarkEnd w:id="10"/>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本基金由基金管理人依照《基金法》、《运作办法》、基金合同及其他有关规定，并经中国证监会2015年3月25日证监许可【2015】429号文核准募集发售。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本基金为契约型开放式股票型基金。基金存续期间为不定期。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本基金自2015年4月30日至2015年 5月21日进行发售，本基金设立募集期共募集788,924,486.89份基金份额，有效认购户数为16,424户。</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1" w:name="_Toc227915016"/>
      <w:r>
        <w:rPr>
          <w:rFonts w:ascii="Times New Roman" w:hAnsi="Times New Roman"/>
          <w:sz w:val="30"/>
        </w:rPr>
        <w:lastRenderedPageBreak/>
        <w:t>八、基金合同的生效</w:t>
      </w:r>
      <w:bookmarkEnd w:id="11"/>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根据有关规定，本基金满足基金合同生效条件，基金合同已于2015年5月27日正式生效。自基金合同生效之日起，本基金管理人正式开始管理本基金。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资产净值低于1亿元的，基金管理人可向中国证监会报告并履行适当程序后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履行适当程序后提前终止基金合同，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2" w:name="_Toc227915017"/>
      <w:r>
        <w:rPr>
          <w:rFonts w:ascii="Times New Roman" w:hAnsi="Times New Roman"/>
          <w:sz w:val="30"/>
        </w:rPr>
        <w:lastRenderedPageBreak/>
        <w:t>九、基金份额的上市交易</w:t>
      </w:r>
      <w:bookmarkEnd w:id="12"/>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基金合同生效后，基金管理人将根据有关规定，申请本基金A类基金份额上市交易。如无特别说明，本部分约定仅适用于本基金A类基金份额。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上市后，登记在证券登记结算系统中的A类基金份额可直接在深圳证券交易所上市；登记在注册登记系统中的A类基金份额可通过办理跨系统转托管业务将基金份额转托管在证券登记结算系统中后，再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未来，基金管理人在符合法律法规的情况下也可申请本基金C类基金份额的上市交易，基金管理人可根据需要修改基金合同相关内容，但应在实施日前依照《信息披露办法》的有关规定在指定媒介上公告。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（一）上市交易的地点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本基金A类基金份额的上市交易的地点为深圳证券交易所。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（二）上市交易的时间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本基金A类基金份额于2015年7月10日开始在深圳证券交易所上市交易。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（三）上市交易规则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的上市交易需遵循《深圳证券交易所证券投资基金上市规则》、《深圳证券交易所交易规则》、《深圳证券交易所证券投资基金交易和申购赎回实施细则》等有关规定，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1、本基金上市首日的开盘参考价为之前第二个开放日A类基金份额的基金份额净值；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2、本基金实行价格涨跌幅限制，涨跌幅比例限制为10%，自上市首日起实行；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3、本基金买入申报数量为100 份或其整数倍；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4、本基金申报价格最小变动单位为0.001 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5、《深圳证券交易所交易规则》、《深圳证券交易所证券投资基金上市规则》、《深圳证券交易所证券投资基金交易和申购赎回实施细则》等其他相关规定。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（四）上市交易的费用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本基金A类基金份额上市交易的费用按照深圳证券交易所有关规定办理。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（五）上市交易的行情揭示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本基金A类基金份额在深圳证券交易所挂牌交易，交易行情通过行情发布系统揭示。行情发布系统同时揭示基金之前第二个开放日A类基金份额的基金份额净</w:t>
      </w:r>
      <w:r>
        <w:rPr>
          <w:rFonts w:ascii="宋体" w:hAnsi="宋体"/>
          <w:sz w:val="24"/>
        </w:rPr>
        <w:lastRenderedPageBreak/>
        <w:t>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（六）上市交易的停复牌、暂停上市、恢复上市和终止上市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本基金A类基金份额的停复牌、暂停上市、恢复上市和终止上市按照相关法律法规和深圳证券交易所的相关规定执行。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w:t>
      </w:r>
      <w:r w:rsidRPr="00BB248E">
        <w:rPr>
          <w:rFonts w:ascii="宋体" w:hAnsi="宋体" w:hint="eastAsia"/>
          <w:kern w:val="0"/>
          <w:sz w:val="24"/>
        </w:rPr>
        <w:t>相关法律法规、中国证监会及深圳证券交易所对基金上市交易的规则等相关规定内容进行调整的，基金合同相应予以修改，且此项修改无须召开基金份额持有人大会。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若深圳证券交易所、中国证券登记结算有限责任公司增加了基金场内交易的新业务，基金管理人可以在履行适当的程序后为本基金增加办理相应的新业务。</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3" w:name="_Toc227915018"/>
      <w:r>
        <w:rPr>
          <w:rFonts w:ascii="Times New Roman" w:hAnsi="Times New Roman"/>
          <w:sz w:val="30"/>
        </w:rPr>
        <w:lastRenderedPageBreak/>
        <w:t>十、基金份额的申购与赎回</w:t>
      </w:r>
      <w:bookmarkEnd w:id="13"/>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投资者可通过场外和场内两种方式申购与赎回A类基金份额；C类基金份额不上市交易，也不开设场内申购、赎回的方式，投资者只能通过场外方式申购与赎回C类基金份额。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使用开放式基金账户，通过基金管理人的直销机构及其他场外销售机构办理本基金A类基金份额和C类基金份额的场外申购和赎回业务。投资人也可使用深圳证券账户，通过场内销售机构利用深圳证券交易所交易系统办理本基金A类基金份额的场内申购和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个人投资者可以通过基金管理人网上直销交易平台办理开户、本基金的场外申购、赎回、定期定额投资等业务，具体交易细则请参阅基金管理人网站。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2、具有基金销售业务资格、经深圳证券交易所和中国证券登记结算有限责任公司认可的通过深圳证券交易所交易系统办理相关业务的深圳证券交易所会员单位，具体名单详见深圳证券交易所网站。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3、不通过深圳证券交易所交易系统办理相关业务的场外销售机构（除本基金管理人外）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本基金的场外销售机构参见本招募说明书“二十、相关服务机构”章节或拨打</w:t>
      </w:r>
      <w:r>
        <w:rPr>
          <w:rFonts w:ascii="宋体" w:hAnsi="宋体"/>
          <w:sz w:val="24"/>
        </w:rPr>
        <w:lastRenderedPageBreak/>
        <w:t>本公司客户服务电话进行咨询。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投资人应通过上述销售机构办理基金申购、赎回业务的营业场所或按上述销售机构提供的其他方式进行申购或赎回。本基金管理人可根据情况变更或增减基金场外销售机构，并在管理人网站公示。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本基金投资的主要市场的证券交易所遇节假日休市或暂停交易，或其他特殊情况，基金管理人将视情况对前述开放日及开放时间进行相应的调整，但应在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本基金A类基金份额于2015年7月10日起开放申购、赎回业务。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本基金C类基金份额于2023年6月12日起开放场外申购、场外赎回业务。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1、“未知价”原则，即申购、赎回价格以申请日的基金份额净值为基准进行计算；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3、当日的场外申购与赎回申请可以在基金管理人规定的时间以内撤销，但申请经登记机构受理的不得撤销；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4、投资者办理基金份额场外申购、赎回应使用开放式基金账户，办理基金份额场内申购、赎回应使用深圳证券账户；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份额持有人在场外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场内申购、赎回业务时，需遵守深圳证券交易所和中国证券登记结算有限责任公司的相关业务规则。若相关法律法规、中国证监会、深圳证券交易所或中国证券登记结算有限责任公司对场内申购、赎回业务规则有新的规定，按新规定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若将来条件许可，在不违反法律法规规定且对基金份额持有人利益无实质性不利影响的情况下，本基金可以接受投资者以人民币以外的其他货币申购、赎回，并经与基金托管人协商一致后相应修改基金合同的必要部分，而无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场外其他销售机构每个账户单笔申购的最低金额为单笔1元，如果销售机构业务规则规定的最低单笔申购金额高于1元，以该销售机构的规定为准。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场内申购时，每笔申购金额最低为1,000元（含申购费）。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本基金对单个投资人累计持有的基金份额不设上限，但基金管理人可根据境外证券投资额度、基金组合情况等因素，设定申购份额上限和赎回份额上限，以对当日的申购总规模或赎回总规模进行控制。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3、最低保留余额的限制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6、投资人通过深圳证券交易所交易系统办理本基金基金份额的场内申购、赎回业务时，需遵守深圳证券交易所及中国证券登记结算有限责任公司对场内申购、赎回数额限定的相关业务规则。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10日（包括该日）内支付赎回款项，但中国证监会另有规定除外。外管局相关规定变更、本基金所投资市场暂停交易、延迟支付赎回款项或交易清算规则有变更时，赎回款支付时间将相应调整。在发生巨额赎回时，款项的支付办法参照基金合同有关条款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w:t>
      </w:r>
      <w:r>
        <w:rPr>
          <w:rFonts w:ascii="宋体" w:hAnsi="宋体"/>
          <w:sz w:val="24"/>
        </w:rPr>
        <w:lastRenderedPageBreak/>
        <w:t>T+2日（包括该日）内对该交易的有效性进行确认。T日提交的有效申请，投资人应在T+3日后（包括该日）及时到销售网点柜台或以销售机构规定的其他方式查询申请的确认情况。若申购不成功，则申购款项退还给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（1）投资人T日申购基金成功后，正常情况下，登记机构在T＋2日为投资人增加权益并办理登记手续，投资人自T＋3日起（包括该日）有权赎回该部分基金份额。投资人应及时查询有关申请的确认情况。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（2）投资人T日赎回基金成功后，正常情况下，登记机构在T＋2日为投资人扣除权益并办理相应的登记手续。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本基金基金份额分为A类基金份额和C类基金份额。投资人申购A类基金份额在申购时支付申购费用；申购C类基金份额不支付申购费用，并从该类别基金资产中计提销售服务费。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本基金A类基金份额的申购费用由申购A类基金份额的投资人承担，不列入基金财产，主要用于本基金的市场推广、销售、登记等各项费用。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本基金A类基金份额（非养老金客户）的场外申购费率如下：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类基金份额场外申购费率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本基金A类基金份额的场内申购费率由场内销售机构参照上表场外申购费率设定。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本基金对通过基金管理人直销柜台申购本基金A类基金份额的养老金客户实施特定申购费率。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通过基金管理人直销柜台申购本基金A类基金份额的养老金客户特定场外申购费率如下表：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类基金份额特定场外申购费率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w:t>
      </w:r>
      <w:r>
        <w:rPr>
          <w:rFonts w:ascii="宋体" w:hAnsi="宋体"/>
          <w:sz w:val="24"/>
        </w:rPr>
        <w:lastRenderedPageBreak/>
        <w:t>告或本基金管理人网站。本基金管理人基金网上直销业务已开通的银行卡及各银行卡交易金额限额请参阅本基金管理人网站。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的赎回费用由赎回该类基金份额的基金份额持有人承担，在基金份额持有人赎回基金份额时收取，赎回费总额的25%应归基金财产，其余用于支付登记费和其他必要的手续费。其中，对持续持有期少于7日的基金份额持有人收取不低于1.5%的赎回费并全额计入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类基金份额场外赎回费率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上表中的“年”指的是365个自然日。场外赎回A类基金份额时，其持有期限的计算以中国证券登记结算有限责任公司的相关业务规则为准。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本基金A类基金份额的场内赎回费率如下：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类基金份额场内赎回费率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和销售服务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（七）申购和赎回的数额和价格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或C类基金份额的有效份额为净申购金额除以当日该类基金份额的基金份额净值，有效份额单位为份，场外申购份额计算结果按四舍五入方法，保留到小数点后2位，由此产生的收益或损失由基金财产承担，场内申购的基金份额的计算结果采用截位的方式，保留到整数位，剩余部分折回金额返还至投资人资金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A类基金份额或C类基金份额有效赎回份额乘以当日该类基金份额的基金份额净值并扣除相应的费用（如有），赎回金额单位为元。赎回金额计算结果按四舍五入方法，保留到小数点后2位，由此产生的收益或损失由基金财产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本基金A类基金份额的场外申购和场内申购均采用金额申购的方式，申购份额的计算方式如下：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例一：某投资者（非养老金客户）投资50,000元场外申购本基金A类基金份额，假设申购当日本基金A类基金份额的基金份额净值为1.0400元，申购费率为1.2%，则其可得到的申购份额为：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申购总金额＝50,000元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净申购金额=50,000/（1+1.2%）=49,407.11元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申购费用=50,000-49,407.11=592.89元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申购份额=（50,000-592.89）/1.0400=47,506.84份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即：某投资者（非养老金客户）投资50,000元场外申购本基金A类基金份额，</w:t>
      </w:r>
      <w:r>
        <w:rPr>
          <w:rFonts w:ascii="宋体" w:hAnsi="宋体"/>
          <w:sz w:val="24"/>
        </w:rPr>
        <w:lastRenderedPageBreak/>
        <w:t>假设申购当日A类基金份额净值为1.0400元，则其可得到47,506.84份A类基金份额。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如果该投资者是场内申购，则申购A类基金份额为47,506份，其余0.84份对应金额返回给投资者。退款金额具体计算如下：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实际净申购金额=47,506×1.0400=49,406.24元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对应返还申购金额=50,000-49,406.24-592.89=0.87元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例二：某养老金客户投资50,000元通过基金管理人的直销柜台申购本基金A类基金份额，假设申购当日A类基金份额净值为1.0400元，申购费率为0.24%，则其可得到的申购份额为：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申购总金额＝50,000元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净申购金额=50,000/（1+0.24%）=49,880.29元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申购费用=50,000-49,880.29=119.71元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申购份额=（50,000-119.71）/1.0400=47,961.82份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即：该养老金客户投资50,000元通过基金管理人的直销柜台申购本基金A类基金份额，假设申购当日A类基金份额净值为1.0400元，则其可得到47,961.82份A类基金份额。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场外赎回和场内赎回均采用份额赎回的方式，赎回金额为按实际确认的A类基金份额或C类基金份额有效赎回份额乘以当日该类基金份额的基金份额净值并扣除相应的费用（如有），赎回金额单位为元，计算结果保留到小数点后两位，第三位四舍五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（1）A类基金份额的赎回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投资者赎回A类基金份额，赎回金额的计算方法如下：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例四：某投资者在场外赎回持有的50,000份A类基金份额，持有期限为1.5年，对应的赎回费率为0.2%，假设赎回当日A类基金份额净值是1.0160元，则其可得到的赎回金额为：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50,000×1.0160×0.2%＝101.60元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50,000×1.0160-101.60＝50,698.40元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即：投资者在场外赎回50,000份本基金A类基金份额，对应的赎回费率为0.2%，假设赎回当日A类基金份额净值是1.0160元，则其可得到的赎回金额为50,698.40元。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例五：某投资者在场内赎回持有的50,000份本基金A类基金份额，持有期限为1.5年，对应的赎回费率固定值为0.5%，假设赎回当日A类基金份额净值是1.0160元，则其可得到的赎回金额为：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50,000×1.0160×0.5%＝254.00元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50,000×1.0160-254.00＝50,546.00元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即：投资者在场内赎回50,000份本基金A类基金份额，对应的赎回费率为0.5%，假设赎回当日A类基金份额净值是1.0160元，则其可得到的赎回金额为50,546.00元。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例六：某投资者赎回100,000份C类基金份额，持有期限为20日，对应的赎回费率为0，假设赎回当日C类基金份额净值是1.0160元，则其可得到的赎回金额为：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赎回金额=100,000×1.0160-0＝101,600.00元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即：投资者赎回100,000份C类基金份额，持有期限为20日，对应的赎回费率为0，假设赎回当日C类基金份额净值是1.0160元，则其可得到的赎回金额为</w:t>
      </w:r>
      <w:r>
        <w:rPr>
          <w:rFonts w:ascii="宋体" w:hAnsi="宋体"/>
          <w:sz w:val="24"/>
        </w:rPr>
        <w:lastRenderedPageBreak/>
        <w:t>101,600.00元。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T+1日收市后计算，并在T＋2日（包括该日）内公告。遇特殊情况，经中国证监会同意，可以适当延迟计算或公告。本基金A类基金份额和C类基金份额的基金份额净值的计算，均保留到小数点后4位，小数点后第5位四舍五入，由此误差产生的收益或损失由基金财产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3、基金投资或交易所处的主要市场或外汇市场休市或交易时间非正常停市，可能影响本基金的投资或本基金正常估值时。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4、基金管理人接受某笔或某些申购申请会损害现有基金份额持有人利益时。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5、因基金收益分配、或基金投资组合内某个或某些证券进行权益分派等原因，使基金管理人认为短期内继续接受申购可能会影响或损害现有基金份额持有人利益的。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6、基金资产规模过大，使基金管理人无法找到合适的投资品种，或其他可能对基金业绩产生负面影响，或出现其他损害现有基金份额持有人利益的情形。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7、本基金的资产组合中的重要部分发生暂停交易或其他重大事件，继续接受申购可能会影响或损害其他基金份额持有人利益时。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8、基金管理人、基金托管人、基金销售机构、基金销售支付结算机构或登记机构的异常情况导致基金销售系统、基金销售支付结算机构、基金注册登记系统或基金会计系统无法正常运行。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9、基金资产规模或者份额数量达到了基金管理人规定的上限（基金管理人可根据外管局的审批及市场情况进行调整）。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10、指数编制单位或指数发布机构因异常情况使指数数据无法正常计算、计算错误或发布异常时。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遇基金所投资的主要市场暂停交易致使本基金资产净值10%以上的资产无法交易或估值（资产净值比例以本基金在决定暂停申购或赎回前一个估值日的投资组合为基础计算），本基金亦将决定是否暂停申购或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12、当前一估值日基金资产净值50%以上的资产出现无可参考的活跃市场价格且采用估值技术仍导致公允价值存在重大不确定性时，经与基金托管人协商确认后，基金管理人应当暂停接受基金申购申请。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13、基金管理人接受某笔或者某些申购申请有可能导致单一投资者持有基金份额的比例超过50%，或者变相规避50%集中度的情形。出现上述情形时，基金管理人有权将上述申购申请全部或部分确认失败。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14、法律法规规定、中国证监会认定或基金合同约定的其他情形。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8、9、10、11、12、14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3、基金投资或交易所处的主要市场或外汇市场休市或交易时间非正常停市，可能影响本基金的投资或本基金正常估值时。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4、本基金的资产组合中的重要部分发生暂停交易或其他重大事件，继续接受赎回可能会影响或损害其他基金份额持有人利益时。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5、连续两个或两个以上开放日发生巨额赎回。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w:t>
      </w:r>
      <w:r>
        <w:rPr>
          <w:rFonts w:ascii="宋体" w:hAnsi="宋体"/>
          <w:sz w:val="24"/>
        </w:rPr>
        <w:lastRenderedPageBreak/>
        <w:t>基金会计系统无法正常运行。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7、出现继续接受赎回申请将损害现有基金份额持有人利益的情形时，可暂停接受投资人的赎回申请。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8、指数编制单位或指数发布机构因异常情况使指数数据无法正常计算、计算错误或发布异常时。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10、法律法规规定、中国证监会认定或基金合同约定的其他情形。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若出现上述第5项所述情形，按基金合同的相关条款处理。基金份额持有人在申请场外赎回时可事先选择将当日可能未获受理部分予以撤销。对于场内赎回部分，按照深圳证券交易所及中国证券登记结算有限责任公司的有关规定办理。在暂停赎回的情况消除时，基金管理人应及时恢复赎回业务的办理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w:t>
      </w:r>
      <w:r>
        <w:rPr>
          <w:rFonts w:ascii="宋体" w:hAnsi="宋体"/>
          <w:sz w:val="24"/>
        </w:rPr>
        <w:lastRenderedPageBreak/>
        <w:t>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巨额赎回业务的场内处理，按照深圳证券交易所及中国证券登记结算有限责任公司的有关规定办理。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根据相关法律法规以及基金合同的规定决定开办本基金与基金管理人管理的其他基金之间的转换业务，基金转换可以收取一定的转换费，相关规则由基金管理人届时根据相关法律法规及基金合同的规定制定并公告，并提前告知基金托管人与相关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（十三）基金份额的转让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基金份额持有人可办理已持有基金份额在不同销售机构之间的转托管，基金销售机构可以按照规定的标准收取转托管费。基金份额的转托管包括系统内转托管和跨系统转托管。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1、基金份额的登记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份额采用分系统登记的原则。场外认购、申购的基金份额，登记在注册登记系统中基金份额持有人的开放式基金账户下；场内认购、申购的基金份额，以及上市交易的基金份额，登记在证券登记结算系统基金份额持有人深圳证券账户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（2）登记在证券登记结算系统中的基金份额，可以在深圳证券交易所上市交易，也可以直接申请场内赎回，或经跨系统转托管至注册登记系统后申请场外赎</w:t>
      </w:r>
      <w:r>
        <w:rPr>
          <w:rFonts w:ascii="宋体" w:hAnsi="宋体"/>
          <w:sz w:val="24"/>
        </w:rPr>
        <w:lastRenderedPageBreak/>
        <w:t>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（3）登记在注册登记系统中的A类基金份额，既可以直接申请场外赎回，也可经跨系统转托管至证券登记结算系统后，在深圳证券交易所上市交易。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（1）系统内转托管是指基金份额持有人将持有的基金份额在注册登记系统内不同销售机构（网点）之间，或在证券登记结算系统内不同会员单位（交易单元）之间进行转登记的行为。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（2）基金份额登记在注册登记系统的基金份额持有人在变更办理基金份额场外赎回业务的销售机构（网点）时，需办理已持有基金份额的系统内转托管。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（3）基金份额登记在证券登记结算系统的基金份额持有人在变更办理基金份额场内赎回的会员单位（交易单元）时，需办理已持有基金份额的系统内转托管。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（1）跨系统转托管是指基金份额持有人将持有的A类基金份额在注册登记系统和证券登记结算系统之间进行转登记的行为。除经基金管理人另行公告，C类基金份额不能进行跨系统转托管。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（2）本基金跨系统转托管的具体业务按照中国证券登记结算有限责任公司及深圳证券交易所的相关规定办理。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（十六）定期定额投资计划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2021年8月7日刊登公告自2021年8月9日起开通定期定额投资计划业务，本基金2023年6月8日刊登公告自2023年6月12日起增设C类基金份额并开通C类基金份额的定期定额投资计划业务，具体开通销售机构名单和业务规则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（十七）基金份额的冻结和解冻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（十八）多币种的申购、赎回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在相关法律法规允许、相应技术条件成熟及与基金托管人达成一致的情况下，可以开通多币种（包括但不限于美元、港币）的申购、赎回业务，不同币种的申购、赎回价格以受理申请当日的对应币种折算净值为基准计算。多币种的申购、赎回业务细则以基金管理人的相关公告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4" w:name="_Toc227915019"/>
      <w:r>
        <w:rPr>
          <w:rFonts w:ascii="Times New Roman" w:hAnsi="Times New Roman"/>
          <w:sz w:val="30"/>
        </w:rPr>
        <w:lastRenderedPageBreak/>
        <w:t>十一、基金的费用与税收</w:t>
      </w:r>
      <w:bookmarkEnd w:id="14"/>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2、基金托管人的托管费（含境外托管人收取的费用）；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3、本基金从C类基金份额的基金财产中计提的销售服务费；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4、基金上市初费及上市年费；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5、《基金合同》生效后与基金相关的信息披露费用；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6、《基金合同》生效后与基金相关的会计师费、律师费和诉讼费；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7、基金份额持有人大会费用；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8、基金的证券交易费用及在境外市场的交易、清算、登记等实际发生的费用（out-of-pocket fees）；</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9、基金的银行汇划费用和外汇兑换交易相关费用；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10、基金的开户费用、账户维护费用；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11、与基金缴纳税款有关的手续费、汇款费及代理费；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12、因基金利益更换境外托管人而进行的资产转移所产生的费用；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13、为应付赎回和交易清算而进行临时借款所发生的费用；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14、代表基金投票或其他与基金投资活动有关的费用；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15、按照国家有关规定和《基金合同》约定，可以在基金财产中列支的其他费用。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H＝E×1.20%÷当年天数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算，逐日累计至每月月末，按月支付，由基金管理人向基金托管人发送基金管理费划款指令，基金托管人复核后于次月前3个工作日内从基金财产中一次性支付给基金管理人。若遇法定节假日、公休假或不可抗力致使无法按</w:t>
      </w:r>
      <w:r>
        <w:rPr>
          <w:rFonts w:ascii="宋体" w:hAnsi="宋体"/>
          <w:sz w:val="24"/>
        </w:rPr>
        <w:lastRenderedPageBreak/>
        <w:t>时支付的，支付日期顺延。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本基金的托管费按前一日基金资产净值的0.25%的年费率计提。托管费的计算方法如下：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H＝E×0.25%÷当年天数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算，逐日累计至每月月末，按月支付，由基金管理人向基金托管人发送基金托管费划款指令，基金托管人复核后于次月前3个工作日内从基金财产中一次性支取。若遇法定节假日、公休日或不可抗力致使无法按时支付的，支付日期顺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本基金A类基金份额不收取销售服务费，C类基金份额的销售服务费按前一日C类基金资产净值的0.1%年费率计提。计算方法如下：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5个工作日内从基金资产中一次性支付给基金管理人，由基金管理人代付给销售机构。若遇法定节假日、休息日或不可抗力致使无法按时支付的，顺延至最近可支付日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4、上述“（一）基金费用的种类”中第4－15项费用，根据有关法规及相应协议规定，按费用实际支出金额列入当期费用，由基金托管人从基金财产中支付。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3、《基金合同》生效前的相关费用；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4、标的指数许可使用费。标的指数许可使用费由基金管理人承担，不得从基金财产中列支；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5、其他根据相关法律法规及中国证监会的有关规定不得列入基金费用的项目。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基金管理人和基金托管人可根据基金发展情况调整基金管理费率、基金托管费率、销售服务费率等相关费率。降低基金管理费率、基金托管费率、销售服务费率，无须召开基金份额持有人大会。基金管理人必须依照有关规定于新的费率实施日前在指定媒介上刊登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本基金运作过程中涉及的各纳税主体，其纳税义务按国家税收法律、法规和境外市场的规定执行。</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5" w:name="_Toc227915020"/>
      <w:r>
        <w:rPr>
          <w:rFonts w:ascii="Times New Roman" w:hAnsi="Times New Roman"/>
          <w:sz w:val="30"/>
        </w:rPr>
        <w:lastRenderedPageBreak/>
        <w:t>十二、基金的财产</w:t>
      </w:r>
      <w:bookmarkEnd w:id="15"/>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境外托管人根据基金财产所在地法律法规、证券交易所规则、市场惯例以及其与基金托管人签订的次托管协议为本基金在境外开立资金账户、证券账户以及投资所需的其他专用账户。开立的基金专用账户与基金管理人、基金托管人、境外托管人、基金销售机构和基金登记机构自有的财产账户以及其他基金财产账户相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境外托管人和基金销售机构的财产，并由基金托管人保管。基金管理人、基金托管人、境外托管人、基金登记机构和基金销售机构以其自有的财产承担其自身的法律责任，其债权人不得对本基金财产行使请求冻结、扣押或其他权利。除依法律法规和《基金合同》的规定处分外，基金财产不得被处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境外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6" w:name="_Toc227915021"/>
      <w:r>
        <w:rPr>
          <w:rFonts w:ascii="Times New Roman" w:hAnsi="Times New Roman"/>
          <w:sz w:val="30"/>
        </w:rPr>
        <w:lastRenderedPageBreak/>
        <w:t>十三、基金资产的估值</w:t>
      </w:r>
      <w:bookmarkEnd w:id="16"/>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本基金的估值日为基金合同生效后的每个开放日以及国家法律法规规定需要对外披露基金净值的非开放日。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基金所拥有的股票、权证、债券和银行存款本息、应收款项、其它投资等资产及负债。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净价交易的债券按估值日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（4）交易所上市不存在活跃市场的有价证券，采用估值技术确定公允价值。交易所上市的资产支持证券，采用估值技术确定公允价值，在估值技术难以可靠计量公允价值的情况下，按成本估值。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w:t>
      </w:r>
      <w:r>
        <w:rPr>
          <w:rFonts w:ascii="宋体" w:hAnsi="宋体"/>
          <w:sz w:val="24"/>
        </w:rPr>
        <w:lastRenderedPageBreak/>
        <w:t>同一股票的估值方法估值；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（2）首次公开发行未上市的股票、债券和权证，采用估值技术确定公允价值，在估值技术难以可靠计量公允价值的情况下，按成本估值；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（3）首次公开发行有明确锁定期的股票，同一股票在交易所上市后，按交易所上市的同一股票的估值方法估值；非公开发行有明确锁定期的股票，按监管机构或行业协会有关规定确定公允价值。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持有股票而享有的配股权证，从配股除权日起到配股确认日止，若配股权证可以在交易所交易，则按照“1、证券交易所上市的有价证券的估值”中确定的方法进行估值；不能在交易所交易的配股权证，如果收盘价高于配股价，则按收盘价和配股价的差额进行估值，如果收盘价低于或等于配股价，则估值为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非上市证券，采用公允价值进行估值，具体可参照主要做市商或其他权威价格提供机构的报价进行估值；若价格无法通过公开信息取得，参照最近一个交易日可取得的主要做市商或其他权威价格提供机构的报价进行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开放式基金的估值以其在估值日公布的净值进行估值，开放式基金未公布估值日的净值的，以估值日前最新的净值进行估值。若基金价格无法通过公开信息取得，参照最近一个交易日可取得的主要做市商或其他权威价格提供机构的报价进行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6、衍生品估值方法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（1）上市流通衍生品按估值日其所在证券交易所的收盘价估值；估值日无交易的，以最近交易日的收盘价估值。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衍生品按成本价估值，如成本价不能反映公允价值，则采用估值技术确定公允价值；若衍生品价格无法通过公开信息取得，由基金管理人负责从其经纪商处取得，并通过书面方式及时告知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（3）衍生品的估值，可以参照国际会计准则进行。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7、存托凭证估值方法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公开挂牌的存托凭证按其所在证券交易所的最近交易日的收盘价估值。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8、非流动性资产或暂停交易的证券估值方法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未上市流通、或流通受限、或暂停交易的证券，应参照上述估值原则进行估值。如果上述估值方法不能客观反映公允价值的，基金管理人可根据具体情况，并与基金托管人商定后，按最能反映公允价值的价格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9、外汇汇率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外币资产价值计算中，所涉及人民币对美元的汇率应当以基金估值日中国人民银行或其授权机构公布的人民币汇率为准。涉及到其它币种与人民币之间的汇率，采用估值日国际市场主要信息披露机构提供的其它币种对美元的汇率套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10、税收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会计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11、同一债券同时在两个或两个以上市场交易的，按债券所处的市场分别估值。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12、如有确凿证据表明按上述方法进行估值不能客观反映其公允价值的，基金管理人可根据具体情况与基金托管人商定后，按最能反映公允价值的价格估值。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13、相关法律法规以及监管部门有强制规定的，从其规定。如有新增事项，按法律法规以及监管部门最新规定估值。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1、各类基金份额的基金份额净值是按照计算日该类基金份额的基金资产净值除以计算日该类基金份额的余额数量计算，精确到0.0001元，小数点后第五位四舍五入。国家另有规定的，从其规定。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基金管理人于每个工作日计算前一工作日各类基金份额的基金资产净值及基金份额净值，并按规定公告。如遇特殊情况，经中国证监会同意，可以适当延迟计算或公告。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w:t>
      </w:r>
      <w:r>
        <w:rPr>
          <w:rFonts w:ascii="宋体" w:hAnsi="宋体"/>
          <w:sz w:val="24"/>
        </w:rPr>
        <w:lastRenderedPageBreak/>
        <w:t>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w:t>
      </w:r>
      <w:r>
        <w:rPr>
          <w:rFonts w:ascii="宋体" w:hAnsi="宋体"/>
          <w:sz w:val="24"/>
        </w:rPr>
        <w:lastRenderedPageBreak/>
        <w:t>和超过其实际损失的差额部分支付给估值错误责任方。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1、基金投资或交易所涉及的主要证券交易市场或外汇市场遇法定节假日或因其他原因暂停营业时；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3、当前一估值日基金资产净值50%以上的资产出现无可参考的活跃市场价格且采用估值技术仍导致公允价值存在重大不确定性时，经与基金托管人协商确认后，基金管理人应当暂停估值；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w:t>
      </w:r>
      <w:r>
        <w:rPr>
          <w:rFonts w:ascii="宋体" w:hAnsi="宋体"/>
          <w:sz w:val="24"/>
        </w:rPr>
        <w:lastRenderedPageBreak/>
        <w:t>人负责计算，基金托管人负责进行复核。基金管理人应于每个开放日交易结束后计算前一工作日各类基金份额的基金资产净值和基金份额净值并发送给基金托管人。基金托管人对净值计算结果复核确认后发送给基金管理人，由基金管理人依据基金合同和相关法律法规的规定对基金净值予以公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1、基金管理人或基金托管人按估值方法的第12项进行估值时，所造成的误差不作为基金资产估值错误处理。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2、对于因税收规定调整或其他原因导致基金实际交纳税金与基金按照权责发生制进行估值的应交税金有差异的，相关估值调整不作为基金资产估值错误处理。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3、由于投资涉及不同市场及时区，因时差、通讯或其他非可控的客观原因，在本基金管理人和本基金托管人协商一致的时间点前无法确认的交易，导致的对基金资产净值的影响，不作为基金资产估值错误处理。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交易所、指数编制机构、证券经纪机构、登记结算公司及其他数据服务机构发送的数据错误等原因，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7" w:name="_Toc227915022"/>
      <w:r>
        <w:rPr>
          <w:rFonts w:ascii="Times New Roman" w:hAnsi="Times New Roman"/>
          <w:sz w:val="30"/>
        </w:rPr>
        <w:lastRenderedPageBreak/>
        <w:t>十四、基金收益与分配</w:t>
      </w:r>
      <w:bookmarkEnd w:id="17"/>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每年收益分配次数最多为6次，每份基金份额每次分配比例不得低于收益分配基准日每份基金份额可供分配利润的10%，若《基金合同》生效不满3个月可不进行收益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场外投资者可选择现金红利或将现金红利自动转为相应类别的基金份额进行再投资；若投资者不选择，本基金默认的收益分配方式是现金分红。基金份额持有人可对其持有的场外A类基金份额和C类基金份额分别选择不同的收益分配方式；场内基金份额收益分配方式只能为现金分红；场内基金份额具体收益分配程序等有关事项遵循深圳证券交易所及登记机构的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3、基金收益分配后任一类基金份额净值不能低于面值，即基金收益分配基准日的任一类基金份额净值减去每单位该类基金份额收益分配金额后不能低于面值；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4、由于本基金A类基金份额不收取销售服务费，C类基金份额收取销售服务费，各基金份额类别对应的可供分配利润将有所不同；本基金同一基金份额类别的每一基金份额享有同等分配权；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基金红利发放日距离收益分配基准日（即可供分配利润计算截止日）的时间不得超过15个工作日。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8" w:name="_Toc227915023"/>
      <w:r>
        <w:rPr>
          <w:rFonts w:ascii="Times New Roman" w:hAnsi="Times New Roman"/>
          <w:sz w:val="30"/>
        </w:rPr>
        <w:lastRenderedPageBreak/>
        <w:t>十五、基金的会计与审计</w:t>
      </w:r>
      <w:bookmarkEnd w:id="18"/>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19" w:name="_Toc227915024"/>
      <w:r>
        <w:rPr>
          <w:rFonts w:ascii="Times New Roman" w:hAnsi="Times New Roman"/>
          <w:sz w:val="30"/>
        </w:rPr>
        <w:lastRenderedPageBreak/>
        <w:t>十六、基金的信息披露</w:t>
      </w:r>
      <w:bookmarkEnd w:id="19"/>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w:t>
      </w:r>
      <w:r w:rsidRPr="00BB248E">
        <w:rPr>
          <w:rFonts w:ascii="宋体" w:hAnsi="宋体" w:hint="eastAsia"/>
          <w:kern w:val="0"/>
          <w:sz w:val="24"/>
        </w:rPr>
        <w:t>本基金的信息披露应符合《基金法》、《运作办法》、《信息披露办法》、《流动性规定》、《基金合同》及其他有关规定。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本基金公开披露的信息应采用中文文本。如同时采用外文文本的，基金信息披露义务人应保证不同文本的内容一致。不同文本之间发生歧义的，以中文文本为准。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人民币、美元等主要外汇币种计算并披露净值及相关信息。涉及币种之间转换的，应当披露汇率数据来源，并保持一致性。如果出现改变，应当予以披露并说明改变的理由。人民币对主要外汇的汇率应当以报告期末最后一个估值日中国人民银行或其授权机构公布的人民币汇率中间价为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（五）公开披露的基金信息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核准后，基金管理人在基金份额发售的3日前，将基金招募说明书、《基金合同》摘要登载在指定报刊和网站上；基金管理人、基金托管人应当将《基金合同》、基金托管协议登载在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基金管理人应当在收到中国证监会确认文件的次日在指定报刊和网站上登载《基金合同》生效公告。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4、上市交易公告书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本基金获准在深圳证券交易所上市交易的，基金管理人应当在基金份额上市交易3个工作日前，将上市交易公告书登载在指定报刊和网站上。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5、基金净值信息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后2个工作日内，通过指定网站、基金销售机构网站或者营业网点分别披露开放日的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基金管理人应当在不晚于半年度和年度最后一日后的2个工作日内，在指定网站披露半年度和年度最后一日A类基金份额和C类基金份额所对应的基金份额净值和基金份额累计净值。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基金管理人应当在基金年度报告和中期报告中披露基金组合资产情况及其流动性风险分析等。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（4）更换基金管理人、基金托管人、境外托管人、基金份额登记机构，基金改聘会计师事务所；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（6）基金管理人、基金托管人、境外托管人的法定名称、住所发生变更；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（14）基金收益分配事项；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（22）本基金增加或调整基金份额类别；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（23）本基金停复牌、暂停上市、恢复上市或终止上市；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（24）开通多币种销售业务；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（25）基金变更标的指数；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11、中国证监会规定的其他信息。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基金信息披露义务人公开披露基金信息，应当符合中国证监会相关基金信息披露内容与格式准则等法律法规的规定。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基金管理人、基金托管人应当在指定报刊中选择一家披露信息的报刊。基金管理人、基金托管人应当向中国证监会基金电子披露网站报送拟披露的基金信息，并保证相关报送信息的真实、准确、完整、及时。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报刊和网站上披露信息外，还可以根据需要在其他公共媒介披露信息，但是其他公共媒介不得早于指定媒介和基金上市交易的证券交易所网站披露信息，并且在不同媒介上披露同一信息的内容应当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为基金信息披露义务人公开披露的基金信息出具审计报告、法律意见书的专业机构，应当制作工作底稿，并将相关档案至少保存到《基金合同》终止后十 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依法必须披露的信息发布后，基金管理人、基金托管人应当按照相关法律法规规定将信息置备于各自住所、基金上市交易的证券交易所网站，供社会公众查阅、复制。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w:t>
      </w:r>
      <w:r w:rsidRPr="00BB248E">
        <w:rPr>
          <w:rFonts w:ascii="宋体" w:hAnsi="宋体" w:hint="eastAsia"/>
          <w:kern w:val="0"/>
          <w:sz w:val="24"/>
        </w:rPr>
        <w:t>本基金信息披露事项以法律法规规定及本章节约定的内容为准。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0" w:name="_Toc227915025"/>
      <w:r>
        <w:rPr>
          <w:rFonts w:ascii="Times New Roman" w:hAnsi="Times New Roman"/>
          <w:sz w:val="30"/>
        </w:rPr>
        <w:lastRenderedPageBreak/>
        <w:t>十七、基金合同的变更、终止与基金财产的清算</w:t>
      </w:r>
      <w:bookmarkEnd w:id="20"/>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2、关于《基金合同》变更的基金份额持有人大会决议自生效后方可执行，并自决议生效后2日内在指定媒介公告。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6、相关法律法规和中国证监会规定的其他情况。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4、基金财产清算程序：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1" w:name="_Toc227915026"/>
      <w:r>
        <w:rPr>
          <w:rFonts w:ascii="Times New Roman" w:hAnsi="Times New Roman"/>
          <w:sz w:val="30"/>
        </w:rPr>
        <w:lastRenderedPageBreak/>
        <w:t>十八、基金托管人</w:t>
      </w:r>
      <w:bookmarkEnd w:id="21"/>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2" w:name="_Toc227915027"/>
      <w:r>
        <w:rPr>
          <w:rFonts w:ascii="Times New Roman" w:hAnsi="Times New Roman"/>
          <w:sz w:val="30"/>
        </w:rPr>
        <w:lastRenderedPageBreak/>
        <w:t>十九、境外托管人</w:t>
      </w:r>
      <w:bookmarkEnd w:id="22"/>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（一）境外托管人基本情况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名称：摩根大通银行（JPMorgan Chase Bank, National Association）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注册地址：1111 Polaris Parkway, Columbus, Ohio 43240, U.S.A.</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办公地址：383 Madison Avenue, New York, NY 10179-0001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法定代表人：James Dimon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成立时间：1799年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总资产（截止2023年12月31日）：3.88万亿美元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实收资本（截止2023年12月31日）：1,214亿美元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托管资产规模（截止2023年12月31日）：32.4万亿美元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信用等级：穆迪评级Aa2（高级信用债券）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领先的金融服务公司，摩根大通拥有3.88万亿美元资产，在超过60个国家经营。在投资银行业务、消费者金融服务、小企业和商业银行业务、金融交易处理、资产管理和私募股权投资基金等方面，摩根大通均为业界领导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自1946年开始为其美国客户提供托管服务。之后为响应客户投资海外的要求，该公司在1974年率先开展了一种综合性的服务–全球托管。此后，摩根大通继续扩展服务，以满足不断变化的客户需要。通过提供优质服务和创新的产品，摩根大通始终保持其领先地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作为全球托管行业的领先者，摩根大通托管资产达32.4万亿美元（截至2023年12月31日），为全世界最大的机构投资者提供创新的托管、基金会计和服务以及证券服务。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是一家真正的全球机构，在超过60个国家有实体运作。与很多竞争对手不同之处在于，摩根大通还可为客户提供市场领先的投资银行服务，包括外汇交易、全球期货与期权清算、股权及股权挂钩产品以及固定收益投资的交易与研究。同时，在资产负债表内和表外的现金和流动性方面，我们也有很强的解决方案能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摩根大通还是亚太地区全球托管的先行者之一，其历史可以追溯到1974年，在亚太地区15个国家/地区均有客户：日本、澳大利亚、文莱、中国大陆、中国香港、印度、马来西亚、新西兰、新加坡、韩国、中国台湾、菲律宾、泰国、东</w:t>
      </w:r>
      <w:r>
        <w:rPr>
          <w:rFonts w:ascii="宋体" w:hAnsi="宋体"/>
          <w:sz w:val="24"/>
        </w:rPr>
        <w:lastRenderedPageBreak/>
        <w:t>帝汶和越南。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（二）境外托管人的职责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1、安全保管基金的境外资产，及时办理清算、交割事宜。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2、准时将公司行为信息通知基金管理人和/或基金托管人，确保基金及时收取所有应得收入。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3、其他由基金托管人委托其履行的职责。</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3" w:name="_Toc227915028"/>
      <w:r>
        <w:rPr>
          <w:rFonts w:ascii="Times New Roman" w:hAnsi="Times New Roman"/>
          <w:sz w:val="30"/>
        </w:rPr>
        <w:lastRenderedPageBreak/>
        <w:t>二十、相关服务机构</w:t>
      </w:r>
      <w:bookmarkEnd w:id="23"/>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个人投资者可以通过基金管理人网上直销交易平台办理开户、本基金的申购、赎回、定期定额投资等业务，具体交易细则请参阅基金管理人网站。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（2）名称：厦门银行股份有限公司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厦门银行股份有限公司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（3）名称：中国农业银行股份有限公司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（4）名称：东莞农村商业银行股份有限公司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（6）名称：东吴证券股份有限公司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（7）名称：平安银行股份有限公司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（9）名称：交通银行股份有限公司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传真：（021）58408483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（11）名称：宁波银行股份有限公司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（12）名称：光大证券股份有限公司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（13）名称：五矿证券有限公司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（14）名称：财通证券股份有限公司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（15）名称：兴业证券股份有限公司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（16）名称：长城国瑞证券有限公司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联系人：陈月月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（17）名称：长江证券股份有限公司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（18）名称：西南证券股份有限公司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（19）名称：信达证券股份有限公司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（20）名称：长城证券有限责任公司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（21）名称：中国国际金融股份有限公司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（23）名称：申万宏源西部证券有限公司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传真：（010）88085195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（24）名称：中国银河证券股份有限公司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（26）名称：国都证券股份有限公司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电话：（0755）22627802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（28）名称：华龙证券股份有限公司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（29）名称：方正证券股份有限公司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（30）名称：西部证券股份有限公司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网址：www.west95582.com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（31）名称：国信证券股份有限公司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（32）名称：山西证券股份有限公司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（34）名称：国金证券股份有限公司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法定代表人：冉云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（35）名称：东方财富证券股份有限公司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（37）名称：国新证券股份有限公司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（38）名称：国联民生证券股份有限公司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（39）名称：中信建投证券股份有限公司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（40）名称：国元证券股份有限公司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办公地址：四川省成都市高新区天府二街198号华西证券大厦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（42）名称：国投证券股份有限公司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（43）名称：浙商证券股份有限公司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住所：浙江省杭州市江干区五星路201号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办公地址：浙江省杭州市江干区五星路201号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法定代表人：吴承根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电话：（0571）87901964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传真：（0571）87901955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联系人：胡相斌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客户服务电话：95345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网址：www.stocke.com.cn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（44）名称：东莞证券股份有限公司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（45）名称：华福证券股份有限公司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（46）名称：华泰证券股份有限公司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（47）名称：华宝证券股份有限公司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（48）名称：中信证券（山东）有限责任公司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办公地址：青岛市市南区东海西路28号龙翔广场东座5层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（49）名称：中信证券股份有限公司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（50）名称：中信证券华南股份有限公司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（51）名称：国泰海通证券股份有限公司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服务热线 : 95521 / 4008888666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（52）名称：海通证券股份有限公司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（53）名称：广发证券股份有限公司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（54）名称：中航证券有限公司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（55）名称：中国中金财富证券有限公司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住所：深圳市福田区益田路与福中路交界处荣超商务中心A栋第18层-21层及第04层01.02.03.05.11.12.13.15.16.18.19.20.21.22.23单元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（56）名称：北京广源达信基金销售有限公司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（57）名称：天相投资顾问有限公司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（58）名称：深圳市新兰德证券投资咨询有限公司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电话：（010）58325395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（59）名称：济安财富（北京）基金销售有限公司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（60）名称：大连网金基金销售有限公司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（61）名称：阳光人寿保险股份有限公司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（62）名称：玄元保险代理有限公司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（63）名称：京东肯特瑞基金销售有限公司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（64）名称：上海大智慧基金销售有限公司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（65）名称：和耕传承基金销售有限公司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住所：河南自贸试验区郑州片区（郑东）东风南路东康宁街北6号楼5楼503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（66）名称：腾安基金销售（深圳）有限公司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（67）名称：珠海盈米基金销售有限公司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（68）名称：上海华夏财富投资管理有限公司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毛淮平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（69）名称：北京度小满基金销售有限公司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（70）名称：南京苏宁基金销售有限公司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（71）名称：嘉实财富管理有限公司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联系人：闫欢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（72）名称：北京汇成基金销售有限公司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（73）名称：上海利得基金销售有限公司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（74）名称：北京虹点基金销售有限公司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（75）名称：上海挖财基金销售有限公司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（76）名称：万家财富基金销售（天津）有限公司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（77）名称：上海万得基金销售有限公司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（78）名称：格上富信投资顾问有限公司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办公地址：北京市朝阳区东三环北路19号楼701内09室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（79）名称：深圳市金斧子基金销售有限公司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（80）名称：北京雪球基金销售有限公司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（81）名称：北京新浪仓石基金销售有限公司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法定代表人：穆飞虎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（82）名称：中证金牛（北京）基金销售有限公司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（83）名称：上海证达通基金销售有限公司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（84）名称：北京创金启富基金销售有限公司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客户服务电话：010-66154828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（85）名称：奕丰基金销售有限公司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（86）名称：上海天天基金销售有限公司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（87）名称：和讯信息科技有限公司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（88）名称：诺亚正行基金销售有限公司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（89）名称：上海好买基金销售有限公司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（90）名称：上海长量基金销售有限公司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（91）名称：深圳众禄基金销售股份有限公司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电话：（0755）33227953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（92）名称：上海基煜基金销售有限公司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（93）名称：浙江同花顺基金销售有限公司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（94）名称：宜信普泽（北京）基金销售有限公司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联系人：蒋凯帆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（95）名称：上海联泰基金销售有限公司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（96）名称：泛华普益基金销售有限公司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（97）名称：北京展恒基金销售股份有限公司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（98）名称：博时财富基金销售有限公司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（99）名称：上海中欧财富基金销售有限公司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（100）名称：深圳前海微众银行股份有限公司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（101）名称：上海陆金所基金销售有限公司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办公地址：上海市浦东新区陆家嘴环路1333号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（102）名称：中信期货有限公司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（103）名称：中国人寿保险股份有限公司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（104）名称：蚂蚁（杭州）基金销售有限公司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（105）名称：海南有知有行基金销售有限公司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注册地址：海南省海口市龙华区中海国际中心-1705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办公地址：海南省海口市龙华区中海国际中心-1705</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法定代表人：孟岩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联系电话：0898-36313308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联系人：陈善枫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:0898-36313308</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网址：https://youzhiyouxing.com/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经办律师：黎明、孙睿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名称：容诚会计师事务所（特殊普通合伙）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4" w:name="_Toc227915029"/>
      <w:r>
        <w:rPr>
          <w:rFonts w:ascii="Times New Roman" w:hAnsi="Times New Roman"/>
          <w:sz w:val="30"/>
        </w:rPr>
        <w:lastRenderedPageBreak/>
        <w:t>二十一、基金合同内容摘要</w:t>
      </w:r>
      <w:bookmarkEnd w:id="24"/>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13）在法律法规允许的前提下，为基金的利益依法为基金进行融资融券；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回、转换、上市交易和非交易过户等业务规则；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5）委托境外证券服务机构代理买卖证券的，应当严格履行受信责任，并按照有关规定对投资交易的流程、信息披露、记录保存进行管理；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6）与境外证券服务机构之间的证券交易和研究服务安排，应当严符合相关法律法规的规定；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7）进行境外证券投资，应当遵守当地监管机构、交易场所的有关法律法规规定；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8）建立健全内部风险控制、监察与稽核、财务管理及人事管理等制度，保证所管理的基金财产和基金管理人的财产相互独立，对所管理的不同基金分别管理，分别记账，进行证券投资；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9）除依据《基金法》、《基金合同》及其他有关规定外，不得利用基金财产为自己及任何第三人谋取利益，不得委托第三人运作基金财产；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10）依法接受基金托管人的监督；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11）采取适当合理的措施使计算基金份额认购、申购、赎回和注销价格的方法符合《基金合同》等法律文件的规定，按有关规定计算并公告基金净值信息，确定基金份额申购、赎回的价格；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12）进行基金会计核算并编制基金财务会计报告；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13）编制季度报告、中期报告和年度报告；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14）严格按照《基金法》、《基金合同》及其他有关规定，履行信息披露及报告义务；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15）保守基金商业秘密，不泄露基金投资计划、投资意向等。除《基金法》、《基金合同》及其他有关规定另有规定外，在基金信息公开披露前应予保密，不向他人泄露；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16）按《基金合同》的约定确定基金收益分配方案，及时向基金份额持有人分配基金收益；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17）按规定受理申购与赎回申请，及时、足额支付赎回款项；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18）依据《基金法》、《基金合同》及其他有关规定召集基金份额持有人大会或配合基金托管人、基金份额持有人依法召集基金份额持有人大会；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19）按规定保存基金财产管理业务活动的会计账册、报表、记录和其他相关资料15年以上；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21）组织并参加基金财产清算小组，参与基金财产的保管、清理、估价、变现和分配；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22）面临解散、依法被撤销或者被依法宣告破产时，及时报告中国证监会并通知基金托管人；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23）因违反《基金合同》导致基金财产的损失或损害基金份额持有人合法权益时，应当承担赔偿责任，其赔偿责任不因其退任而免除；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24）监督基金托管人按法律法规和《基金合同》规定履行自己的义务，基金托管人违反《基金合同》造成基金财产损失时，基金管理人应为基金份额持有人利益向基金托管人追偿；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25）当基金管理人将其义务委托第三方处理时，应当对第三方处理有关基金事务的行为承担责任；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26）以基金管理人名义，代表基金份额持有人利益行使诉讼权利或实施其他法律行为；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29）建立并保存基金份额持有人名册；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30）法律法规及中国证监会、外管局规定的和《基金合同》约定的其他义务。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4）选择、更换或撤销境外托管人；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5）根据相关市场规则，为基金开设资金账户、证券账户等投资所需账户、为基金办理证券交易资金清算；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6）提议召开或召集基金份额持有人大会；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7）在基金管理人更换时，提名新的基金管理人；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5）确保基金按照有关法律法规、基金合同约定的投资目标和限制进行管理；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6）保管由基金管理人代表基金签订的与基金有关的重大合同及有关凭证；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7）按规定开设基金财产的资金账户和证券账户等投资所需账户，按照《基金合同》的约定，根据基金管理人的投资指令，及时办理清算、交割事宜；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8）保守基金商业秘密，除《基金法》、《基金合同》及其他有关规定另有规定外，在基金信息公开披露前予以保密，不得向他人泄露；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9）确保基金份额净值按照有关法律法规、基金合同规定的方法进行计算；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10）确保基金按照有关法律法规、基金合同的规定进行申购、认购、赎回等日常交易；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11）复核、审查基金管理人计算的基金资产净值、各类基金份额净值、基金份额申购、赎回价格；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12）确保基金根据有关法律法规、基金合同确定并实施收益分配方案；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13）按照有关法律法规、基金合同的规定以受托人名义或其指定的代理人名义登记资产；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14）办理与基金托管业务活动有关的信息披露事项；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16）保存本基金的资金汇出、汇入、兑换、收汇、付汇、资金往来、委托及成交记录等相关资料，其保存的时间应当不少于20年；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17）保存基金托管业务活动的记录、账册、报表和其他相关资料15年以上；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18）建立并保存基金份额持有人名册；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19）按规定制作相关账册并与基金管理人核对；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20）依据基金管理人的指令或有关规定向基金份额持有人支付基金收益和赎回款项；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21）依据《基金法》、《基金合同》及其他有关规定，召集基金份额持有人大会或配合基金管理人、基金份额持有人依法召集基金份额持有人大会；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22）按照法律法规和《基金合同》的规定监督基金管理人的投资运作；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23）参加基金财产清算小组，参与基金财产的保管、清理、估价、变现和分配；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24）面临解散、依法被撤销或者被依法宣告破产时，及时报告中国证监会和银行业监督管理机构，并通知基金管理人；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25）因违反《基金合同》导致基金财产损失时，应承担赔偿责任，其赔偿责任不因其退任而免除；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26）按规定监督基金管理人按法律法规和《基金合同》规定履行自己的义务，基金管理人因违反《基金合同》造成基金财产损失时，应为基金份额持有人利益向基金管理人追偿；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对基金的境外财产，基金托管人可授权境外托管人代为履行其承担的职责。境外托管人依据基金财产投资地法律法规、监管要求、证券交易所规则、市场惯例以及其与基金托管人之间的次托管协议持有、保管基金财产，并履行资金清算等职责。境外托管人在履行职责过程中，因本身过错、疏忽原因而导致基金财产受损的，基金托管人承担相应责任；在决定境外托管人是否有过错、疏忽等不当行为时，应根据基金托管人与境外托管人之间的协议的适用法律及当地法律法规和市场惯例决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29）保护基金份额持有人利益，按照规定对基金日常投资行为和资金汇出入情况实施监督，如发现投资指令或资金汇出入违法、违规，应当及时向中国证监会、外管局报告；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30）安全保护基金财产，准时将公司行为信息通知基金管理人，确保基金及时收取所有应得收入；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31）按照法律法规的规定向中国证监会和外管局报告基金管理人境外投资情况，并按相关规定进行国际收支申报；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32）办理本基金的有关结汇、售汇、收汇、付汇和人民币资金结算业务；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33）法律法规及中国证监会、外管局规定的和《基金合同》约定的其他义务。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（1）根据《基金法》、《运作办法》及其他有关规定，基金份额持有人的权利包括但不限于：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9）遵守基金管理人、基金托管人、深圳证券交易所、销售机构和登记机构的相关交易及业务规则；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11）法律法规及中国证监会规定的和《基金合同》约定的其他义务。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3）更换基金托管人，但因涉及本基金与其他基金合并的除外；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4）转换基金运作方式，法律法规和中国证监会另有规定的除外；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5）提高基金管理人、基金托管人的报酬标准或提高销售服务费率，但法律法规要求提高该等报酬标准或提高销售服务费率的除外；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8）变更基金投资目标、范围或策略，法律法规和中国证监会另有规定的除外；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9）变更基金份额持有人大会程序，法律法规、基金合同和中国证监会另有规定的除外；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11）终止基金份额上市，但因基金不再具备上市条件而被深圳证券交易所终止上市的、以及基金合同另有约定的除外；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12）单独或合计持有本基金总份额10%以上（含10%）基金份额的基金份额持有人（以基金管理人收到提议当日的基金份额计算，下同）就同一事项书面要求召开基金份额持有人大会；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13）对基金合同当事人权利和义务产生重大影响的其他事项；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14）法律法规、《基金合同》或中国证监会规定的其他应当召开基金份额持有人大会的事项。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1）调低基金管理费、基金托管费和其他应由本基金或基金份额持有人承担的费用；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2）法律法规要求增加的基金费用的收取；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3）在法律法规和《基金合同》规定的范围内调整本基金的申购费率、调低赎回费率或销售服务费率、在对现有基金份额持有人利益无实质性不利影响的前提下变更或增加收费方式；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4）调整基金份额类别设置、对基金份额分类办法及规则进行调整；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5）根据基金管理人与标的指数供应商签订的相应指数使用许可协议变更标的指数许可使用费费率和计费方式；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6）在不违反法律法规规定且对现有基金份额持有人利益无实质性不利影响的情况下，增加、减少或调整基金销售币种；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7）因相应的法律法规、深圳证券交易所或登记机构的相关业务规则发生变动而应当对《基金合同》进行修改；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8）对《基金合同》的修改对基金份额持有人利益无实质性不利影响或修改不涉及《基金合同》当事人权利义务关系发生重大变化；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9）在法律法规允许的情况下基金推出新业务或服务；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10）变更标的指数对基金投资范围和投资策略无实质性影响（包括但不限于指数编制单位变更、指数更名等事项）；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11）基金管理人、登记机构、深圳证券交易所、销售机构在法律法规规定的范围内调整有关基金认购、申购、赎回、转换、非交易过户、转托管、上市交易等业务的规则；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12）本基金根据基金合同的约定进行基金合并的；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13）按照法律法规和《基金合同》规定不需召开基金份额持有人大会的以外的其他情形。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w:t>
      </w:r>
      <w:r>
        <w:rPr>
          <w:rFonts w:ascii="宋体" w:hAnsi="宋体"/>
          <w:sz w:val="24"/>
        </w:rPr>
        <w:lastRenderedPageBreak/>
        <w:t>自行召集，并自出具书面决定之日起60日内召开并告知基金管理人，基金管理人应当配合；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w:t>
      </w:r>
      <w:r>
        <w:rPr>
          <w:rFonts w:ascii="宋体" w:hAnsi="宋体"/>
          <w:sz w:val="24"/>
        </w:rPr>
        <w:lastRenderedPageBreak/>
        <w:t>中说明本次基金份额持有人大会所采取的具体通讯方式、委托的公证机关及其联系方式和联系人、书面表决意见寄交的截止时间和收取方式。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w:t>
      </w:r>
      <w:r>
        <w:rPr>
          <w:rFonts w:ascii="宋体" w:hAnsi="宋体"/>
          <w:sz w:val="24"/>
        </w:rPr>
        <w:lastRenderedPageBreak/>
        <w:t>相关提示性公告；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w:t>
      </w:r>
      <w:r>
        <w:rPr>
          <w:rFonts w:ascii="宋体" w:hAnsi="宋体"/>
          <w:sz w:val="24"/>
        </w:rPr>
        <w:lastRenderedPageBreak/>
        <w:t>在基金份额持有人大会召开前及时公告。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基金份额持有人大会的决议自表决通过之日起生效。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另有规定的，凡是直接引用法律法规的部分，如将来法律法规修改导致相关内容被取消或变更的，基金管理人提前公告后，可直接对本部分内容进行修改和调整，无需召开基金份额持有人大会审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（2）关于《基金合同》变更的基金份额持有人大会决议自生效后方可执行，并自决议生效后2日内在指定媒介公告。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（3）本基金作为被合并方与其他基金进行合并的；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出现标的指数不符合要求（不包括因成份股价格波动等指数编制方法变动之外的因素致使标的指数不符合要求的情形）、指数编制机构退出等情形，基金管理人召集基金份额持有人大会对解决方案进行表决，基金份额持有人大会未成功召开或就上述事项表决未通过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（5）《基金合同》约定的其他情形；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（6）相关法律法规和中国证监会规定的其他情况。</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w:t>
      </w:r>
      <w:r>
        <w:rPr>
          <w:rFonts w:ascii="宋体" w:hAnsi="宋体"/>
          <w:sz w:val="24"/>
        </w:rPr>
        <w:lastRenderedPageBreak/>
        <w:t>计并由律师事务所出具法律意见书后报中国证监会备案并公告。基金财产清算公告于基金财产清算报告报中国证监会备案后5个工作日内由基金财产清算小组进行公告。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仲裁费用、律师费由败诉方承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5" w:name="_Toc227915030"/>
      <w:r>
        <w:rPr>
          <w:rFonts w:ascii="Times New Roman" w:hAnsi="Times New Roman"/>
          <w:sz w:val="30"/>
        </w:rPr>
        <w:lastRenderedPageBreak/>
        <w:t>二十二、托管协议的内容摘要</w:t>
      </w:r>
      <w:bookmarkEnd w:id="25"/>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联系人：李芳菲</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联系电话：010-68121510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 算；办理票据承兑与贴现；发行金融债券；代理发行、代理兑付、承销政府债券；买卖政府债券、金融债券；从事同业拆借；买卖、代理买卖外汇；结汇、售汇；从事银行卡业务；提供信用证服务及担保；代理收付款项及代理保险业务；提供保管箱服</w:t>
      </w:r>
      <w:r>
        <w:rPr>
          <w:rFonts w:ascii="宋体" w:hAnsi="宋体"/>
          <w:sz w:val="24"/>
        </w:rPr>
        <w:lastRenderedPageBreak/>
        <w:t>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 券投资托管业务；代理开放式基金业务；电话银行、手机银行、网上银行业务；金融衍生产品交易业务；经国务院银行业监督管理机构等监管部门批准的其他业务。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1、基金托管人根据有关法律法规的规定及基金合同中实际可以监控事项的约定，建立相关的技术系统，对基金管理人的投资运作进行监督。主要包括以下方面：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（1）对基金的投资范围、投资对象进行监督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的比例合计不低于基金资产净值的5%，其中现金不包括结算备付金、存出保证金和</w:t>
      </w:r>
      <w:r>
        <w:rPr>
          <w:rFonts w:ascii="宋体" w:hAnsi="宋体"/>
          <w:sz w:val="24"/>
        </w:rPr>
        <w:lastRenderedPageBreak/>
        <w:t>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将拟投资的股票库等各投资品种的具体范围提供给基金托管人。基金管理人可以根据实际情况的变化，对各投资品种的具体范围予以更新和调整，并通知基金托管人。基金托管人根据上述投资范围对基金的投资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（2）对基金投融资比例进行监督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1）本基金投资于中证海外中国互联网指数成份股、备选成份股、与中证海外中国互联网指数相关的公募基金（包括上市交易型基金）的比例不低于基金资产的90%。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2）保持不低于基金资产净值5%的现金或者到期日在一年以内的政府债券，其中现金不包括结算备付金、存出保证金和应收申购款等。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同一家银行的存款不得超过基金资产净值的20%，其中银行应当是中资商业银行在境外设立的分行或在最近一个会计年度达到中国证监会认可的信用评级机构评级的境外银行。在基金托管账户的存款可以不受上述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前述非流动性资产是指法律或基金合同规定的流通受限证券以及中国证监会认定的其他资产。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6）本基金持有境外基金的市值合计不得超过基金资产净值的10%，但持有货币市场基金不受此限制。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7）本基金管理人管理的全部基金持有任何一只境外基金，不得超过该境外基金总份额的20%。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8）本基金的金融衍生品全部敞口不得高于基金资产净值的100%。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9）本基金投资期货支付的初始保证金、投资期权支付或收取的期权费、投资柜台交易衍生品支付的初始费用的总额不得高于基金资产净值的10%。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10）本基金投资于远期合约、互换等柜台交易金融衍生品，应当符合以下要求：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①所有参与交易的对手方（中资商业银行除外）应当具有不低于中国证监会认可的信用评级机构评级。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②交易对手方应当至少每个工作日对交易进行估值，并且本基金可在任何时候以公允价值终止交易。</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③任一交易对手方的市值计价敞口不得超过基金资产净值的20%。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11）本基金可以参与证券借贷交易，并且应当遵守下列规定：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①所有参与交易的对手方（中资商业银行除外）应当具有中国证监会认可的信用评级机构评级。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②应当采取市值计价制度进行调整以确保担保物市值不低于已借出证券市值的102%。</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③借方应当在交易期内及时向本基金支付已借出证券产生的所有股息、利息和分红。一旦借方违约，本基金根据协议和有关法律有权保留和处置担保物以满足索赔需要。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④除中国证监会另有规定外，担保物可以是以下金融工具或品种：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a现金；</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 政府债券；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 中资商业银行或由不低于中国证监会认可的信用评级机构评级的境外金融机构（作为交易对手方或其关联方的除外）出具的不可撤销信用证。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本基金有权在任何时候终止证券借贷交易并在正常市场惯例的合理期限内要求归还任一或所有已借出的证券。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⑥本基金管理人对本基金参与证券借贷交易中发生的损失，按照法律法规的规定承担相应责任。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 本基金可以根据正常市场惯例参与正回购交易、逆回购交易，并且应当遵守下列规定：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①所有参与正回购交易的对手方（中资商业银行除外）应当具有中国证监会认可的信用评级机构信用评级。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②参与正回购交易，应当采取市值计价制度对卖出收益进行调整以确保现金不低于已售出证券市值的102%。一旦买方违约，本基金根据协议和有关法律有权保留</w:t>
      </w:r>
      <w:r>
        <w:rPr>
          <w:rFonts w:ascii="宋体" w:hAnsi="宋体"/>
          <w:sz w:val="24"/>
        </w:rPr>
        <w:lastRenderedPageBreak/>
        <w:t>或处置卖出收益以满足索赔需要。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③买方应当在正回购交易期内及时向本基金支付售出证券产生的所有股息、利息和分红。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④参与逆回购交易，应当对购入证券采取市值计价制度进行调整以确保已购入证券市值不低于支付现金的102%。一旦卖方违约，本基金根据协议和有关法律有权保留或处置已购入证券以满足索赔需要。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⑤本基金管理人对本基金参与证券正回购交易、逆回购交易中发生的损失，按照法律法规的规定承担相应责任。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13）本基金参与证券借贷交易、正回购交易，所有已借出而未归还证券总市值或所有已售出而未回购证券总市值均不得超过本基金总资产的50%。</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前述比例限制计算，本基金因参与证券借贷交易、正回购交易而持有的担保物、现金不得计入本基金总资产。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15）本基金与私募类证券资管产品及中国证监会认定的其他主体为交易对手开展逆回购交易的，可接受质押品的资质要求应当与基金合同约定的投资范围保持一致。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16）法律法规及中国证监会规定的和《基金合同》约定的其他投资限制。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若基金超过上述1）、3）-7）项投资比例限制，应当在超过比例后30个工作日内采用合理的商业措施减仓以符合投资比例限制要求。</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（3）根据基金合同及本协议对投资禁止行为的约定对基金投资禁止行为进行监督；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向基金托管人提供其回购交易及监督所需的其他投资品种的交易对手库，交易对手库由信用等级符合《通知》要求的交易对手组成。基金托管人只对进行金融衍生品、证券借贷、回购交易之交易对手作出监督。监督范围并不包括一般证券买卖之券商。基金管理人可以根据实际情况的变化，及时对交易对手库予以更新和调整，并通知基金托管人。基金管理人进行金融衍生品、证券借贷、回购交易时，交易对手应符合交易对手库的范围。基金托管人对交易对手是否符合交易对手库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如投资银行存款，基金管理人应根据法律法规的规定及基金合同的约定，事先确定符合条件的所有存款银行的名单，并及时提供给基金托管人，基金托管人据以对基金投资银行存款的交易对手是否符合上述名单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（6）对法律法规规定及基金合同中实际可以监控事项约定的基金投资的其他方面进行监督。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根据有关法律法规的规定及基金合同的约定，对基金资产净值计算、各类基金份额净值计算、应收资金到账、基金费用开支及收入确定、基金收益分配、相关信息披露、基金宣传推介材料中登载基金业绩表现数据等进行业务复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发现基金管理人的违规行为，应及时通知基金管理人，由基金管理人限期纠正；基金管理人收到通知后应及时进行核对确认并回函；在限期内，基金托管人有权对通知事项进行复查，如基金管理人未予纠正，基金托管人应报告中国证监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积极配合和协助基金托管人的监督和核查，包括但不限于：在规定时间内答复基金托管人并改正违规或违约行为，就基金托管人的疑义进行解释或举证，对基金托管人按照法规要求需向中国证监会报送基金监督报告的，基金管理人应积极配合提供相关数据资料和制度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5、基金托管人对投资管理人对基金财产的投资运作于估值日结束且相关数据齐备后，进行交易后的投资监控和报告。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的投资监督报告的准确性和完整性受限于基金管理人及其他中介机构提供的数据和信息，基金托管人对这些机构的信息的准确性和完整性不作任何担保、暗示或表示，并对这些机构的信息的准确性和完整性所引起的损失不负任何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7、基金托管人对基金管理人的投资行为(包括但不限于其投资策略及决定)及其投资回报不承担任何责任。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协议的有效期内，在不违反公平、合理原则以及不妨碍基金托管人遵守相关法律法规及其行业监管要求的基础上，基金管理人有权对基金托管人履行本协议的情况进行必要的核查，核查事项包括但不限于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无正当理由未执行或延迟执行基金管理人资金划拨指令、泄露基金投资信息等违反法律法规、基金合同及本协议有关规定时，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3、基金托管人应积极配合基金管理人的核查行为，包括但不限于：提交相关资料以供基金管理人核查托管财产的完整性和真实性，在规定时间内答复基金管理人并改正。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（1）基金财产应独立于基金管理人、基金托管人和境外托管人的固有财产。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（2）基金托管人应安全保管基金财产，未经基金管理人的合法合规指令或法律法规、基金合同及本协议另有规定，不得自行运用、处分、分配基金的任何财产。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（3）基金托管人按照规定开设基金财产的所有资金账户和证券账户。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（5）基金托管人可将基金财产安全保管和办理与基金财产过户有关的手续等职责委托给第三方机构履行。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（6）现金账户中的现金由基金托管人或其境外托管人以银行身份持有。</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（7）托管人或其境外托管人按照有关市场的适用法律、法规和市场惯例，支付现金、办理证券登记等托管业务。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非根据基金管理人书面同意，基金托管人自身，并应确保境外托管人不得在任何基金财产上设立任何担保权利，包括但不限于抵押、质押等，但根据有关适用法律的规定因基金投资而产生的担保权利除外。</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（1）基金募集期间的资金应存于基金管理人开立的“基金募集专户”。该账户由基金管理人或基金管理人委托的登记机构开立并管理。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合同及其他有关规定后，基金管理人应在规定时间内，聘请具有从事证券相关业务资格的会计师事务所进行验资，出具验资报告。出具的验资报告由参加验资的2名或2名以上中国注册会计师签字方为有效。验资完成后，基金管理人应将属于基金财产的全部资金划入基金托管人开立并指定的基金托管银行账户中，并确保划入的资金与验资确认金额相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（3）若基金募集期限届满，未能达到基金合同及其他有关规定的生效条件，由基金管理人按规定办理退款等事宜。</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（1）基金托管人应负责本基金的银行账户的开设和管理。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本基金的名义开设本基金的托管账户。本基金的银行预留印鉴由基金托管人保管和使用。本基金的一切货币收支活动，包括但不限于投资、支付赎回金额、支付基金收益、收取申购款，均需通过本基金的托管账户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托管账户的开立和使用，限于满足开展本基金业务的需要。基金托管人、境外托管人和基金管理人、境外投资顾问均不得假借本基金的名义开立其他任何银行账户；亦不得使用本基金的银行账户进行本基金业务以外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（4）基金资金结算账户的开立和管理应符合账户所在国或地区监管理机构的有关规定。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（1）基金托管人在基金所投资市场的交易所或登记结算机构或境外基金托管人处，按照该交易所或登记结算机构的业务规则开立证券账户。</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证券账户的开立和使用，仅限于满足开展本基金业务的需要。基金托管人和基金管理人以及各自委托代理人均不得出借擅自转让基金的任何证券账户，亦不得使用基金的任何账户进行本基金业务以外的活动。</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（3）基金证券账户的开立和证券账户相关证明文件的保管由基金托管人负责，账户资产的管理和运用由基金管理人负责。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（4）基金证券账户的开立和管理应符合账户所在国或地区有关法律的规定。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（1）因业务发展需要而开立的其他账户，可以根据投资市场所在国家或地区法律法规和基金合同的规定由基金托管人负责进行开立。新账户按有关规则使用并管理。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（2）投资市场所在国家或地区法律法规等有关规定对相关账户的开立和管理另有规定的，从其规定办理。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价凭证等的保管按照实物证券相关规定办理。属于基金托管人及其境外托管人实际有效控制下的实物证券在基金托管人保管期间的损坏、灭失，由此产生的责任应由基金托管人承担，但基金托管人对其及境外托管人以外机构实际有效控制的有价凭证不承担保管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按照法律法规保管由基金管理人代表基金签署的与基金有关的重大合同及有关凭证。基金管理人代表基金签署有关重大合同后应在收到合同正本后30日内将一份正本的原件提交给基金托管人。除另有规定外，基金管理人或其委托的第三方机构在代表基金签署与基金财产有关的重大合同时一般应保证有两份以上的正本，以便基金管理人和基金托管人至少各持有一份正本原件。重大合同由基金管理人与基金托管人按规定各自保管至少15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计算日该类基金份额的基金资产净值除以计算日该类基金份额的余额数量后得到的数值。基金份额净值的计算，精确到0.0001元，小数点后第五位四舍五入，由此产生的误差计入基金财产。国家另有规定的，从其规定。</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基金管理人于每工作日计算前一工作日各类基金份额的基金资产净值及基金份额净值，并按规定公告。如遇特殊情况，经中国证监会同意，可以适当延迟计算或公告。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1、复核程序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进行估值，估值原则应符合基金合同、《证券投资基金会计核算业务指引》及其他法律法规的规定。每个工作日在约定时间之前，基金管理人将前一日的基金估值结果以双方确认的形式报送基金托管人。基金托管人应在收到上述估值结果后进行复核，并在当日约定时间之前以双方确认的方式将复核结果传送给基金管理人，由基金管理人定期对外公布。基金月末、年中和年末估值复核与基金会计账目的核对同时进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相关法律法规或基金合同规定的估值方法不能客观反映基金财产公允价值时，基金管理人可根据具体情况，并与基金托管人商定后，按最能反映公允价值的价格估值，由此造成的误差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3、基金管理人、基金托管人发现基金估值违反基金合同订明的估值方法、程序以及相关法律法规的规定或者未能充分维护基金份额持有人利益时，双方应及时进行协商和纠正。</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基金财产的估值导致基金份额净值小数点后四位内（含第四位)发生差错时，视为基金份额净值估值错误。当基金份额净值出现错误时，基金管理人应当立即予以纠正，并采取合理的措施防止损失进一步扩大；错误偏差达到基金份额净值的0.25%时，基金管理人应通报基金托管人并向中国证监会备案；当错误偏差达到基金份额净值的0.5%时，基金管理人应当公告，并报中国证监会备案。如法律法规或监管机关对前述内容另有规定的，按其规定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果基金托管人的复核结果与基金管理人的计算结果存在偏差并且偏差在合理的范围内，基金份额净值以基金管理人的计算结果为准，基金管理费、基金托管费和销售服务费也应以基金管理人的净值计算结果计提。若由此造成的基金财产或者投资者损失，由管理人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由于基金管理人对外公布的任何基金净值数据错误，导致该基金财产或基金份额持有人的实际损失，基金管理人应对此承担责任。若基金托管人计算的净值数据正确，则基金托管人对该损失不承担责任；若基金托管人计算的净值数据也不正确，则基金托管人也应承担部分未正确履行复核义务的责任。如果上述错误造成</w:t>
      </w:r>
      <w:r>
        <w:rPr>
          <w:rFonts w:ascii="宋体" w:hAnsi="宋体"/>
          <w:sz w:val="24"/>
        </w:rPr>
        <w:lastRenderedPageBreak/>
        <w:t>了基金财产或基金份额持有人的不当得利，且基金管理人及基金托管人已各自承担了赔偿责任，则基金管理人应负责向不当得利之主体主张返还不当得利。如果返还金额不足以弥补基金管理人和基金托管人已承担的赔偿金额，则双方按照各自赔偿金额的比例对返还金额进行分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由于不可抗力原因，或由于证券交易所、指数编制机构、证券经纪机构、登记结算公司及其他数据服务机构发送的数据错误等原因，基金管理人和基金托管人虽然已经采取必要、适当、合理的措施进行检查，但是未能发现该错误而造成的基金财产估值错误，基金管理人、基金托管人免除赔偿责任。但基金管理人、基金托管人应积极采取必要的措施减轻或消除由此造成的影响。</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8、如果基金托管人的复核结果与基金管理人的计算结果存在差异，且双方经协商未能达成一致，基金管理人可以按照其对基金份额净值的计算结果对外予以公布，基金托管人可以将相关情况报中国证监会备案。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于因税收规定调整或其他原因导致基金实际交纳税金与基金按照权责发生制进行估值的应交税金有差异的，相关估值调整不作为基金资产估值错误处理。但是，对于其中因基金管理人、基金托管人、境外托管人或基金管理人委托的税务顾问（称为“责任人”）业务操作不当、疏忽或者故意违约等行为导致基金实际税收负担（含罚金等）与估值有所差异的，该等差异应由责任人负责赔偿，基金管理人和基金托管人应代表基金利益进行追偿。</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10、由于投资涉及不同市场及时区，因时差、通讯或其他非可控的客观原因，在本基金管理人和本基金托管人协商一致的时间点前无法确认的交易，导致的对基金资产净值的影响，不作为基金资产估值错误处理。</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1、基金份额持有人名册的内容</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基金份额持有人名册的内容包括但不限于基金份额持有人的名称和持有的基金份额。</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基金份额持有人名册包括但不限于以下几类：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（1）基金募集期结束时的基金份额持有人名册；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（2）基金权益登记日的基金份额持有人名册；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（3）基金份额持有人大会权益登记日的基金份额持有人名册；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（4）每半年度最后一个交易日的基金份额持有人名册。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2、基金份额持有人名册的提供与保管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基金登记机构根据基金管理人的指令编制和保管，基金管理人和基金托管人应分别保管与各自职责相关的基金份额持有人名册，保存期不少于15年。如不能妥善保管，则按相关法规承担责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基金份额持有人名册等有关资料送交基金托管人，不得无故拒绝或延误提供，并保证其的真实性、准确性和完整性。基金托管人对基金份额持有人名册负有保密义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解决，如经友好协商未能解决的，任何一方有权将争议提交中国国际经济贸易仲裁委员会，根据中国国际经济贸易仲裁委员会届时有效的仲裁规则进行仲裁，仲裁地点为北京市。仲裁裁决是终局的，对双方当事人均有约束力。</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争议处理期间，双方当事人应各自继续履行基金合同和本托管协议规定的义务，维护基金份额持有人的合法权益。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1、托管协议的修改程序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本协议经双方当事人协商一致，可以书面形式对协议进行修改。修改后的新协议，其内容不得与基金合同的规定有任何冲突。基金托管协议的变更报中国证监会备案。</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（2）本基金更换基金托管人；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（3）本基金更换基金管理人；</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（4）基金托管人解散、依法被撤销、破产或由其他基金托管人接管基金资产；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（5）基金管理人解散、依法被撤销、破产或由其他基金管理人接管基金管理权；</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（6）发生《基金法》、《运作办法》、《试行办法》或其他法律法规规定的终止</w:t>
      </w:r>
      <w:r>
        <w:rPr>
          <w:rFonts w:ascii="宋体" w:hAnsi="宋体"/>
          <w:sz w:val="24"/>
        </w:rPr>
        <w:lastRenderedPageBreak/>
        <w:t>事项。</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6" w:name="_Toc227915031"/>
      <w:r>
        <w:rPr>
          <w:rFonts w:ascii="Times New Roman" w:hAnsi="Times New Roman"/>
          <w:sz w:val="30"/>
        </w:rPr>
        <w:lastRenderedPageBreak/>
        <w:t>二十三、对基金份额持有人的服务</w:t>
      </w:r>
      <w:bookmarkEnd w:id="26"/>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1、每次交易结束后，投资人可在T+3个工作日后通过销售机构的网点查询和打印确认单；</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本基金管理人已开通基金网上直销服务，个人投资者可以直接通过本基金管理人的网上直销交易平台办理开户和本基金场外份额的申购、赎回、定期定额投资等业务。 通过网上直销交易平台办理本基金A类基金份额申购业务的个人投资者将享受申购费率的优惠，其他费率标准不变。具体优惠费率请参见公司网站列示的网上直销交易平台申购费率表或相关公告。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投资人如果想查询基金份额净值、相关公告、基金产品与服务等信息，请拨打本基金管理人客户服务电话（400-700-5000，021-61055000）或登录本基金管理人网站（www.fund001.com）进行咨询、查询。</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在条件成熟时，本基金管理人可通过销售机构为投资人提供基金转换业务服</w:t>
      </w:r>
      <w:r>
        <w:rPr>
          <w:rFonts w:ascii="宋体" w:hAnsi="宋体"/>
          <w:sz w:val="24"/>
        </w:rPr>
        <w:lastRenderedPageBreak/>
        <w:t>务，具体实施方法另行公告。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投资者也可登录基金管理人网站，直接提出有关本基金的问题和建议。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w:t>
      </w:r>
      <w:r w:rsidRPr="00BB248E">
        <w:rPr>
          <w:rFonts w:ascii="宋体" w:hAnsi="宋体" w:hint="eastAsia"/>
          <w:kern w:val="0"/>
          <w:sz w:val="24"/>
        </w:rPr>
        <w:t>如本招募说明书存在任何您/贵机构无法理解的内容，可通过上述方式联系基金管理人。请确保投资前，您/贵机构已经全面理解了本招募说明书。</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7" w:name="_Toc227915032"/>
      <w:r>
        <w:rPr>
          <w:rFonts w:ascii="Times New Roman" w:hAnsi="Times New Roman"/>
          <w:sz w:val="30"/>
        </w:rPr>
        <w:lastRenderedPageBreak/>
        <w:t>二十四、其他应披露事项</w:t>
      </w:r>
      <w:bookmarkEnd w:id="27"/>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2025-10-27</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交银施罗德基金管理有限公司关于终止方正中期期货有限公司办理相关销售业务的公告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2025-11-14</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17</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2026-01-16</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交银施罗德基金管理有限公司关于交银施罗德中证海外中国互联网指数型证券投资基金（</w:t>
            </w:r>
            <w:r>
              <w:rPr>
                <w:rFonts w:ascii="Times New Roman" w:hAnsi="Times New Roman"/>
                <w:color w:val="000000"/>
                <w:kern w:val="0"/>
                <w:sz w:val="25"/>
                <w:szCs w:val="24"/>
              </w:rPr>
              <w:t>LOF</w:t>
            </w:r>
            <w:r>
              <w:rPr>
                <w:rFonts w:ascii="Times New Roman" w:hAnsi="Times New Roman"/>
                <w:color w:val="000000"/>
                <w:kern w:val="0"/>
                <w:sz w:val="25"/>
                <w:szCs w:val="24"/>
              </w:rPr>
              <w:t>）于境外主要市场节假日暂停及节后恢复基金申购、赎回和定期定额投资业务的公告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2F6AF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交银施罗德中证海外中国互联网指数型证券投资基金</w:t>
            </w:r>
            <w:r>
              <w:rPr>
                <w:rFonts w:ascii="Times New Roman" w:hAnsi="Times New Roman"/>
                <w:color w:val="000000"/>
                <w:kern w:val="0"/>
                <w:sz w:val="25"/>
                <w:szCs w:val="24"/>
              </w:rPr>
              <w:t>(LOF)2026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F6AF2" w:rsidRDefault="0067707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8" w:name="_Toc227915033"/>
      <w:r>
        <w:rPr>
          <w:rFonts w:ascii="Times New Roman" w:hAnsi="Times New Roman"/>
          <w:sz w:val="30"/>
        </w:rPr>
        <w:lastRenderedPageBreak/>
        <w:t>二十五、招募说明书的存放及查阅方式</w:t>
      </w:r>
      <w:bookmarkEnd w:id="28"/>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67707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F6AF2" w:rsidRDefault="00677079">
      <w:pPr>
        <w:pStyle w:val="1"/>
        <w:snapToGrid w:val="0"/>
        <w:spacing w:beforeLines="0" w:before="240" w:after="240"/>
        <w:rPr>
          <w:rFonts w:ascii="宋体" w:hAnsi="宋体"/>
          <w:szCs w:val="30"/>
        </w:rPr>
      </w:pPr>
      <w:bookmarkStart w:id="29" w:name="_Toc227915034"/>
      <w:r>
        <w:rPr>
          <w:rFonts w:ascii="Times New Roman" w:hAnsi="Times New Roman"/>
          <w:sz w:val="30"/>
        </w:rPr>
        <w:lastRenderedPageBreak/>
        <w:t>二十六、备查文件</w:t>
      </w:r>
      <w:bookmarkEnd w:id="29"/>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（一）中国证监会核准交银施罗德中证海外中国互联网指数型证券投资基金（LOF）募集的文件</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（二）《交银施罗德中证海外中国互联网指数型证券投资基金（LOF）基金合同》</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（三）《交银施罗德中证海外中国互联网指数型证券投资基金（LOF）托管协议》</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（六）关于申请募集交银施罗德中证海外中国互联网指数型证券投资基金(LOF)的法律意见书</w:t>
      </w:r>
    </w:p>
    <w:p w:rsidR="002F6AF2" w:rsidRDefault="0067707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（七）中国证监会要求的其他文件</w:t>
      </w:r>
    </w:p>
    <w:sectPr w:rsidR="002F6AF2">
      <w:footerReference w:type="default" r:id="rId18"/>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24D" w:rsidRDefault="00677079">
      <w:r>
        <w:separator/>
      </w:r>
    </w:p>
  </w:endnote>
  <w:endnote w:type="continuationSeparator" w:id="0">
    <w:p w:rsidR="0087324D" w:rsidRDefault="0067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2F6AF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CA6C1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F6AF2" w:rsidRDefault="0067707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A6C16">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2F6AF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CA6C16">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F6AF2" w:rsidRDefault="0067707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A6C16">
                  <w:rPr>
                    <w:rFonts w:ascii="Times New Roman" w:hAnsi="Times New Roman"/>
                    <w:noProof/>
                    <w:kern w:val="0"/>
                    <w:sz w:val="18"/>
                    <w:szCs w:val="18"/>
                  </w:rPr>
                  <w:t>163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24D" w:rsidRDefault="00677079">
      <w:r>
        <w:separator/>
      </w:r>
    </w:p>
  </w:footnote>
  <w:footnote w:type="continuationSeparator" w:id="0">
    <w:p w:rsidR="0087324D" w:rsidRDefault="006770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2F6AF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2F6AF2">
    <w:pPr>
      <w:pStyle w:val="10"/>
      <w:jc w:val="right"/>
    </w:pPr>
  </w:p>
  <w:p w:rsidR="002F6AF2" w:rsidRDefault="002F6AF2">
    <w:pPr>
      <w:pStyle w:val="10"/>
      <w:jc w:val="right"/>
    </w:pPr>
  </w:p>
  <w:p w:rsidR="002F6AF2" w:rsidRDefault="002F6AF2">
    <w:pPr>
      <w:pStyle w:val="a3"/>
      <w:jc w:val="right"/>
    </w:pPr>
  </w:p>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6AF2" w:rsidRDefault="002F6AF2">
    <w:pPr>
      <w:pStyle w:val="a3"/>
      <w:jc w:val="right"/>
    </w:pPr>
  </w:p>
  <w:p w:rsidR="002F6AF2" w:rsidRDefault="002F6AF2">
    <w:pPr>
      <w:pStyle w:val="a3"/>
      <w:jc w:val="right"/>
    </w:pPr>
  </w:p>
  <w:p w:rsidR="002F6AF2" w:rsidRDefault="002F6AF2">
    <w:pPr>
      <w:pStyle w:val="a3"/>
      <w:jc w:val="right"/>
    </w:pPr>
  </w:p>
  <w:p w:rsidR="002F6AF2" w:rsidRDefault="00677079">
    <w:pPr>
      <w:pStyle w:val="a3"/>
      <w:jc w:val="right"/>
      <w:rPr>
        <w:rFonts w:ascii="宋体" w:hAnsi="宋体"/>
      </w:rPr>
    </w:pPr>
    <w:r>
      <w:rPr>
        <w:rFonts w:ascii="宋体" w:hAnsi="宋体" w:hint="eastAsia"/>
      </w:rPr>
      <w:t>交银施罗德中证海外中国互联网指数型证券投资基金(LOF)招募说明书更新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7"/>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AF2"/>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079"/>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7324D"/>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A6C16"/>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3"/>
    </o:shapelayout>
  </w:shapeDefaults>
  <w:decimalSymbol w:val="."/>
  <w:listSeparator w:val=","/>
  <w15:docId w15:val="{71898EE1-1685-4B75-A556-4C4CCFA6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164</Pages>
  <Words>16799</Words>
  <Characters>95759</Characters>
  <Application>Microsoft Office Word</Application>
  <DocSecurity>0</DocSecurity>
  <Lines>797</Lines>
  <Paragraphs>224</Paragraphs>
  <ScaleCrop>false</ScaleCrop>
  <Company>Microsoft</Company>
  <LinksUpToDate>false</LinksUpToDate>
  <CharactersWithSpaces>112334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2026-04-24T01:23:00Z</dcterms:created>
  <dcterms:modified xsi:type="dcterms:W3CDTF">2026-04-24T01:23:00Z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