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402FA">
      <w:pPr>
        <w:rPr>
          <w:sz w:val="32"/>
        </w:rPr>
      </w:pPr>
    </w:p>
    <w:p w:rsidR="00C92FC0" w:rsidRPr="00EB07BC" w:rsidRDefault="009402FA">
      <w:pPr>
        <w:rPr>
          <w:sz w:val="32"/>
        </w:rPr>
      </w:pPr>
    </w:p>
    <w:p w:rsidR="00C92FC0" w:rsidRPr="00EB07BC" w:rsidRDefault="009402FA">
      <w:pPr>
        <w:rPr>
          <w:sz w:val="32"/>
        </w:rPr>
      </w:pPr>
    </w:p>
    <w:p w:rsidR="001A3817" w:rsidRDefault="001A381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3817" w:rsidRDefault="001A381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3817" w:rsidRDefault="001A381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A3817" w:rsidRDefault="007A32A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交银施罗德先锋混合型证券投资基金</w:t>
      </w:r>
    </w:p>
    <w:p w:rsidR="001A3817" w:rsidRDefault="007A32A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A3817" w:rsidRDefault="001A3817">
      <w:pPr>
        <w:snapToGrid w:val="0"/>
        <w:spacing w:line="360" w:lineRule="auto"/>
        <w:jc w:val="center"/>
        <w:rPr>
          <w:rFonts w:ascii="宋体" w:hAnsi="宋体"/>
          <w:b/>
          <w:sz w:val="30"/>
          <w:szCs w:val="30"/>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7A32A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A3817" w:rsidRDefault="007A32A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1A381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A3817" w:rsidRDefault="007A32A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1A3817" w:rsidRDefault="001A3817">
      <w:pPr>
        <w:autoSpaceDE w:val="0"/>
        <w:autoSpaceDN w:val="0"/>
        <w:adjustRightInd w:val="0"/>
        <w:snapToGrid w:val="0"/>
        <w:spacing w:line="360" w:lineRule="auto"/>
        <w:ind w:left="1347" w:rightChars="6" w:right="13"/>
        <w:rPr>
          <w:rFonts w:ascii="宋体" w:hAnsi="宋体"/>
          <w:kern w:val="0"/>
          <w:sz w:val="32"/>
          <w:szCs w:val="32"/>
        </w:rPr>
        <w:sectPr w:rsidR="001A381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1A3817" w:rsidRDefault="007A32A4">
      <w:pPr>
        <w:pStyle w:val="1"/>
        <w:snapToGrid w:val="0"/>
        <w:spacing w:beforeLines="0" w:before="240" w:after="240"/>
        <w:rPr>
          <w:rFonts w:ascii="宋体" w:hAnsi="宋体"/>
          <w:kern w:val="0"/>
        </w:rPr>
      </w:pPr>
      <w:bookmarkStart w:id="0" w:name="_Toc324920538"/>
      <w:bookmarkStart w:id="1" w:name="_Toc496884613"/>
      <w:bookmarkStart w:id="2" w:name="_Toc227914891"/>
      <w:r>
        <w:rPr>
          <w:rFonts w:ascii="Times New Roman" w:hAnsi="Times New Roman"/>
          <w:kern w:val="0"/>
        </w:rPr>
        <w:lastRenderedPageBreak/>
        <w:t>重要提示</w:t>
      </w:r>
      <w:bookmarkEnd w:id="0"/>
      <w:bookmarkEnd w:id="1"/>
      <w:bookmarkEnd w:id="2"/>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交银施罗德先锋混合型证券投资基金（以下简称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）由交银施罗德先锋股票证券投资基金变更而来，交银施罗德先锋股票证券投资基金经</w:t>
      </w:r>
      <w:r>
        <w:rPr>
          <w:rFonts w:ascii="Times New Roman" w:hAnsi="Times New Roman"/>
          <w:kern w:val="0"/>
          <w:sz w:val="24"/>
        </w:rPr>
        <w:t>2009</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日中国证券监督管理委员会证监许可【</w:t>
      </w:r>
      <w:r>
        <w:rPr>
          <w:rFonts w:ascii="Times New Roman" w:hAnsi="Times New Roman"/>
          <w:kern w:val="0"/>
          <w:sz w:val="24"/>
        </w:rPr>
        <w:t>2009</w:t>
      </w:r>
      <w:r>
        <w:rPr>
          <w:rFonts w:ascii="Times New Roman" w:hAnsi="Times New Roman"/>
          <w:kern w:val="0"/>
          <w:sz w:val="24"/>
        </w:rPr>
        <w:t>】</w:t>
      </w:r>
      <w:r>
        <w:rPr>
          <w:rFonts w:ascii="Times New Roman" w:hAnsi="Times New Roman"/>
          <w:kern w:val="0"/>
          <w:sz w:val="24"/>
        </w:rPr>
        <w:t>141</w:t>
      </w:r>
      <w:r>
        <w:rPr>
          <w:rFonts w:ascii="Times New Roman" w:hAnsi="Times New Roman"/>
          <w:kern w:val="0"/>
          <w:sz w:val="24"/>
        </w:rPr>
        <w:t>号文核准募集。其基金合同于</w:t>
      </w:r>
      <w:r>
        <w:rPr>
          <w:rFonts w:ascii="Times New Roman" w:hAnsi="Times New Roman"/>
          <w:kern w:val="0"/>
          <w:sz w:val="24"/>
        </w:rPr>
        <w:t>2009</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10</w:t>
      </w:r>
      <w:r>
        <w:rPr>
          <w:rFonts w:ascii="Times New Roman" w:hAnsi="Times New Roman"/>
          <w:kern w:val="0"/>
          <w:sz w:val="24"/>
        </w:rPr>
        <w:t>日正式生效。</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投资科创板股票的特定风险，以及本基金投资策略所特有的风险等等。本基金是一只股票型基金，属证券投资基金中的较高风险收益品种。</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w:t>
      </w:r>
      <w:r>
        <w:rPr>
          <w:rFonts w:ascii="Times New Roman" w:hAnsi="Times New Roman"/>
          <w:kern w:val="0"/>
          <w:sz w:val="24"/>
        </w:rPr>
        <w:lastRenderedPageBreak/>
        <w:t>合同、基金产品资料概要。基金的过往业绩并不代表其未来表现。基金管理人管理的其他基金的业绩并不构成对本基金业绩表现的保证。</w:t>
      </w:r>
    </w:p>
    <w:p w:rsidR="001A3817" w:rsidRDefault="007A32A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1A3817" w:rsidRDefault="001A3817">
      <w:pPr>
        <w:autoSpaceDE w:val="0"/>
        <w:autoSpaceDN w:val="0"/>
        <w:adjustRightInd w:val="0"/>
        <w:snapToGrid w:val="0"/>
        <w:spacing w:before="51" w:line="360" w:lineRule="auto"/>
        <w:ind w:left="120" w:rightChars="6" w:right="13" w:firstLine="480"/>
        <w:rPr>
          <w:rFonts w:ascii="宋体" w:hAnsi="宋体"/>
          <w:kern w:val="0"/>
          <w:szCs w:val="24"/>
        </w:rPr>
        <w:sectPr w:rsidR="001A3817">
          <w:headerReference w:type="default" r:id="rId14"/>
          <w:pgSz w:w="11920" w:h="16840"/>
          <w:pgMar w:top="1440" w:right="1680" w:bottom="280" w:left="1680" w:header="0" w:footer="1073" w:gutter="0"/>
          <w:pgNumType w:start="1"/>
          <w:cols w:space="720"/>
        </w:sectPr>
      </w:pPr>
    </w:p>
    <w:p w:rsidR="009402FA" w:rsidRPr="009402FA" w:rsidRDefault="007A32A4" w:rsidP="009402FA">
      <w:pPr>
        <w:pStyle w:val="ad"/>
        <w:snapToGrid w:val="0"/>
        <w:spacing w:after="240" w:line="360" w:lineRule="auto"/>
        <w:jc w:val="center"/>
        <w:rPr>
          <w:rFonts w:ascii="宋体" w:hAnsi="宋体"/>
          <w:noProof/>
          <w:sz w:val="24"/>
        </w:rPr>
      </w:pPr>
      <w:r w:rsidRPr="009402FA">
        <w:rPr>
          <w:rFonts w:ascii="宋体" w:hAnsi="宋体"/>
          <w:color w:val="000000"/>
          <w:position w:val="-4"/>
          <w:sz w:val="24"/>
          <w:szCs w:val="30"/>
        </w:rPr>
        <w:lastRenderedPageBreak/>
        <w:t>目</w:t>
      </w:r>
      <w:r w:rsidRPr="009402FA">
        <w:rPr>
          <w:rFonts w:ascii="宋体" w:hAnsi="宋体"/>
          <w:color w:val="000000"/>
          <w:position w:val="-4"/>
          <w:sz w:val="24"/>
          <w:szCs w:val="30"/>
        </w:rPr>
        <w:tab/>
        <w:t>录</w:t>
      </w:r>
      <w:r w:rsidR="009402FA" w:rsidRPr="009402FA">
        <w:rPr>
          <w:rFonts w:ascii="宋体" w:hAnsi="宋体"/>
          <w:color w:val="000000"/>
          <w:position w:val="-4"/>
          <w:sz w:val="24"/>
          <w:szCs w:val="30"/>
        </w:rPr>
        <w:fldChar w:fldCharType="begin"/>
      </w:r>
      <w:r w:rsidR="009402FA" w:rsidRPr="009402FA">
        <w:rPr>
          <w:rFonts w:ascii="宋体" w:hAnsi="宋体"/>
          <w:color w:val="000000"/>
          <w:position w:val="-4"/>
          <w:sz w:val="24"/>
          <w:szCs w:val="30"/>
        </w:rPr>
        <w:instrText xml:space="preserve"> TOC \o "1-3" \f - \h \t "-1" </w:instrText>
      </w:r>
      <w:r w:rsidR="009402FA" w:rsidRPr="009402FA">
        <w:rPr>
          <w:rFonts w:ascii="宋体" w:hAnsi="宋体"/>
          <w:color w:val="000000"/>
          <w:position w:val="-4"/>
          <w:sz w:val="24"/>
          <w:szCs w:val="30"/>
        </w:rPr>
        <w:fldChar w:fldCharType="separate"/>
      </w:r>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1" w:history="1">
        <w:r w:rsidRPr="009402FA">
          <w:rPr>
            <w:rStyle w:val="aa"/>
            <w:rFonts w:ascii="宋体" w:hAnsi="宋体" w:hint="eastAsia"/>
            <w:noProof/>
            <w:kern w:val="0"/>
            <w:sz w:val="24"/>
          </w:rPr>
          <w:t>重要提示</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_Toc227914891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2" w:history="1">
        <w:r w:rsidRPr="009402FA">
          <w:rPr>
            <w:rStyle w:val="aa"/>
            <w:rFonts w:ascii="宋体" w:hAnsi="宋体" w:hint="eastAsia"/>
            <w:noProof/>
            <w:sz w:val="24"/>
          </w:rPr>
          <w:t>一、绪言</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_Toc227914892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4</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3" w:history="1">
        <w:r w:rsidRPr="009402FA">
          <w:rPr>
            <w:rStyle w:val="aa"/>
            <w:rFonts w:ascii="宋体" w:hAnsi="宋体" w:hint="eastAsia"/>
            <w:noProof/>
            <w:sz w:val="24"/>
          </w:rPr>
          <w:t>二、释义</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_Toc227914893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5</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4" w:history="1">
        <w:r w:rsidRPr="009402FA">
          <w:rPr>
            <w:rStyle w:val="aa"/>
            <w:rFonts w:ascii="宋体" w:hAnsi="宋体" w:hint="eastAsia"/>
            <w:noProof/>
            <w:sz w:val="24"/>
          </w:rPr>
          <w:t>三、基金管理人</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_Toc227914894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5" w:history="1">
        <w:r w:rsidRPr="009402FA">
          <w:rPr>
            <w:rStyle w:val="aa"/>
            <w:rFonts w:ascii="宋体" w:hAnsi="宋体" w:hint="eastAsia"/>
            <w:noProof/>
            <w:sz w:val="24"/>
          </w:rPr>
          <w:t>四、基金托管人</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_Toc227914895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17</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6" w:history="1">
        <w:r w:rsidRPr="009402FA">
          <w:rPr>
            <w:rStyle w:val="aa"/>
            <w:rFonts w:ascii="宋体" w:hAnsi="宋体" w:hint="eastAsia"/>
            <w:noProof/>
            <w:sz w:val="24"/>
          </w:rPr>
          <w:t>五、相关服务机构</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_Toc227914896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20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7" w:history="1">
        <w:r w:rsidRPr="009402FA">
          <w:rPr>
            <w:rStyle w:val="aa"/>
            <w:rFonts w:ascii="宋体" w:hAnsi="宋体" w:hint="eastAsia"/>
            <w:noProof/>
            <w:sz w:val="24"/>
          </w:rPr>
          <w:t>六、基金的历史沿革</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_Toc227914897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58</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8" w:history="1">
        <w:r w:rsidRPr="009402FA">
          <w:rPr>
            <w:rStyle w:val="aa"/>
            <w:rFonts w:ascii="宋体" w:hAnsi="宋体" w:hint="eastAsia"/>
            <w:noProof/>
            <w:sz w:val="24"/>
          </w:rPr>
          <w:t>七、基金的存续</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_Toc227914898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59</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899" w:history="1">
        <w:r w:rsidRPr="009402FA">
          <w:rPr>
            <w:rStyle w:val="aa"/>
            <w:rFonts w:ascii="宋体" w:hAnsi="宋体" w:hint="eastAsia"/>
            <w:noProof/>
            <w:sz w:val="24"/>
          </w:rPr>
          <w:t>八、基金份额的申购与赎回</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_Toc227914899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60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0" w:history="1">
        <w:r w:rsidRPr="009402FA">
          <w:rPr>
            <w:rStyle w:val="aa"/>
            <w:rFonts w:ascii="宋体" w:hAnsi="宋体" w:hint="eastAsia"/>
            <w:noProof/>
            <w:sz w:val="24"/>
          </w:rPr>
          <w:t>九、基金的转换</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_Toc227914900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74</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1" w:history="1">
        <w:r w:rsidRPr="009402FA">
          <w:rPr>
            <w:rStyle w:val="aa"/>
            <w:rFonts w:ascii="宋体" w:hAnsi="宋体" w:hint="eastAsia"/>
            <w:noProof/>
            <w:sz w:val="24"/>
          </w:rPr>
          <w:t>十、基金的投资</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_Toc227914901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81</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2" w:history="1">
        <w:r w:rsidRPr="009402FA">
          <w:rPr>
            <w:rStyle w:val="aa"/>
            <w:rFonts w:ascii="宋体" w:hAnsi="宋体" w:hint="eastAsia"/>
            <w:noProof/>
            <w:sz w:val="24"/>
          </w:rPr>
          <w:t>十一、基金的业绩</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_Toc227914902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95</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3" w:history="1">
        <w:r w:rsidRPr="009402FA">
          <w:rPr>
            <w:rStyle w:val="aa"/>
            <w:rFonts w:ascii="宋体" w:hAnsi="宋体" w:hint="eastAsia"/>
            <w:noProof/>
            <w:sz w:val="24"/>
          </w:rPr>
          <w:t>十二、基金的财产</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_Toc227914903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99</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4" w:history="1">
        <w:r w:rsidRPr="009402FA">
          <w:rPr>
            <w:rStyle w:val="aa"/>
            <w:rFonts w:ascii="宋体" w:hAnsi="宋体" w:hint="eastAsia"/>
            <w:noProof/>
            <w:sz w:val="24"/>
          </w:rPr>
          <w:t>十三、基金资产的估值</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_Toc227914904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100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5" w:history="1">
        <w:r w:rsidRPr="009402FA">
          <w:rPr>
            <w:rStyle w:val="aa"/>
            <w:rFonts w:ascii="宋体" w:hAnsi="宋体" w:hint="eastAsia"/>
            <w:noProof/>
            <w:sz w:val="24"/>
          </w:rPr>
          <w:t>十四、基金的收益与分配</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_Toc227914905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106</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6" w:history="1">
        <w:r w:rsidRPr="009402FA">
          <w:rPr>
            <w:rStyle w:val="aa"/>
            <w:rFonts w:ascii="宋体" w:hAnsi="宋体" w:hint="eastAsia"/>
            <w:noProof/>
            <w:sz w:val="24"/>
          </w:rPr>
          <w:t>十五、基金的费用与税收</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_Toc227914906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108</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7" w:history="1">
        <w:r w:rsidRPr="009402FA">
          <w:rPr>
            <w:rStyle w:val="aa"/>
            <w:rFonts w:ascii="宋体" w:hAnsi="宋体" w:hint="eastAsia"/>
            <w:noProof/>
            <w:sz w:val="24"/>
          </w:rPr>
          <w:t>十六、基金的会计与审计</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_Toc227914907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111</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8" w:history="1">
        <w:r w:rsidRPr="009402FA">
          <w:rPr>
            <w:rStyle w:val="aa"/>
            <w:rFonts w:ascii="宋体" w:hAnsi="宋体" w:hint="eastAsia"/>
            <w:noProof/>
            <w:sz w:val="24"/>
          </w:rPr>
          <w:t>十七、基金的信息披露</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_Toc227914908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112</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09" w:history="1">
        <w:r w:rsidRPr="009402FA">
          <w:rPr>
            <w:rStyle w:val="aa"/>
            <w:rFonts w:ascii="宋体" w:hAnsi="宋体" w:hint="eastAsia"/>
            <w:noProof/>
            <w:sz w:val="24"/>
          </w:rPr>
          <w:t>十八、侧袋机制</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_Toc227914909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118</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0" w:history="1">
        <w:r w:rsidRPr="009402FA">
          <w:rPr>
            <w:rStyle w:val="aa"/>
            <w:rFonts w:ascii="宋体" w:hAnsi="宋体" w:hint="eastAsia"/>
            <w:noProof/>
            <w:sz w:val="24"/>
          </w:rPr>
          <w:t>十九、风险揭示</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_Toc227914910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121</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1" w:history="1">
        <w:r w:rsidRPr="009402FA">
          <w:rPr>
            <w:rStyle w:val="aa"/>
            <w:rFonts w:ascii="宋体" w:hAnsi="宋体" w:hint="eastAsia"/>
            <w:noProof/>
            <w:sz w:val="24"/>
          </w:rPr>
          <w:t>二十、基金合同的终止与基金财产的清算</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_Toc227914911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128</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2" w:history="1">
        <w:r w:rsidRPr="009402FA">
          <w:rPr>
            <w:rStyle w:val="aa"/>
            <w:rFonts w:ascii="宋体" w:hAnsi="宋体" w:hint="eastAsia"/>
            <w:noProof/>
            <w:sz w:val="24"/>
          </w:rPr>
          <w:t>二十一、基金合同内容摘要</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_Toc227914912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130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3" w:history="1">
        <w:r w:rsidRPr="009402FA">
          <w:rPr>
            <w:rStyle w:val="aa"/>
            <w:rFonts w:ascii="宋体" w:hAnsi="宋体" w:hint="eastAsia"/>
            <w:noProof/>
            <w:sz w:val="24"/>
          </w:rPr>
          <w:t>二十二、托管协议的内容摘要</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_Toc227914913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145</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4" w:history="1">
        <w:r w:rsidRPr="009402FA">
          <w:rPr>
            <w:rStyle w:val="aa"/>
            <w:rFonts w:ascii="宋体" w:hAnsi="宋体" w:hint="eastAsia"/>
            <w:noProof/>
            <w:sz w:val="24"/>
          </w:rPr>
          <w:t>二十三、对基金份额持有人的服务</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_Toc227914914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160</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5" w:history="1">
        <w:r w:rsidRPr="009402FA">
          <w:rPr>
            <w:rStyle w:val="aa"/>
            <w:rFonts w:ascii="宋体" w:hAnsi="宋体" w:hint="eastAsia"/>
            <w:noProof/>
            <w:sz w:val="24"/>
          </w:rPr>
          <w:t>二十四、其他应披露事项</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_Toc227914915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162</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6" w:history="1">
        <w:r w:rsidRPr="009402FA">
          <w:rPr>
            <w:rStyle w:val="aa"/>
            <w:rFonts w:ascii="宋体" w:hAnsi="宋体" w:hint="eastAsia"/>
            <w:noProof/>
            <w:sz w:val="24"/>
          </w:rPr>
          <w:t>二十五、招募说明书的存放及查阅方式</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_Toc227914916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164</w:t>
        </w:r>
        <w:r w:rsidRPr="009402FA">
          <w:rPr>
            <w:rFonts w:ascii="宋体" w:hAnsi="宋体"/>
            <w:noProof/>
            <w:sz w:val="24"/>
          </w:rPr>
          <w:fldChar w:fldCharType="end"/>
        </w:r>
      </w:hyperlink>
    </w:p>
    <w:p w:rsidR="009402FA" w:rsidRPr="009402FA" w:rsidRDefault="009402FA" w:rsidP="009402FA">
      <w:pPr>
        <w:pStyle w:val="10"/>
        <w:tabs>
          <w:tab w:val="right" w:leader="dot" w:pos="8550"/>
        </w:tabs>
        <w:spacing w:line="360" w:lineRule="auto"/>
        <w:rPr>
          <w:rFonts w:ascii="宋体" w:hAnsi="宋体" w:cstheme="minorBidi"/>
          <w:noProof/>
          <w:sz w:val="24"/>
        </w:rPr>
      </w:pPr>
      <w:hyperlink w:anchor="_Toc227914917" w:history="1">
        <w:r w:rsidRPr="009402FA">
          <w:rPr>
            <w:rStyle w:val="aa"/>
            <w:rFonts w:ascii="宋体" w:hAnsi="宋体" w:hint="eastAsia"/>
            <w:noProof/>
            <w:sz w:val="24"/>
          </w:rPr>
          <w:t>二十六、备查文件</w:t>
        </w:r>
        <w:r w:rsidRPr="009402FA">
          <w:rPr>
            <w:rFonts w:ascii="宋体" w:hAnsi="宋体"/>
            <w:noProof/>
            <w:sz w:val="24"/>
          </w:rPr>
          <w:tab/>
        </w:r>
        <w:r w:rsidRPr="009402FA">
          <w:rPr>
            <w:rFonts w:ascii="宋体" w:hAnsi="宋体"/>
            <w:noProof/>
            <w:sz w:val="24"/>
          </w:rPr>
          <w:fldChar w:fldCharType="begin"/>
        </w:r>
        <w:r w:rsidRPr="009402FA">
          <w:rPr>
            <w:rFonts w:ascii="宋体" w:hAnsi="宋体"/>
            <w:noProof/>
            <w:sz w:val="24"/>
          </w:rPr>
          <w:instrText xml:space="preserve"> PAGEREF _Toc227914917 \h </w:instrText>
        </w:r>
        <w:r w:rsidRPr="009402FA">
          <w:rPr>
            <w:rFonts w:ascii="宋体" w:hAnsi="宋体"/>
            <w:noProof/>
            <w:sz w:val="24"/>
          </w:rPr>
        </w:r>
        <w:r w:rsidRPr="009402FA">
          <w:rPr>
            <w:rFonts w:ascii="宋体" w:hAnsi="宋体"/>
            <w:noProof/>
            <w:sz w:val="24"/>
          </w:rPr>
          <w:fldChar w:fldCharType="separate"/>
        </w:r>
        <w:r w:rsidRPr="009402FA">
          <w:rPr>
            <w:rFonts w:ascii="宋体" w:hAnsi="宋体"/>
            <w:noProof/>
            <w:sz w:val="24"/>
          </w:rPr>
          <w:t>165</w:t>
        </w:r>
        <w:r w:rsidRPr="009402FA">
          <w:rPr>
            <w:rFonts w:ascii="宋体" w:hAnsi="宋体"/>
            <w:noProof/>
            <w:sz w:val="24"/>
          </w:rPr>
          <w:fldChar w:fldCharType="end"/>
        </w:r>
      </w:hyperlink>
    </w:p>
    <w:p w:rsidR="001A3817" w:rsidRPr="009402FA" w:rsidRDefault="009402FA" w:rsidP="009402FA">
      <w:pPr>
        <w:pStyle w:val="ad"/>
        <w:snapToGrid w:val="0"/>
        <w:spacing w:after="240" w:line="360" w:lineRule="auto"/>
        <w:jc w:val="center"/>
        <w:rPr>
          <w:rFonts w:ascii="宋体" w:hAnsi="宋体"/>
          <w:color w:val="000000"/>
          <w:sz w:val="24"/>
        </w:rPr>
      </w:pPr>
      <w:r w:rsidRPr="009402FA">
        <w:rPr>
          <w:rFonts w:ascii="宋体" w:hAnsi="宋体"/>
          <w:color w:val="000000"/>
          <w:position w:val="-4"/>
          <w:sz w:val="24"/>
          <w:szCs w:val="30"/>
        </w:rPr>
        <w:fldChar w:fldCharType="end"/>
      </w:r>
      <w:bookmarkStart w:id="3" w:name="_GoBack"/>
      <w:bookmarkEnd w:id="3"/>
    </w:p>
    <w:p w:rsidR="001A3817" w:rsidRDefault="001A3817">
      <w:pPr>
        <w:autoSpaceDE w:val="0"/>
        <w:autoSpaceDN w:val="0"/>
        <w:adjustRightInd w:val="0"/>
        <w:snapToGrid w:val="0"/>
        <w:spacing w:line="360" w:lineRule="auto"/>
        <w:ind w:left="120" w:rightChars="6" w:right="13"/>
        <w:rPr>
          <w:rFonts w:ascii="宋体" w:hAnsi="宋体"/>
          <w:kern w:val="0"/>
          <w:szCs w:val="24"/>
        </w:rPr>
        <w:sectPr w:rsidR="001A3817">
          <w:pgSz w:w="11920" w:h="16840"/>
          <w:pgMar w:top="1480" w:right="1680" w:bottom="280" w:left="1680" w:header="0" w:footer="1073" w:gutter="0"/>
          <w:cols w:space="720"/>
        </w:sectPr>
      </w:pPr>
    </w:p>
    <w:p w:rsidR="001A3817" w:rsidRDefault="007A32A4">
      <w:pPr>
        <w:pStyle w:val="1"/>
        <w:snapToGrid w:val="0"/>
        <w:spacing w:beforeLines="0" w:before="240" w:after="240"/>
        <w:rPr>
          <w:rFonts w:ascii="宋体" w:hAnsi="宋体"/>
          <w:szCs w:val="30"/>
        </w:rPr>
      </w:pPr>
      <w:bookmarkStart w:id="4" w:name="_Toc227914892"/>
      <w:r>
        <w:rPr>
          <w:rFonts w:ascii="Times New Roman" w:hAnsi="Times New Roman"/>
          <w:sz w:val="30"/>
        </w:rPr>
        <w:lastRenderedPageBreak/>
        <w:t>一、绪言</w:t>
      </w:r>
      <w:bookmarkEnd w:id="4"/>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锋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先锋混合型证券投资基金基金合同》（以下简称“基金合同”）编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5" w:name="_Toc227914893"/>
      <w:r>
        <w:rPr>
          <w:rFonts w:ascii="Times New Roman" w:hAnsi="Times New Roman"/>
          <w:sz w:val="30"/>
        </w:rPr>
        <w:lastRenderedPageBreak/>
        <w:t>二、释义</w:t>
      </w:r>
      <w:bookmarkEnd w:id="5"/>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指交银施罗德先锋混合型证券投资基金，本基金由交银施罗德先锋股票证券投资基金变更而来</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指中国农业银行股份有限公司（以下简称</w:t>
            </w:r>
            <w:r>
              <w:rPr>
                <w:rFonts w:ascii="Times New Roman" w:hAnsi="Times New Roman"/>
                <w:color w:val="000000"/>
                <w:kern w:val="0"/>
                <w:sz w:val="25"/>
                <w:szCs w:val="24"/>
              </w:rPr>
              <w:t>“</w:t>
            </w:r>
            <w:r>
              <w:rPr>
                <w:rFonts w:ascii="Times New Roman" w:hAnsi="Times New Roman"/>
                <w:color w:val="000000"/>
                <w:kern w:val="0"/>
                <w:sz w:val="25"/>
                <w:szCs w:val="24"/>
              </w:rPr>
              <w:t>中国农业银行</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指《交银施罗德先锋混合型证券投资基金基金合同》及对基金合同的任何有效修订和补充；</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指基金管理人与基金托管人就本基金签订之《交银施罗德先锋混合型证券投资基金托管协议》及对该托管协议的任何有效修订和补充；</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指《交银施罗德先锋混合型证券投资基金招募说明书》及其更新；</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指本基金根据《运作办法》变更为混合型基金前的《交银施罗德先锋股票证券投资基金份额发售公告》；</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指《交银施罗德先锋混合型证券投资基金基金产品资料概要》及其更新；</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指中国现行有效并公布实施的法律、行政法规、规范性文件、部门规章及规范性文件、地方性法规、地方政府规章及规范性文件；</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日经第十届全国人民代表大会常务委员会第十八次会议通过，自</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日实施的《中华人民共和国证券法》及对其不时做出的修订；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25</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日实施的《证券投资基金运作管理办法》及对其不时做出的修订；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指中国银行业监督管理委员会或其他经国务院授权的机构；</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指依据有关法律法规规定或经中国证监会允许可投资于证券投资基金的自然人；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指依法可以投资于证券投资基金的、在中华人民共和国境内合法注册登记并存续或经有关政府部门批准设立并存续的企业法人、事业法人、社会团体或其他组织；</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指符合现实有效的相关法律法规规定可以投资于中国境内证券市场的中国境外的机构投资者；</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指个人投资者、机构投资者和合格境外机构投资者以及法律法规或中国证监会允许购买开放式证券投资基金的其他投资人的合称；</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指依招募说明书和基金合同合法取得基金份额的投资人；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指基金管理人或代销机构宣传推介基金，发售基金份额，办理基金份额的申购、赎回、转换、非交易过户、转托管及定期定额投资等业务；</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基金销售业务的机构，以及可通过上海证券交易所交易系统办理基金销售业务的会员单位；</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指基金登记、存管、清算和交收业务，具体内容包括投资人基金账户的建立和管理、基金份额注册登记、基金交易的确认、清算和结算、代理发放红利、建立并保管基金份额持有人名册等；</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指办理注册登记业务的机构。基金的注册登记机构为交银施罗德基金管理有限公司或接受交银施罗德基金管理有限公司委托代为办理注册登记业务的机构；</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指注册登记机构为投资人开立的、记录其持有的、基金管理人所管理的基金份额余额及其变动情况的账户；</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交易账户：</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指销售机构为投资人开立的、记录投资人通过该销售机构买卖本基金的基金份额变动及结余情况的账户；</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指销售机构在规定时间受理投资人认购、申购、赎回或其他业务申请的工作日；</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指开放日基金接受认购、申购、赎回或其他交易的时间段；</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上证所《业务规则》：</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日上海证券交易所发布并于</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日起施行的《上海证券交易所开放式基金认购、申购、赎回业务办理规则（试行）》及颁布机关对其不时做出的修订；</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指在基金募集期内，投资人申请购买基金份额的行为；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指基金合同生效后，基金份额持有人按基金合同规定的要求将基金份额兑换为现金的行为；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指不通过上海证券交易所的交易系统办理基金份额认购、申购和赎回等业务的销售机构和场所；</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指通过上海证券交易所的交易系统办理基金份额认购、申购和赎回等业务的销售机构和场所；</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指基金份额持有人在本基金的不同销售机构之间实施的变更所持基金份额销售机构的行为；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基金管理人管理的、且由同一注册登记机构办理登记结算的其他基金基金份额的行为；</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指投资人通过向有关销售机构提交申请，约定每期申购日、扣款金额及扣款方式，由指定的销售机构在投资人指定资金账户内自动扣款并于每期约定申购日提交基金申购申请的一种投资方式；</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w:t>
            </w:r>
            <w:r>
              <w:rPr>
                <w:rFonts w:ascii="Times New Roman" w:hAnsi="Times New Roman"/>
                <w:color w:val="000000"/>
                <w:kern w:val="0"/>
                <w:sz w:val="25"/>
                <w:szCs w:val="24"/>
              </w:rPr>
              <w:t>(</w:t>
            </w:r>
            <w:r>
              <w:rPr>
                <w:rFonts w:ascii="Times New Roman" w:hAnsi="Times New Roman"/>
                <w:color w:val="000000"/>
                <w:kern w:val="0"/>
                <w:sz w:val="25"/>
                <w:szCs w:val="24"/>
              </w:rPr>
              <w:t>赎回申请份额总数加上基金转换中转出申请份额总数扣除申购申请份额总数及基金转换中转入申请份额总数后的余额</w:t>
            </w:r>
            <w:r>
              <w:rPr>
                <w:rFonts w:ascii="Times New Roman" w:hAnsi="Times New Roman"/>
                <w:color w:val="000000"/>
                <w:kern w:val="0"/>
                <w:sz w:val="25"/>
                <w:szCs w:val="24"/>
              </w:rPr>
              <w:t>)</w:t>
            </w:r>
            <w:r>
              <w:rPr>
                <w:rFonts w:ascii="Times New Roman" w:hAnsi="Times New Roman"/>
                <w:color w:val="000000"/>
                <w:kern w:val="0"/>
                <w:sz w:val="25"/>
                <w:szCs w:val="24"/>
              </w:rPr>
              <w:t>超过上一日基金总份额的</w:t>
            </w:r>
            <w:r>
              <w:rPr>
                <w:rFonts w:ascii="Times New Roman" w:hAnsi="Times New Roman"/>
                <w:color w:val="000000"/>
                <w:kern w:val="0"/>
                <w:sz w:val="25"/>
                <w:szCs w:val="24"/>
              </w:rPr>
              <w:t>10%</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指对投资人收取申购费用且不从本类别基金资产中计提销售服务费的基金份额；</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并不能克服，且在基金合同由基金管理人、基金托管人签署之日后发生的，使基金合同当事人无法全部或部分履行基金合同的任何事件，包括但不限于洪水、地震及其他自然灾害、战争、骚乱、火灾、政府征用、没收、恐怖袭击、传染病传播、法律法规变化、突发停电或其他突发事件、证券交易所非正常暂停或停止交易。</w:t>
            </w:r>
          </w:p>
        </w:tc>
      </w:tr>
    </w:tbl>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6" w:name="_Toc227914894"/>
      <w:r>
        <w:rPr>
          <w:rFonts w:ascii="Times New Roman" w:hAnsi="Times New Roman"/>
          <w:sz w:val="30"/>
        </w:rPr>
        <w:lastRenderedPageBreak/>
        <w:t>三、基金管理人</w:t>
      </w:r>
      <w:bookmarkEnd w:id="6"/>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封晴先生:基金经理。中山大学地产经营与管理硕士、中南财经政法大学投资学学士、华中科技大学英语学士。15年证券投资行业从业经验。2011年至2013年任金鹰基金研究员，2013至2014年任中海基金研究员。2014年加入交银施罗德基金管理有限公司，曾任行业分析师、基金经理助理，现任权益部基金经理。现任交银施罗德先锋混合型证券投资基金(2020年07月03日至今)、交银施罗德内核驱动混合型证券投资基金(2021年09月04日至今)、交银施罗德启盛混合型证券投资基金(2023年03月30日至今)、交银施罗德远见精选混合型证券投资基金(2026年03月17日至今)的基金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史伟先生(2009年04月10日至2013年06月07日)；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王少成先生(2013年05月29日至2015年08月14日)；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芮晨先生(2015年05月18日至2020年07月14日)。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7" w:name="_Toc227914895"/>
      <w:r>
        <w:rPr>
          <w:rFonts w:ascii="Times New Roman" w:hAnsi="Times New Roman"/>
          <w:sz w:val="30"/>
        </w:rPr>
        <w:lastRenderedPageBreak/>
        <w:t>四、基金托管人</w:t>
      </w:r>
      <w:bookmarkEnd w:id="7"/>
    </w:p>
    <w:p w:rsidR="001A3817" w:rsidRDefault="007A3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8" w:name="_Toc227914896"/>
      <w:r>
        <w:rPr>
          <w:rFonts w:ascii="Times New Roman" w:hAnsi="Times New Roman"/>
          <w:sz w:val="30"/>
        </w:rPr>
        <w:lastRenderedPageBreak/>
        <w:t>五、相关服务机构</w:t>
      </w:r>
      <w:bookmarkEnd w:id="8"/>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2、A类基金份额的场内代销机构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代销机构是指由中国证监会核准的具有开放式基金代销资格，并经上海证券交易所和中国证券登记结算有限责任公司认可的上海证券交易所会员(以下简称“有资格的上证所会员”)，名单详见上海证券交易所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（2）名称：中国工商银行股份有限公司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（5）名称：北京银行股份有限公司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客户服务电话：95526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（6）名称：宁波银行股份有限公司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（8）名称：广发银行股份有限公司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传真：（0769）22866282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（10）名称：江苏常熟农村商业银行股份有限公司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（12）名称：中国建设银行股份有限公司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（13）名称：交通银行股份有限公司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（14）名称：招商银行股份有限公司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（15）名称：中国农业银行股份有限公司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（16）名称：平安银行股份有限公司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（17）名称：中国民生银行股份有限公司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（19）名称：江苏银行股份有限公司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网址：www.jsbchina.cn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（21）名称：光大证券股份有限公司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（22）名称：中邮证券有限责任公司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（23）名称：开源证券股份有限公司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办公地址：陕西省西安市高新区锦业路一号都市之门B座5层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（24）名称：西部证券股份有限公司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（25）名称：东北证券股份有限公司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（26）名称：中银国际证券股份有限公司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（27）名称：华福证券股份有限公司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住所：福建省福州市鼓楼区鼓屏路27号1#楼3层、4层、5层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（28）名称：东兴证券股份有限公司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（29）名称：东方证券股份有限公司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（30）名称：方正证券股份有限公司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（31）名称：中国民族证券有限责任公司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（32）名称：德邦证券股份有限公司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（33）名称：国投证券股份有限公司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（34）名称：国元证券股份有限公司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联系人：汪先哲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（35）名称：东莞证券股份有限公司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（36）名称：中信建投证券股份有限公司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（37）名称：中原证券股份有限公司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（38）名称：东方财富证券股份有限公司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法定代表人：戴彦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（39）名称：国信证券股份有限公司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（40）名称：湘财证券股份有限公司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（41）名称：广发证券股份有限公司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联系人：任嘉鹏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（42）名称：华龙证券股份有限公司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（43）名称：华宝证券股份有限公司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（44）名称：长城国瑞证券有限公司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（45）名称：爱建证券有限责任公司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（46）名称：长江证券股份有限公司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（47）名称：招商证券股份有限公司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（48）名称：第一创业证券股份有限公司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法定代表人：刘学民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（49）名称：华西证券股份有限公司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（50）名称：粤开证券股份有限公司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（51）名称：国新证券股份有限公司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（52）名称：信达证券股份有限公司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（53）名称：渤海证券股份有限公司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（54）名称：长城证券有限责任公司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（55）名称：瑞银证券有限责任公司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电话：（010）58328112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（56）名称：中国国际金融股份有限公司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（57）名称：江海证券有限公司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（58）名称：中泰证券股份有限公司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（59）名称：申万宏源西部证券有限公司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（60）名称：中国银河证券股份有限公司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（61）名称：申万宏源证券有限公司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（62）名称：国都证券股份有限公司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网址：www.guodu.com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（63）名称：平安证券股份有限公司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（64）名称：金融街证券股份有限公司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（65）名称：国金证券股份有限公司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（66）名称：华泰证券股份有限公司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住所：江苏省南京市江东中路228号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（67）名称：中航证券有限公司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（68）名称：中信证券（山东）有限责任公司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（69）名称：中信证券股份有限公司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电话：010-60838888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（70）名称：中信证券华南股份有限公司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（71）名称：国泰海通证券股份有限公司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（72）名称：海通证券股份有限公司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（73）名称：西南证券股份有限公司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（74）名称：兴业证券股份有限公司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（75）名称：中国中金财富证券有限公司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（76）名称：北京广源达信基金销售有限公司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电话：400-616-7531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（77）名称：济安财富（北京）基金销售有限公司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（78）名称：博时财富基金销售有限公司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（79）名称：大连网金基金销售有限公司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4000-899-100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（80）名称：阳光人寿保险股份有限公司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（81）名称：玄元保险代理有限公司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（82）名称：京东肯特瑞基金销售有限公司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（83）名称：上海大智慧基金销售有限公司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住所：上海市浦东新区杨高南路428号1号楼10-11层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（84）名称：和耕传承基金销售有限公司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（85）名称：腾安基金销售（深圳）有限公司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（86）名称：珠海盈米基金销售有限公司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（87）名称：上海华夏财富投资管理有限公司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（88）名称：北京度小满基金销售有限公司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（89）名称：南京苏宁基金销售有限公司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（90）名称：嘉实财富管理有限公司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（91）名称：北京汇成基金销售有限公司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（92）名称：上海利得基金销售有限公司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（93）名称：北京虹点基金销售有限公司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（94）名称：上海挖财基金销售有限公司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（95）名称：万家财富基金销售（天津）有限公司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（96）名称：上海万得基金销售有限公司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办公地址：上海市浦东新区浦明路1500号万得大厦11楼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（97）名称：格上富信投资顾问有限公司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（98）名称：深圳市金斧子基金销售有限公司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（99）名称：北京雪球基金销售有限公司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传真：（010）84997571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（100）名称：北京新浪仓石基金销售有限公司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（101）名称：中证金牛（北京）基金销售有限公司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（102）名称：上海证达通基金销售有限公司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（103）名称：北京创金启富基金销售有限公司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（104）名称：奕丰基金销售有限公司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（105）名称：上海天天基金销售有限公司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（106）名称：和讯信息科技有限公司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（107）名称：诺亚正行基金销售有限公司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（108）名称：上海好买基金销售有限公司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（109）名称：上海长量基金销售有限公司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（110）名称：深圳众禄基金销售股份有限公司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（111）名称：天相投资顾问有限公司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（112）名称：上海基煜基金销售有限公司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联系人：俞申莉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（113）名称：浙江同花顺基金销售有限公司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（114）名称：宜信普泽（北京）基金销售有限公司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（115）名称：上海联泰基金销售有限公司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（116）名称：中国人寿保险股份有限公司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（117）名称：泛华普益基金销售有限公司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（118）名称：北京展恒基金销售股份有限公司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（119）名称：深圳市新兰德证券投资咨询有限公司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联系人：刘宝文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（120）名称：深圳前海微众银行股份有限公司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（121）名称：上海中欧财富基金销售有限公司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（122）名称：上海陆金所基金销售有限公司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网址：www.lufunds.com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（123）名称：中信期货有限公司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（124）名称：蚂蚁（杭州）基金销售有限公司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联系人：赵亦清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9" w:name="_Toc227914897"/>
      <w:r>
        <w:rPr>
          <w:rFonts w:ascii="Times New Roman" w:hAnsi="Times New Roman"/>
          <w:sz w:val="30"/>
        </w:rPr>
        <w:lastRenderedPageBreak/>
        <w:t>六、基金的历史沿革</w:t>
      </w:r>
      <w:bookmarkEnd w:id="9"/>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锋混合型证券投资基金由交银施罗德先锋股票证券投资基金变更而来，交银施罗德先锋股票证券投资基金由基金管理人依照《基金法》、《运作办法》、基金合同及其他有关规定，并经中国证监会证监许可[2009]141号文核准募集发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交银施罗德先锋股票证券投资基金为契约型开放式股票型基金。基金存续期间为不定期。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本基金自2009年3月3日至2009年4月3日止进行发售。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本基金设立募集期共募集4,470,679,078.59份基金份额，有效认购户数为57,582户。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 &lt;公开募集证券投资基金运作管理办法&gt; 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先锋混合型证券投资基金，由《交银施罗德先锋股票证券投资基金基金合同》修订而成的《交银施罗德先锋混合型证券投资基金基金合同》自该日起生效。</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0" w:name="_Toc227914898"/>
      <w:r>
        <w:rPr>
          <w:rFonts w:ascii="Times New Roman" w:hAnsi="Times New Roman"/>
          <w:sz w:val="30"/>
        </w:rPr>
        <w:lastRenderedPageBreak/>
        <w:t>七、基金的存续</w:t>
      </w:r>
      <w:bookmarkEnd w:id="10"/>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1" w:name="_Toc227914899"/>
      <w:r>
        <w:rPr>
          <w:rFonts w:ascii="Times New Roman" w:hAnsi="Times New Roman"/>
          <w:sz w:val="30"/>
        </w:rPr>
        <w:lastRenderedPageBreak/>
        <w:t>八、基金份额的申购与赎回</w:t>
      </w:r>
      <w:bookmarkEnd w:id="11"/>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投资者可通过场外和场内两种方式申购与赎回A类基金份额；C类基金份额不开设场内申购、赎回的方式，投资者只能通过场外方式申购与赎回C类基金份额。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个人投资者可以通过本基金管理人网上直销交易平台办理开户、本基金的申购、赎回、定期定额投资、转换等业务，具体交易细则请参阅基金管理人网站。网上直销交易平台网址：www.fund001.com。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2、通过上海证券交易所交易系统办理相关业务的上海证券交易所会员单位，目前场内交易只支持前端A类基金份额的申购。具体名单详见上海证券交易所网站。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3、不通过上海证券交易所交易系统办理相关业务的场外代销机构的代销网点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开放日是指为投资人办理基金申购、赎回等业务的证券交易所交易日（基金管理人根据法律法规或基金合同的规定公告暂停申购、赎回时除外）。代销网点在开放日的具体业务办理时间为上海证券交易所、深圳证券交易所交易日的交易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投资人在基金合同约定之外的日期和时间提出申购、赎回或转换申请的，其基金份额申购、赎回价格为下次办理基金份额申购、赎回时间所在开放日的价格。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本基金A类基金份额已于2009年6月15日起开放场内、场外申购业务。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本基金C类基金份额已于2021年11月5日起开放场外申购业务。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本基金A类基金份额已于2009年6月15日起开放场内、场外赎回业务。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本基金C类基金份额已于2021年11月5日起开放场外赎回业务。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场外申购时，代销网点每个账户单笔申购的最低金额为单笔1元，如果代销机</w:t>
      </w:r>
      <w:r>
        <w:rPr>
          <w:rFonts w:ascii="宋体" w:hAnsi="宋体"/>
          <w:sz w:val="24"/>
        </w:rPr>
        <w:lastRenderedPageBreak/>
        <w:t>构业务规则规定的最低单笔申购金额高于1元，以代销机构的规定为准。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 元。本基金直销中心单笔申购最低金额可由基金管理人酌情调整。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 份基金份额，如果销售机构业务规则规定的最低单笔赎回份额高于1份，以该销售机构的规定为准；场内赎回时，赎回的最低份额为50 份基金份额，同时赎回份额必须是整数份额，并且单笔赎回最多不超过99,999,999份基金份额。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介上刊登公告并报中国证监会备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投资人在提交赎回申请时，必须持有足够的基金份额余额，否则所提交的赎回申请无效而不予成交。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以交易时间结束前受理申购和赎回申请的当天作为申购或赎回申请日(T日)，正常情况下，本基金注册登记机构在T+1日内对该交易的有效性进行确认。T日提交的有效申请，投资人可在T+2日后（包括该日）到销售网点柜台或以销售机构规定的其他方式查询申请的确认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投资人申购基金成功后，注册登记机构在T+1日为投资人登记权益并办理份额注册登记手续，投资人自T+2日（含该日）后有权赎回该部分基金份额。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投资人赎回基金成功后，注册登记机构在T+1日为投资人办理扣除权益的份额注册登记手续。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本基金基金份额分为A类基金份额和C类基金份额。投资人申购A类基金份额需支付申购费用；申购C类基金份额不支付申购费用，并从该类别基金资产中计提销售服务费。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人可以选择前端收费模式，即在申购时支付申购费用；也可以选择后端收费模式，即在赎回时才支付相应的申购费用，该费用随A类基金份额的持有时间递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本基金A类基金份额的申购费用由申购A类基金份额的申购人承担，不列入基金财产，主要用于本基金的市场推广、销售、登记结算等各项费用。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A381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1A381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本基金自2013年4月11日起，对通过本公司直销柜台申购本基金前端A类基金份额的养老金客户实施特定申购费率。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1A381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w:t>
      </w:r>
      <w:r>
        <w:rPr>
          <w:rFonts w:ascii="宋体" w:hAnsi="宋体"/>
          <w:sz w:val="24"/>
        </w:rPr>
        <w:lastRenderedPageBreak/>
        <w:t>告或本基金管理人网站。本基金管理人基金网上直销业务已开通的银行卡及各银行卡交易金额限额请参阅本基金管理人网站。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登记结算费和其他必要的手续费。但对持续持有期少于7日的基金份额持有人收取不低于1.5%的赎回费并全额计入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A381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A381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1A381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A3817" w:rsidRDefault="001A381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申购费率和赎回费率，最新的申购费率和赎回费率在更新的招募说明书中列示。费率如发生变更，基金管理人最迟应于新的费率开始实施日前依照《信息披露办法》的有关规定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场外申购时，申购的A类基金份额或C类基金份额的有效份额为按实际确认的申购金额在扣除相应的费用（如有）后，以申请当日该类基金份额的基金份额净值为基准计算，四舍五入保留到小数点后两位，由此误差产生的收益或损失由基金财产承担；场内申购时，申购A类基金份额的有效份</w:t>
      </w:r>
      <w:r>
        <w:rPr>
          <w:rFonts w:ascii="宋体" w:hAnsi="宋体"/>
          <w:sz w:val="24"/>
        </w:rPr>
        <w:lastRenderedPageBreak/>
        <w:t>额为按实际确认的申购金额在扣除相应的费用（如有）后，以申请当日A类基金份额的基金份额净值为基准计算，保留到整数位，剩余部分按每份基金份额申购价格折回金额返回投资人，折回金额的计算保留到小数点后2位，小数点2位以后的部分四舍五入，由此误差产生的收益或损失由基金财产承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或C类基金份额的有效赎回份额乘以申请当日该类基金份额的基金份额净值并扣除相应的费用（如有），四舍五入保留到小数点后两位，由此误差产生的收益或损失由基金财产承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例一：某投资人投资40,000元申购本基金的A类基金份额，申购费率为1.5%，假设申购当日A类基金份额净值为1.0400元，如果其选择前端收费方式，则其可得到的申购份额为：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如果投资人是场内申购，申购份额为37,893份，其余0.14份对应金额返回给投资人。如果投资人是场外申购，申购份额为37,893.14份。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当投资人提出赎回时，后端申购费用的计算方法为：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例二：某投资人投资40,000元申购本基金的A类基金份额，假设申购当日A类基</w:t>
      </w:r>
      <w:r>
        <w:rPr>
          <w:rFonts w:ascii="宋体" w:hAnsi="宋体"/>
          <w:sz w:val="24"/>
        </w:rPr>
        <w:lastRenderedPageBreak/>
        <w:t>金份额净值为1.0400元，如果其选择后端收费方式，则其可得到的申购份额为：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40,000元申购本基金的A类基金份额，假设申购当日A类基金份额净值为1.0400元，则可得到38,461.54份A类基金份额，但其在赎回时需根据其持有时间按对应的A类基金份额后端申购费率交纳后端申购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1）如果投资人在认（申）购时选择交纳前端认（申）购费用，则赎回金额的计算方法如下：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例四：某投资人赎回通过前端认购（申购）持有的10,000份A类基金份额，持有期限为30日，对应的赎回费率为0.5%，假设赎回当日A类基金份额净值是1.0160元，则其可得到的赎回金额为：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即：投资人赎回本基金10,000份A类基金份额，假设赎回当日A类基金份额净值是1.0160元，则其可得到的赎回金额为10,109.20元。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2）如果投资人在认（申）购时选择交纳后端认（申）购费用，则赎回金额的计算方法如下：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后端认（申）购费用＝赎回份额×认（申）购日A类基金份额净值×后端认（申）购费率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通过后端认购持有的10,000份A类基金份额，持有期限为30日，对应的赎回费率为0.5%，假设赎回当日A类基金份额净值是1.0160元，投资人对应的后端申购费是1.8%，申购时的A类基金份额净值为1.0100元，则其可得到的赎回金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对应的赎回费率为0.5%，假设赎回当日A类基金份额净值是1.0160元，投资人对应的后端申购费是1.8%，申购时的A类基金份额净值为1.0100元，则其可得到的赎回金额为9,927.40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例六：某投资者赎回10,000份C类基金份额，持有期限为20日，对应的赎回费率为0.5%，假设赎回当日C类基金份额净值是1.0160元，则其可得到的赎回金额为：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4、基金份额净值的计算公式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（3）发生本基金合同规定的暂停基金资产估值情况；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（4）基金财产规模过大，使基金管理人无法找到合适的投资品种，或其他可能对基金业绩产生负面影响，从而损害现有基金份额持有人的利益；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（5）基金管理人认为会有损于现有基金份额持有人利益的，或违反有关法律法规的某笔申购或某些申购；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1）－（4）、（6）、（8）项暂停申购情形时，基金管理人应当根据《信息披露办法》的有关规定在指定媒介上刊登暂停申购公告。如果投资人的申购申请被拒绝，被拒绝的申购款项将全额退还投资人。在暂停申购的情况消除时，基金管理人应及时恢复申购业务的办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w:t>
      </w:r>
      <w:r>
        <w:rPr>
          <w:rFonts w:ascii="宋体" w:hAnsi="宋体"/>
          <w:sz w:val="24"/>
        </w:rPr>
        <w:lastRenderedPageBreak/>
        <w:t>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（3）连续两个开放日巨额赎回；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暂停基金的赎回，基金管理人应根据《信息披露办法》的有关规定及时在指定媒介上刊登暂停赎回公告。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w:t>
      </w:r>
      <w:r>
        <w:rPr>
          <w:rFonts w:ascii="宋体" w:hAnsi="宋体"/>
          <w:sz w:val="24"/>
        </w:rPr>
        <w:lastRenderedPageBreak/>
        <w:t>因支付投资人的赎回申请而进行的财产变现可能会对基金资产净值造成较大波动时，基金管理人在当日接受赎回比例不低于上一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暂停结束，基金重新开放申购或赎回时，基金管理人应依照《信息披露办法》的有关规定提前2日在指定媒介上刊登基金重新开放申购或赎回公告，并公告最近1个开放日各类基金份额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包括在上证所场内不同会员营业部之间进行转指定，也包括在上证所场内系统和场外系统之间进行跨市场转托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自2009年6月15日起开通A类基金份额的定期定额投资计划业务，具体开通销售机构名单和业务规则参见相关公告。本基金2021年11月2日刊登公告自2021年11月5日起增设C类基金份额并开通C类基金份额的定期定额投资计划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（十四）定时不定额投资计划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自2009年7月23日起，投资者可通过中国工商银行股份有限公司的“基智定投”办理本基金A类基金份额的定时不定额投资业务。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基金的非交易过户是指基金注册登记机构受理继承、捐赠和司法强制执行而产</w:t>
      </w:r>
      <w:r>
        <w:rPr>
          <w:rFonts w:ascii="宋体" w:hAnsi="宋体"/>
          <w:sz w:val="24"/>
        </w:rPr>
        <w:lastRenderedPageBreak/>
        <w:t>生的非交易过户以及注册登记机构认可、符合法律法规的其它非交易过户。无论在上述何种情况下，接受划转的主体必须是依法可以持有本基金基金份额的投资人。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（十六）基金的冻结和解冻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注册登记机构只受理国家有权机关依法要求的基金份额的冻结与解冻，以及注册登记机构认可、符合法律法规的其他情况下的基金份额的冻结与解冻。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2" w:name="_Toc227914900"/>
      <w:r>
        <w:rPr>
          <w:rFonts w:ascii="Times New Roman" w:hAnsi="Times New Roman"/>
          <w:sz w:val="30"/>
        </w:rPr>
        <w:lastRenderedPageBreak/>
        <w:t>九、基金的转换</w:t>
      </w:r>
      <w:bookmarkEnd w:id="12"/>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本基金2009年6月30日刊登公告自2009年7月1日起开放A类基金份额的日常转换业务。本基金2021年12月20日刊登公告自2021年12月20日起开放C类基金份额的日常转换业务。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转出基金的赎回费用及归入基金资产的比例按照各基金最新的更新招募说明书及相关公告规定的赎回费率和计费方式收取。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3" w:name="_Toc227914901"/>
      <w:r>
        <w:rPr>
          <w:rFonts w:ascii="Times New Roman" w:hAnsi="Times New Roman"/>
          <w:sz w:val="30"/>
        </w:rPr>
        <w:lastRenderedPageBreak/>
        <w:t>十、基金的投资</w:t>
      </w:r>
      <w:bookmarkEnd w:id="13"/>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投资理念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在坚持一贯的价值投资理念基础上，通过专业化研究分析，积极挖掘具有持续成长潜力的的企业，特别是处于快速成长过程中的中型及小型企业所蕴涵的投资机会。该理念至少包含以下两方面的含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1、证券市场不是完全有效，通过多角度、多层次的基本面研究可以获得信息优势，挖掘具有持续成长潜力的企业，特别是处于快速成长过程中的中型及小型企业，积极投资，可以获得较高的超额收益。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2、国民经济持续高速增长和中小板股票市场的发展给中型及小型企业提供了良好的发展环境和广阔的成长空间，越来越多具有优良品质和巨大发展潜力的中型及小型企业成为投资人关注的对象。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本基金主要通过投资于经过严格的品质筛选且具有持续成长潜力企业的股票，特别是处于快速成长过程中的中型及小型企业股票，在适度控制风险的前提下，为基金份额持有人谋求长期持续的资本增值。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本基金的投资范围为国内依法发行上市的股票（含存托凭证）、债券、货币市场工具、权证、资产支持证券以及法律法规或中国证监会允许基金投资的其他证券品种。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如法律法规或监管机构以后允许基金投资的其他证券品种，基金管理人在履行适当程序后，可以将其纳入投资范围。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债券、货币市场工具、权证、资产支持证券以及法律法规或中国证监会允许基金投资的其他证券品种占基金资产的5%-40%,其中现金以及投资于到期日在一年以内的政府债券的比例合计不低于基金资产净值的5%，现金不包括结算备付金、存出保证金和应收申购款等。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（五）业绩比较基准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75%×中证700指数+25%×中证综合债券指数。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中证700指数作为股票投资部分的业绩比较基准主要基于以下原因：中证700指数是中证指数有限公司以沪深300指数为基础编制的系列规模指数之一，其成分股由中盘指数（中证500）和小盘指数（中证200）的成份股一起构成，具有较高的权威性及市场代表性，投资人可以方便地从报纸、互联网等财经媒体中获取。本基金股票投资部分主要投资于具有良好品质和较大发展潜力的企业，尤其是处于快速成长过程中的中型及小型企业的股票，中证700指数作为综合反映沪深证券市场中小市值公司整体状况的基准指数，可以较合理地衡量本基金股票投资业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法律法规发生变化，或者有更权威的、更能为市场普遍接受的业绩比较基准推出，或者是市场上出现更加适合用于本基金的业绩基准的指数时，本基金管理人将视情况经与本基金托管人协商一致并报中国证监会备案后，变更业绩比较基准并及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在分析和判断宏观经济运行和行业景气变化，以及上市公司成长潜力的基础上，主要通过优选成长性好、成长具有可持续性、成长质量优良、定价相对合理的股票，特别是处于快速成长过程中的中型及小型企业股票进行投资，以谋求超额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以下三类最具有成长潜能的中型及小型企业是本基金积极关注的对象：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①处于创业期或成长期，未来企业扩张能够带来巨大成长空间的中型及小型企业，尤其是根据当前行业竞争格局进行分析有望成为行业龙头的企业；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②经营管理较为灵活，能敏锐捕捉市场机会应对市场变化的中型及小型企业；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③具有独特的盈利模式和业务特征，经营业绩具备巨大增长潜力的中型及小型企业。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此，本基金建立了一套上市公司成长性评价指标体系，该评价体系以上市公司未来两年的预期成长性为核心，通过定量与定性相结合的评价方法，自下而上选择具有持续增长潜力的企业，特别是处于快速成长过程中的中型及小型企业股票买</w:t>
      </w:r>
      <w:r>
        <w:rPr>
          <w:rFonts w:ascii="宋体" w:hAnsi="宋体"/>
          <w:sz w:val="24"/>
        </w:rPr>
        <w:lastRenderedPageBreak/>
        <w:t>入并持续持有，获取这些企业快速成长带来的资本增值。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自上而下”的多因素分析决策支持系统，结合定性分析和定量分析，形成对不同市场的预测和判断，确定基金资产在股票、债券及货币市场工具等类别资产间的分配比例，并随着各类证券风险收益特征的相对变化，动态调整股票资产、债券资产和货币市场工具的比例，以规避或控制市场风险，提高基金收益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自下而上的方式挑选成长性好、成长具有可持续性、成长质量优良、定价相对合理的股票，特别是处于快速成长过程中的中型及小型企业股票为主要投资对象。上述中型及小型企业股票既包括在中小板上市的股票，也包括在主板上市、按总市值从小到大排序并相加得到的累计总市值达到主板总市值四分之三的中小市值股票。若日后推出创业板，则在创业板上市的股票也将自动纳入选择范围。具体分以下三个层次进行股票挑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assets等）和财务状况指标（如D/A、流动比率等）。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此外，为了控制中型及小型企业投资的个股风险，对以下股票进行剔除：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①*ST和ST公司股票；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②财务资料可信度较低或者财务资料有重大瑕疵的公司股票；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③有关媒体报道有重大虚假陈述和重大利益输送以及其他重大违规、违法的公司股票；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④根据涨跌幅、振幅及换手率的偏离值等指标，交易异常波动的股票。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（2）成长性评估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对公司成长性的评估分为两个部分：收入和利润增长率预测，以及成长性综合评价。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考虑到公司未来盈利的增长是股价上涨的主要驱动因素，本基金首先对于公司未来两年预期主营业务收入增长率和息税前利润进行预测，对预测增长率在备选股</w:t>
      </w:r>
      <w:r>
        <w:rPr>
          <w:rFonts w:ascii="宋体" w:hAnsi="宋体"/>
          <w:sz w:val="24"/>
        </w:rPr>
        <w:lastRenderedPageBreak/>
        <w:t>票池中排名后30%的股票进行剔除。然后根据交银施罗德企业成长性评价体系，对公司的成长性进行综合评分并排序，挑选出其中最具成长潜力而且成长质量优良居前的股票构建股票组合。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交银施罗德企业成长性评价体系从宏观环境、行业前景、公司质量和成长性质量四个方面对企业的成长性进行评价，采用定性分析结合定量分析的方法对企业的成长性进行综合评分。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1）宏观环境分析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通过分析经济周期所处的阶段、包括宏观政策和产业政策在内的政策环境等因素，判断是否存在有利于公司快速成长的宏观环境因素。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2）行业前景评价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分析公司所处行业的市场需求空间（收入增长率）、行业生命周期、行业竞争环境和成长驱动因素等，对公司所处行业的景气程度进行评价。例如，从市场需求空间看，对于市场需求空间大，距离市场饱和程度较远，消费需求持续增长的行业而言，行业景气指数较高；从行业生命周期看，重点关注处于发展期，或成熟期前期，或正从衰退中复苏的行业；对成长驱动因素的考察，主要是考虑到行业成长对不同企业的推动力是不一样的，因此需要考察行业成长是否对公司的收入和盈利有明显的推动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3）公司质量评价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质量评价主要是考察影响未来成长性的企业自身的各项因素，包括企业的规模和产能、产品或技术创新能力、公司治理、管理层评价、核心竞争力等。例如，对于创新能力强，高技术含量产品所占收入的比例不断提高的企业，或者拥有难以为竞争对手模仿的竞争优势，如在资源、技术、人才、资金、经营许可证、销售网络等方面优势的企业，公司质量评价较高。通过对以上因素的综合评价可以最终得到对公司未来成长潜质的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4）成长质量评价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公司成长质量的优良，要落实到股东价值创造上。本基金在一般的盈利及盈利增长指标之外，还加入了控制企业盈利增长质量的指标，如ROIC–WACC、EVA等，来挑选具有优质成长特征的上市公司。只有EVA不断增长或改善的成长，才是我们所要投资的成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此外，如果通过专业研究获得信息优势，了解到公司有潜在发生重组、兼并收</w:t>
      </w:r>
      <w:r>
        <w:rPr>
          <w:rFonts w:ascii="宋体" w:hAnsi="宋体"/>
          <w:sz w:val="24"/>
        </w:rPr>
        <w:lastRenderedPageBreak/>
        <w:t>购的可能或机会，并且重组或并购后将对企业的盈利能力有明显改善，也会提高对该公司未来成长性的评价。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对上述核心股票池中的重点上市公司进行内在价值的评估和成长性跟踪研究，在明确的价值评估基础上选择定价相对合理且成长性可持续的投资标的。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6、其他衍生工具投资策略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密切跟踪国内各种衍生产品的动向，一旦有新的产品推出市场，将在届时相应法律法规的框架内，制订符合本基金投资目标的投资策略，同时结合对衍生工具的研究，在充分考虑衍生产品风险和收益特征的前提下，谨慎进行投资。本</w:t>
      </w:r>
      <w:r>
        <w:rPr>
          <w:rFonts w:ascii="宋体" w:hAnsi="宋体"/>
          <w:sz w:val="24"/>
        </w:rPr>
        <w:lastRenderedPageBreak/>
        <w:t>基金将按照相关法律法规通过利用股票指数期货及其他金融工具进行套利、避险交易，控制基金组合风险，获取超额收益。本基金投资于股票指数期货主要用于避险交易及套利交易。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（2）宏观经济发展态势、证券市场运行环境和走势，以及上市公司的基本面；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（2）研究部策略分析师、股票分析师、固定收益产品分析师、定量分析师各</w:t>
      </w:r>
      <w:r>
        <w:rPr>
          <w:rFonts w:ascii="宋体" w:hAnsi="宋体"/>
          <w:sz w:val="24"/>
        </w:rPr>
        <w:lastRenderedPageBreak/>
        <w:t>自独立完成相应的研究报告，为投资决策提供依据；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（3）投资总监每周召集投资例会，根据投资决策委员会的决定，结合市场运行变化，决定具体的投资策略；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具体的投资组合方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（6）中央交易室执行基金经理小组的交易指令，对交易情况及时反馈；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2、本基金管理人管理的全部基金持有一家公司发行的证券，不超过该证券的10%；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3、基金财产参与股票发行申购，本基金所申报的金额不超过本基金的总资产，本基金所申报的股票数量不超过拟发行股票公司本次发行股票的总量；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6、本基金在任何交易日买入权证的总金额，不得超过上一交易日基金资产净值的0.5%；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不得违反基金合同关于投资范围、投资策略和投资比例的约定：本基金持有的股票资产（含存托凭证）占基金资产的比例为60%-95%；本基金持有的债券、货币市场工具、权证、资产支持证券以及法律法规或中国证监会允许基金投资的其他证券品种占基金资产的比例为5%－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保持不低于基金资产净值5%的现金或者到期日在一年以内的政府债券，其中现金不包括结算备付金、存出保证金和应收申购款等；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w:t>
      </w:r>
      <w:r>
        <w:rPr>
          <w:rFonts w:ascii="宋体" w:hAnsi="宋体"/>
          <w:sz w:val="24"/>
        </w:rPr>
        <w:lastRenderedPageBreak/>
        <w:t>资产净值的10%；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如果法律法规对基金合同约定投资组合比例限制进行变更的，以变更后的规定为准。法律法规或监管部门取消上述限制，如适用于本基金，则本基金投资不再受相关限制。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基金管理人应当自基金合同生效之日起6个月内使基金的投资组合比例符合基金合同的有关约定。除投资资产配置外，基金托管人对基金的投资的监督和检查自本基金合同生效之日起开始。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7项第二款、14、15项外，因证券市场波动、上市公司合并、基金规模变动、股权分置改革中支付对价等基金管理人之外的因素致使基金投资比例不符合上述规定的投资比例的，基金管理人应当在10个交易日内进行调整，以达到上述标准。法律法规另有规定的从其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（九）禁止行为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5、向其基金管理人、基金托管人出资或者买卖基金托管人、基金管理人发行的股票或债券；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6、买卖与其基金管理人、基金托管人有控股关系的股东或者与其基金管理人、基金托管人有其他重大利害关系的公司发行的证券或承销期内承销的证券；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8、法律法规、中国证监会及基金合同规定禁止的其他活动。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法律法规或中国证监会取消上述禁止性规定，如适用于本基金，则本基金不受相关限制。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（十）风险收益特征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以具有持续成长潜力企业的股票，特别是处于快速成长过程中的中型及小型企业为主要投资对象，追求超额收益，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（十一）基金管理人代表基金行使股东及债权人权利的处理原则及方法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（十二）基金的融资、融券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本基金可以按照国家的有关法律法规规定进行融资、融券。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（十三）侧袋机制的实施和投资运作安排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473,217,997.85</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83.16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473,217,997.85</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83.16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64,633,559.54</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11.36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922,720.97</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569,045,042.74</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173,029.23</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358,826,852.95</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63.29</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11,330,172.00</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2.00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80,819,038.50</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22,020,071.19</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3.88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46,988.32</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473,217,997.85</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83.46</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88,600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50,449,726.00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8.90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002080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中材科技</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1,279,727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50,254,879.29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8.86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110,260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48,827,538.40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8.61</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2,506,800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44,370,360.00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7.83</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29,295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28,796,985.00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5.08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600183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生益科技</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429,200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23,249,764.00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600105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永鼎股份</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683,100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18,949,194.00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688072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拓荆科技</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51,015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18,875,550.00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3.33</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59,400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17,915,040.00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3.16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301526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国际复材</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1,560,700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17,604,696.00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3.11</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30,270,764.38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8、报告期末按公允价值占基金资产净值比例大小排序的前五名权证投资明细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621,859.06</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300,861.91</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right"/>
              <w:rPr>
                <w:rFonts w:ascii="宋体" w:hAnsi="宋体"/>
                <w:color w:val="000000"/>
                <w:kern w:val="0"/>
                <w:sz w:val="25"/>
                <w:szCs w:val="24"/>
              </w:rPr>
            </w:pPr>
            <w:r>
              <w:rPr>
                <w:rFonts w:ascii="Times New Roman" w:hAnsi="Times New Roman"/>
                <w:color w:val="000000"/>
                <w:kern w:val="0"/>
                <w:sz w:val="25"/>
                <w:szCs w:val="24"/>
              </w:rPr>
              <w:t>922,720.97</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4" w:name="_Toc227914902"/>
      <w:r>
        <w:rPr>
          <w:rFonts w:ascii="Times New Roman" w:hAnsi="Times New Roman"/>
          <w:sz w:val="30"/>
        </w:rPr>
        <w:lastRenderedPageBreak/>
        <w:t>十一、基金的业绩</w:t>
      </w:r>
      <w:bookmarkEnd w:id="14"/>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（1）交银先锋混合A：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-5.49%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-6.44%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59.73%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20.36%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39.37%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8.77%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-17.48%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-12.84%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-24.87%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-15.79%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-9.08%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19.27%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9.34%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9.93%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73.94%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21.84%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52.10%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41.58%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24.95%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-9.65%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-23.77%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14.12%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-20.67%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2.61%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-23.28%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-18.72%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-12.37%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-6.35%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64.80%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27.02%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37.78%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13.22%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30.95%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-17.73%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7.03%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8.43%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19.63%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2.18%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17.45%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-25.73%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-24.89%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6.15%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5.91%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10</w:t>
            </w:r>
            <w:r>
              <w:rPr>
                <w:rFonts w:ascii="Times New Roman" w:hAnsi="Times New Roman"/>
                <w:color w:val="000000"/>
                <w:kern w:val="0"/>
                <w:sz w:val="25"/>
                <w:szCs w:val="24"/>
              </w:rPr>
              <w:t>日至</w:t>
            </w:r>
            <w:r>
              <w:rPr>
                <w:rFonts w:ascii="Times New Roman" w:hAnsi="Times New Roman"/>
                <w:color w:val="000000"/>
                <w:kern w:val="0"/>
                <w:sz w:val="25"/>
                <w:szCs w:val="24"/>
              </w:rPr>
              <w:t>2009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24.57%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36.86%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-12.29%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（2）交银先锋混合C：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-6.58%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58.79%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20.36%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38.43%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8.77%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-7.67%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-17.98%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-13.34%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-25.34%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-15.79%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-9.55%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1A381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11</w:t>
            </w:r>
            <w:r>
              <w:rPr>
                <w:rFonts w:ascii="Times New Roman" w:hAnsi="Times New Roman"/>
                <w:color w:val="000000"/>
                <w:kern w:val="0"/>
                <w:sz w:val="25"/>
                <w:szCs w:val="24"/>
              </w:rPr>
              <w:t>月</w:t>
            </w:r>
            <w:r>
              <w:rPr>
                <w:rFonts w:ascii="Times New Roman" w:hAnsi="Times New Roman"/>
                <w:color w:val="000000"/>
                <w:kern w:val="0"/>
                <w:sz w:val="25"/>
                <w:szCs w:val="24"/>
              </w:rPr>
              <w:t>8</w:t>
            </w:r>
            <w:r>
              <w:rPr>
                <w:rFonts w:ascii="Times New Roman" w:hAnsi="Times New Roman"/>
                <w:color w:val="000000"/>
                <w:kern w:val="0"/>
                <w:sz w:val="25"/>
                <w:szCs w:val="24"/>
              </w:rPr>
              <w:t>日至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4.27%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3.01%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bl>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75%×中证700指数+25%×中信全债指数”变更为“75%×中证700指数+25%×中证综合债券指数”，下图同。详情见本基金管理人于2015年9月28日发布的《交银施罗德基金管理有限公司关于旗下部分基金业绩比较基准变更并修改基金合同相关内容的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1A3817" w:rsidRDefault="007A3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交银施罗德先锋混合型证券投资基金</w:t>
      </w:r>
    </w:p>
    <w:p w:rsidR="001A3817" w:rsidRDefault="007A3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1A3817" w:rsidRDefault="007A32A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（2009年4月10日至2026年03月31日）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（1）交银先锋混合A</w:t>
      </w:r>
    </w:p>
    <w:p w:rsidR="001A3817" w:rsidRDefault="009402F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58.5pt">
            <v:imagedata r:id="rId15" o:title="1521256610242020828"/>
          </v:shape>
        </w:pic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（2）交银先锋混合C</w:t>
      </w:r>
    </w:p>
    <w:p w:rsidR="001A3817" w:rsidRDefault="009402F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358.5pt">
            <v:imagedata r:id="rId16" o:title="1521256610242020828"/>
          </v:shape>
        </w:pic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2、本基金自2021年11月5日起，开始销售C类份额，投资者提交的申购申请于2021年11月8日被确认并将有效份额登记在册。</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5" w:name="_Toc227914903"/>
      <w:r>
        <w:rPr>
          <w:rFonts w:ascii="Times New Roman" w:hAnsi="Times New Roman"/>
          <w:sz w:val="30"/>
        </w:rPr>
        <w:lastRenderedPageBreak/>
        <w:t>十二、基金的财产</w:t>
      </w:r>
      <w:bookmarkEnd w:id="15"/>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以基金名义开立银行存款账户，以基金托管人的名义开立证券交易清算资金的结算备付金账户，并以基金托管人和“交银施罗德先锋混合型证券投资基金”联名的方式开立基金证券账户，以“交银施罗德先锋混合型证券投资基金”的名义开立银行间债券托管账户并报中国人民银行备案。开立的基金专用账户与基金管理人、基金托管人、基金代销机构和基金注册登记机构自有的财产账户以及其他基金财产账户相独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和基金托管人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固有财产承担法律责任，其债权人不得对基金财产行使请求冻结、扣押和其他权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6" w:name="_Toc227914904"/>
      <w:r>
        <w:rPr>
          <w:rFonts w:ascii="Times New Roman" w:hAnsi="Times New Roman"/>
          <w:sz w:val="30"/>
        </w:rPr>
        <w:lastRenderedPageBreak/>
        <w:t>十三、基金资产的估值</w:t>
      </w:r>
      <w:bookmarkEnd w:id="16"/>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（1）上市股票的估值：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1）首次发行未上市的股票，采用估值技术确定公允价值，在估值技术难以可靠计量公允价值的情况下，按成本价估值；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2）送股、转增股、配股和公开增发新股等发行未上市的股票，按估值日在证券交易所上市的同一股票的市价进行估值；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3）首次公开发行有明确锁定期的股票，同一股票在交易所上市后，按估值日在证券交易所上市的同一股票的市价进行估值；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4）非公开发行的且在发行时明确一定期限锁定期的股票，按监管机构或行业协会有关规定确定公允价值。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w:t>
      </w:r>
      <w:r>
        <w:rPr>
          <w:rFonts w:ascii="宋体" w:hAnsi="宋体"/>
          <w:sz w:val="24"/>
        </w:rPr>
        <w:lastRenderedPageBreak/>
        <w:t>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w:t>
      </w:r>
      <w:r>
        <w:rPr>
          <w:rFonts w:ascii="宋体" w:hAnsi="宋体"/>
          <w:sz w:val="24"/>
        </w:rPr>
        <w:lastRenderedPageBreak/>
        <w:t>经济环境发生了重大变化的，可参考类似投资品种的现行市价及重大变化因素，调整最近交易市价，确定公允价格；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4、其他有价证券等资产按国家有关规定进行估值。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各类基金份额的基金份额净值由基金管理人完成估值后，将估值结果以书面形式报给基金托管人，基金托管人按基金合同规定的估值方法、时间、程序进行复核，基金托管人复核无误后签章返回给基金管理人，由基金管理人依据本基金合同和有关法律法规的规定予以公布。月末、年中和年末估值复核与基金会计账目的核对同时进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（六）估值错误的确认和处理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各类基金份额的基金份额净值的计算均保留到小数点后4位，小数点后第5位四舍五入。当基金份额净值小数点后4位以内(含第4位)发生差错时，视为基金份额净值错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人自身的行为造成差错，导致其他基金合同当事人遭受损失的，责任人应当对由于该差错遭受损失的当事人(“受损方”)按下述“差错处理原则”给予赔偿，承担赔偿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w:t>
      </w:r>
      <w:r>
        <w:rPr>
          <w:rFonts w:ascii="宋体" w:hAnsi="宋体"/>
          <w:sz w:val="24"/>
        </w:rPr>
        <w:lastRenderedPageBreak/>
        <w:t>利的权利；如果获得不当得利的当事人已经将此部分不当得利返还给受损方，则受损方应当将其已经获得的赔偿额加上已经获得的不当得利返还的总和超过其实际损失的差额部分支付给差错责任方。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（2）错误偏差达到基金份额净值的0.25%时，基金管理人应当报告中国证监会；错误偏差达到基金份额净值的0.5%时，基金管理人应当公告、通报基金托管人并报中国证监会备案。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（3）因基金份额净值计算错误，给基金或基金份额持有人造成实际损失的，应由基金管理人先行赔付，基金管理人按差错情形，有权向其他当事人追偿。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1、基金投资有关的证券交易场所遇法定节假日或因其他原因暂停营业时；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1、基金管理人按股票估值方法的第(4)项、债券估值方法的第(7)项或权证估值方法的第(4)项进行估值时，所造成的误差不作为基金资产估值错误处理；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注册登记机构发送的数据错误，基金管理人和基金托管人虽然已经采取必要、适当、合理的措施进行检查，但未能发现错误的，由此造成的基金资产估值错误，基金管理人和基金托管人免除赔偿责任。但基金管理人应当积极采取必要的措施消除由此造成的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7" w:name="_Toc227914905"/>
      <w:r>
        <w:rPr>
          <w:rFonts w:ascii="Times New Roman" w:hAnsi="Times New Roman"/>
          <w:sz w:val="30"/>
        </w:rPr>
        <w:lastRenderedPageBreak/>
        <w:t>十四、基金的收益与分配</w:t>
      </w:r>
      <w:bookmarkEnd w:id="17"/>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3、银行存款利息；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4、已实现的其他合法收入。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基金净收益为基金收益扣除按照有关规定可以在基金收益中扣除的费用后的余额。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收益分配方式分为现金分红与红利再投资，投资人可选择获取现金红利或将现金红利按再投日的基金份额净值自动转为相应类别的基金份额进行再投资，若投资人不选择，本基金默认的收益分配方式是现金红利；基金份额持有人可对其持有的A类基金份额和C类基金份额分别选择不同的收益分配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2、由于本基金A类基金份额不收取销售服务费，C类基金份额收取销售服务费，各基金份额类别对应的可供分配利润将有所不同；本基金同一基金份额类别的每份基金份额享有同等分配权；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3、在符合有关基金收益分配条件的前提下，基金收益分配每年至少一次；基金年度收益分配比例不低于基金年度已实现收益的10%，且每年收益分配次数最多为10次；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4、若基金合同生效不满3个月则可不进行收益分配；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5、基金投资当年出现净亏损，则不进行收益分配；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6、基金收益分配后任一类基金份额净值不能低于面值；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7、基金当年收益应先弥补上一年度亏损后，方可进行当年收益分配；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8、法律法规或中国证监会另有规定的从其规定。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基金收益分配方案中应载明基金收益分配对象、分配时间、分配数额、分配方</w:t>
      </w:r>
      <w:r>
        <w:rPr>
          <w:rFonts w:ascii="宋体" w:hAnsi="宋体"/>
          <w:sz w:val="24"/>
        </w:rPr>
        <w:lastRenderedPageBreak/>
        <w:t>式等内容。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基金收益分配方案由基金管理人拟定，并由基金托管人复核，依照《信息披露办法》的有关规定在指定媒介上公告。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收益分配采用红利再投资方式免收再投资的费用。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注册登记机构记录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8" w:name="_Toc227914906"/>
      <w:r>
        <w:rPr>
          <w:rFonts w:ascii="Times New Roman" w:hAnsi="Times New Roman"/>
          <w:sz w:val="30"/>
        </w:rPr>
        <w:lastRenderedPageBreak/>
        <w:t>十五、基金的费用与税收</w:t>
      </w:r>
      <w:bookmarkEnd w:id="18"/>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6、基金合同生效后与基金相关的会计师费和律师费；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8、本基金从C类基金份额的基金财产中计提的销售服务费；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9、依法可以在基金财产中列支的其他费用。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本基金基金合同终止基金财产清算时所发生费用，按实际支出额从基金财产总值中扣除。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在通常情况下，基金管理费按前一日基金资产净值的1.2%的年费率计提。管理费的计算方法如下：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 = E×1.2% ÷当年天数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H为每日应付的基金管理费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款指令，基金托管人复核后于次月前2个工作日内从基金财产中一次性支付给基金管理人。若遇法定节假日、公休假等，支付日期顺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在通常情况下，基金的托管费按前一日基金资产净值的0.2%的年费率计提。托管费的计算方法如下：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 ÷当年天数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H为每日应支付的基金托管费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基金托管费每日计提，按月支付，由基金管理人向基金托管人发送基金托管费划款指令，基金托管人复核后于次月前2个工作日内从基金财产中一次性支取。若遇法定节假日、公休假等，支付日期顺延。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（4）除管理费、托管费和销售服务费之外的基金费用由基金托管人根据其他有关法规及相应协议的规定，按费用实际支出金额支付，列入或摊入当期基金费用。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w:t>
      </w:r>
      <w:r>
        <w:rPr>
          <w:rFonts w:ascii="宋体" w:hAnsi="宋体"/>
          <w:sz w:val="24"/>
        </w:rPr>
        <w:lastRenderedPageBreak/>
        <w:t>产的损失，以及处理与基金运作无关的事项发生的费用等不列入基金费用。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基金合同生效前所发生的信息披露费、会计师费、律师费及其他费用，不得从基金财产中列支。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协商调整基金管理费率、基金托管费率、销售服务费率等相关费率或改变收费模式。降低基金管理费率、基金托管费率、销售服务费率等相关费率或在不提高整体费率水平的情况下改变收费模式，此项调整不需要基金份额持有人大会决议通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基金管理人必须于新的费率或收费模式实施日前依照《信息披露办法》的有关规定在指定媒介上公告。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19" w:name="_Toc227914907"/>
      <w:r>
        <w:rPr>
          <w:rFonts w:ascii="Times New Roman" w:hAnsi="Times New Roman"/>
          <w:sz w:val="30"/>
        </w:rPr>
        <w:lastRenderedPageBreak/>
        <w:t>十六、基金的会计与审计</w:t>
      </w:r>
      <w:bookmarkEnd w:id="19"/>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1、基金的会计年度为公历年度的1月1日至12月31日；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2、本基金的会计核算以人民币为记账本位币，以人民币元为记账单位；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3、会计制度执行国家有关会计制度；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4、本基金独立建账、独立核算；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5、基金管理人保留完整的会计账目、凭证并进行日常的会计核算，按照有关规定编制基金会计报表；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6、基金托管人定期与基金管理人就基金的会计核算、报表编制等进行核对并书面确认。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1、基金管理人聘请具有证券、期货相关业务资格的会计师事务所及其注册会计师对本基金的年度财务报表及其他规定事项进行审计。会计师事务所及其注册会计师与基金管理人、基金托管人相互独立。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3、基金管理人（或基金托管人）认为有充足理由更换会计师事务所，经基金托管人（或基金管理人）同意可以更换。就更换会计师事务所，基金管理人应当依照《信息披露办法》的有关规定在指定媒介上公告。</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0" w:name="_Toc227914908"/>
      <w:r>
        <w:rPr>
          <w:rFonts w:ascii="Times New Roman" w:hAnsi="Times New Roman"/>
          <w:sz w:val="30"/>
        </w:rPr>
        <w:lastRenderedPageBreak/>
        <w:t>十七、基金的信息披露</w:t>
      </w:r>
      <w:bookmarkEnd w:id="20"/>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（一）基金招募说明书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w:t>
      </w:r>
      <w:r>
        <w:rPr>
          <w:rFonts w:ascii="宋体" w:hAnsi="宋体"/>
          <w:sz w:val="24"/>
        </w:rPr>
        <w:lastRenderedPageBreak/>
        <w:t>更的，基金管理人应当在三个工作日内，更新基金招募说明书并登载在指定网站上；基金招募说明书其他信息发生变更的，基金管理人至少每年更新一次。基金终止运作的，基金管理人不再更新基金招募说明书。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（二）《基金合同》、基金托管协议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《基金合同》是界定《基金合同》当事人的各项权利、义务关系，明确基金份额持有人大会召开的规则及具体程序，说明基金产品的特性等涉及基金投资者重大利益的事项的法律文件。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基金托管协议是界定基金托管人和基金管理人在基金财产保管及基金运作监督等活动中的权利、义务关系的法律文件。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（三）基金产品资料概要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（四）发售公告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（五）基金合同生效公告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基金管理人应当在本基金合同生效的次日在指定报刊和网站上登载基金合同生效公告。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（六）基金净值信息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分别披露开放日A类基金份额和C类基金份额所对应的基金份额净值和基金份额累计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w:t>
      </w:r>
      <w:r>
        <w:rPr>
          <w:rFonts w:ascii="宋体" w:hAnsi="宋体"/>
          <w:sz w:val="24"/>
        </w:rPr>
        <w:lastRenderedPageBreak/>
        <w:t>计净值。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（七）基金份额申购、赎回价格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（八）基金定期报告，包括基金年度报告、基金中期报告和基金季度报告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（九）临时报告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w:t>
      </w:r>
      <w:r>
        <w:rPr>
          <w:rFonts w:ascii="宋体" w:hAnsi="宋体"/>
          <w:sz w:val="24"/>
        </w:rPr>
        <w:lastRenderedPageBreak/>
        <w:t>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（十）澄清公告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（十一）基金份额持有人大会决议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（十二）实施侧袋机制期间的信息披露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（十三）本基金的信息披露还应当遵守上海证券交易所的有关规定。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（十四）中国证监会规定的其他信息。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（十五）信息披露事务管理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为基金信息披露义务人公开披露的基金信息出具审计报告、法律意见书的专业机构，应当制作工作底稿，并将相关档案至少保存到《基金合同》终止后10年。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（十六）信息披露文件的存放与查阅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（十七）本基金信息披露事项以法律法规规定及本章节约定的内容为准。</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1" w:name="_Toc227914909"/>
      <w:r>
        <w:rPr>
          <w:rFonts w:ascii="Times New Roman" w:hAnsi="Times New Roman"/>
          <w:sz w:val="30"/>
        </w:rPr>
        <w:lastRenderedPageBreak/>
        <w:t>十八、侧袋机制</w:t>
      </w:r>
      <w:bookmarkEnd w:id="21"/>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A3817" w:rsidRDefault="007A32A4">
      <w:pPr>
        <w:pStyle w:val="1"/>
        <w:snapToGrid w:val="0"/>
        <w:spacing w:beforeLines="0" w:before="240" w:after="240"/>
        <w:rPr>
          <w:rFonts w:ascii="宋体" w:hAnsi="宋体"/>
          <w:szCs w:val="30"/>
        </w:rPr>
      </w:pPr>
      <w:bookmarkStart w:id="22" w:name="_Toc227914910"/>
      <w:r>
        <w:rPr>
          <w:rFonts w:ascii="Times New Roman" w:hAnsi="Times New Roman"/>
          <w:sz w:val="30"/>
        </w:rPr>
        <w:lastRenderedPageBreak/>
        <w:t>十九、风险揭示</w:t>
      </w:r>
      <w:bookmarkEnd w:id="22"/>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扣除申购申请份额总数及基金转换中转入申请份额总数后的余额)超过前一日的基金总份额的10%，即认为是发生了巨额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（1）全额赎回：当基金管理人认为有能力支付投资人的赎回申请时，按正常赎回程序执行。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支付投资人的赎回申请而进行的财产变现可能会对基金资产净值造成较大波动时，基金管理人在当日接受赎回比例不低于上一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赎回的部分赎回申请将被撤销。延期的赎回申请与下一开放日赎回申请一并处理，无优先权并以该开放日的该类基金份额净值为基础计算赎回金额，并以此类推，直到全部赎回为止。如投资人在提交赎回申请时未作明确选择，投资人未能赎回部分作自动延期赎回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w:t>
      </w:r>
      <w:r>
        <w:rPr>
          <w:rFonts w:ascii="宋体" w:hAnsi="宋体"/>
          <w:sz w:val="24"/>
        </w:rPr>
        <w:lastRenderedPageBreak/>
        <w:t>主袋账户份额存在暂停申购的可能。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本基金属于混合型基金，将维持较高的股票持仓比例。如果股票市场出现整体下跌，本基金的净值表现将受到影响。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具有持续成长潜力的企业股票，特别是处于快速成长过程中的中型及小型企业股票，虽然可以通过分散投资策略和组合管理降低风险，但单个中小市值股票和大市值股票相比，具有相对较高的价格波动性。在选股策略上本基金特有的风险主要来自两个方面：一是对行业及上市公司的基本面研究是否准确、深入，二是对具有持续增长潜力的中型及小型企业股票的优选和判断是否科学、准确。基本面研究及上市企业分析的错误均可能导致所选择的证券不能完全符合本基金的预期目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科创板个股上市前五日无涨跌停限制，第六日开始涨跌幅限制在正负20%以内，个股波动幅度较其他股票加大，市场风险随之上升。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（七）投资存托凭证的特定风险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w:t>
      </w:r>
      <w:r>
        <w:rPr>
          <w:rFonts w:ascii="宋体" w:hAnsi="宋体"/>
          <w:sz w:val="24"/>
        </w:rPr>
        <w:lastRenderedPageBreak/>
        <w:t>托凭证或选择不将基金资产投资于存托凭证，基金资产并非必然投资存托凭证。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3" w:name="_Toc227914911"/>
      <w:r>
        <w:rPr>
          <w:rFonts w:ascii="Times New Roman" w:hAnsi="Times New Roman"/>
          <w:sz w:val="30"/>
        </w:rPr>
        <w:lastRenderedPageBreak/>
        <w:t>二十、基金合同的终止与基金财产的清算</w:t>
      </w:r>
      <w:bookmarkEnd w:id="23"/>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2、因重大违法、违规行为，被中国证监会责令终止的；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3、基金管理人因解散、破产、撤销等事由，不能继续担任基金管理人的职务，而在6个月内无其他适当的基金管理公司承接其原有权利义务；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4、基金托管人因解散、破产、撤销等事由，不能继续担任基金托管人的职务，而在6个月内无其他适当的托管机构承接其原有权利义务；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5、法律法规、中国证监会规定的或基金合同约定的其他情形。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1、基金合同终止时，成立基金财产清算组，基金财产清算组在中国证监会的监督下进行基金财产清算。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基金合同终止，应当按法律法规和基金合同的有关规定对基金财产进行清算。基金财产清算程序主要包括：</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（1）基金合同终止事由发生后，发布基金财产清算公告；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（5）制作清算报告；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（7）聘请会计师事务所对清算报告进行审计；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（8）将基金清算结果报告中国证监会；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清算费用是指基金财产清算组在进行基金清算过程中发生的所有合理费用，清算费用由基金财产清算组优先从基金财产中支付。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（四）基金财产的清偿、分配顺序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（五）基金财产清算的公告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报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（六）基金财产清算账册及文件的保存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4" w:name="_Toc227914912"/>
      <w:r>
        <w:rPr>
          <w:rFonts w:ascii="Times New Roman" w:hAnsi="Times New Roman"/>
          <w:sz w:val="30"/>
        </w:rPr>
        <w:lastRenderedPageBreak/>
        <w:t>二十一、基金合同内容摘要</w:t>
      </w:r>
      <w:bookmarkEnd w:id="24"/>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（2）依照基金合同获得基金管理费以及法律法规规定或中国证监会批准的其他收入；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基金合同当事人的利益造成重大损失的情形，应及时呈报中国证监会，并采取必要措施保护基金及相关当事人的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（9）自行担任或选择、更换注册登记机构，获取基金份额持有人名册，并对注册登记机构的代理行为进行必要的监督和检查；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（10）选择、更换代销机构，并依据销售代理协议和有关法律法规，对其行为进行必要的监督和检查；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（11）选择、更换律师、审计师、证券经纪商或其他为基金提供服务的外部机构；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根据《基金法》及其他有关法律法规，基金管理人的义务为：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（18）以基金管理人名义，代表基金份额持有人利益行使诉讼权利或者实施其他法律行为；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（1）依基金合同约定获得基金托管费以及法律法规规定或中国证监会批准的其他收入；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当事人的利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根据《基金法》及其他有关法律法规，基金托管人的义务为：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（12）复核、审查基金管理人计算的基金资产净值、各类基金份额净值和基金份额申购、赎回价格；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（16）按照规定召集基金份额持有人大会或配合基金份额持有人依法自行召集基金份额持有人大会；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（19）参加基金财产清算小组，参与基金财产的保管、清理、估价、变现和分配；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（22）不从事任何有损基金及其他基金合同当事人利益的活动；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根据《基金法》及其他有关法律法规，基金份额持有人的权利为：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（3）依法转让及根据基金合同约定申请赎回其持有的基金份额；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根据《基金法》及其他有关法律法规，基金份额持有人的义务为：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（6）返还在基金交易过程中因任何原因，自基金管理人、基金托管人、代销</w:t>
      </w:r>
      <w:r>
        <w:rPr>
          <w:rFonts w:ascii="宋体" w:hAnsi="宋体"/>
          <w:sz w:val="24"/>
        </w:rPr>
        <w:lastRenderedPageBreak/>
        <w:t>机构、其他基金份额持有人处获得的不当得利；</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1、基金份额持有人大会由基金份额持有人或基金份额持有人的合法授权代表共同组成。基金份额持有人持有的每一基金份额具有同等的投票权。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以上”含本数，下同)的基金份额持有人(以基金管理人收到提议当日的基金份额计算，下同)提议时，应当召开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（7）提高基金管理人、基金托管人的报酬标准或提高销售服务费率，但法律法规要求提高该等报酬标准的除外；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（1）调低基金管理费、基金托管费、销售服务费率和其他应由基金承担的费用；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（5）对基金合同的修改不涉及本基金合同当事人权利义务关系发生变化；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天在指定媒介公告。基金份额持有人大会通知须至少载明以下内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（2）会议拟审议的主要事项；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（6）代理投票的授权委托书的内容要求（包括但不限于代理人身份、代理权限和代理有效期限等）、送达时间和地点；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3）通讯方式开会指按照本基金合同的相关规定以书面方式进行表决。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w:t>
      </w:r>
      <w:r>
        <w:rPr>
          <w:rFonts w:ascii="宋体" w:hAnsi="宋体"/>
          <w:sz w:val="24"/>
        </w:rPr>
        <w:lastRenderedPageBreak/>
        <w:t>金份额应占权益登记日基金总份额的50%以上(“以上”含本数，下同）；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④本人直接出具书面意见或授权他人代表出具书面意见的基金份额持有人所代表的基金份额占权益登记日基金总份额的50%以上；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⑤直接出具书面意见的基金份额持有人或受托代表他人出具书面意见的代理人提交的持有基金份额的凭证、授权委托书等文件符合法律法规、基金合同和会议通知的规定，并与注册登记机构记录相符。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w:t>
      </w:r>
      <w:r>
        <w:rPr>
          <w:rFonts w:ascii="宋体" w:hAnsi="宋体"/>
          <w:sz w:val="24"/>
        </w:rPr>
        <w:lastRenderedPageBreak/>
        <w:t>审议；对于不符合上述要求的，不提交基金份额持有人大会审议。如果召集人决定不将基金份额持有人提案提交大会表决，应当在该次基金份额持有人大会上进行解释和说明。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利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5）基金份额持有人大会的召集人发出召开会议的通知后，如果需要对原有提案进行修改，应当最迟在基金份额持有人大会召开前30日公告。否则，会议的召开日期应当顺延并保证至少与公告日期有30日的间隔期。</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正机关监督下形成的决议有</w:t>
      </w:r>
      <w:r>
        <w:rPr>
          <w:rFonts w:ascii="宋体" w:hAnsi="宋体"/>
          <w:sz w:val="24"/>
        </w:rPr>
        <w:lastRenderedPageBreak/>
        <w:t>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更换基金管理人、更换基金托管人、转换基金运作方式、终止基金合同必须以特别决议通过方为有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w:t>
      </w:r>
      <w:r>
        <w:rPr>
          <w:rFonts w:ascii="宋体" w:hAnsi="宋体"/>
          <w:sz w:val="24"/>
        </w:rPr>
        <w:lastRenderedPageBreak/>
        <w:t>管人的授权代表未出席，则大会主持人可自行选举三名基金份额持有人代表担任监票人。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条第2款所规定的第（1）-（8）项召开事由的基金份额持有人大会决议经中国证监会核准生效后方可执行，关于本条第2款所规定的第（9）、（10）项召开事由的基金份额持有人大会决议经中国证监会核准或出具无异议意见后方可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（3）通讯开会的直接出具书面意见或授权他人代表出具书面意见的基金份额持有人所持有的基金份额不小于在权益登记日相关基金份额的二分之一（含二分之一）；</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11、法律法规或中国证监会对基金份额持有人大会另有规定的，从其规定。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5）变更基金份额持有人大会程序；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7）提高基金管理人、基金托管人的报酬标准或提高销售服务费率。但根据适用的相关规定提高该等报酬标准的除外；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1）调低基金管理费、基金托管费、销售服务费率和其他应由基金承担的费用；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5）对基金合同的修改不涉及本基金合同当事人权利义务关系发生变化；</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（2）关于变更基金合同的基金份额持有人大会决议应报中国证监会核准或备案，并于中国证监会核准或出具无异议意见后生效执行，并自生效之日起2日内在至少一种指定媒介公告。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（2）因重大违法、违规行为，被中国证监会责令终止的；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（3）基金管理人因解散、破产、撤销等事由，不能继续担任基金管理人的职务，而在6个月内无其他适当的基金管理公司承接其原有权利义务；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（4）基金托管人因解散、破产、撤销等事由，不能继续担任基金托管人的职务，而在6个月内无其他适当的托管机构承接其原有权利义务；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（5）法律法规、中国证监会规定或基金合同约定的其他情形。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（五）基金合同存放及投资人取得基金合同的方式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本基金合同正本一式六份，除上报有关监管部门两份外，基金管理人和基金托管人各持有两份。每份均具有同等的法律效力。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本基金合同可印制成册，供投资人在基金管理人、基金托管人、代销机构和注册登记机构办公场所查阅，基金合同条款及内容应以基金合同正本为准。</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5" w:name="_Toc227914913"/>
      <w:r>
        <w:rPr>
          <w:rFonts w:ascii="Times New Roman" w:hAnsi="Times New Roman"/>
          <w:sz w:val="30"/>
        </w:rPr>
        <w:lastRenderedPageBreak/>
        <w:t>二十二、托管协议的内容摘要</w:t>
      </w:r>
      <w:bookmarkEnd w:id="25"/>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法定代表人：阮红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基金托管业务批准文号：中国证监会证监基字[1998]23号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w:t>
      </w:r>
      <w:r>
        <w:rPr>
          <w:rFonts w:ascii="宋体" w:hAnsi="宋体"/>
          <w:sz w:val="24"/>
        </w:rPr>
        <w:lastRenderedPageBreak/>
        <w:t>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关于证券选择标准的约定进行监督，对存在疑义的事项进行核查。本基金的投资范围为国内依法发行上市的股票（含存托凭证）、债券、货币市场工具、权证、资产支持证券及法律法规或中国证监会允许基金投资的其他证券品种。如法律法规或监管机构以后允许基金投资的其它证券品种，基金管理人在履行适当程序后，可以将其纳入投资范围。基金管理人应在基金合同生效后、基金建仓前，及时向基金托管人提供备选股票池名单，如发生变动，应及时向基金托管人提供变更后的备选股票池名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比例为60%-95%，债券、货币市场工具、权证、资产支持证券以及法律法规或中国证监会允许基金投资的其他证券品种占基金资产的比例为5%-40%，其中基金保留的现金以及投资于到期日在一年以内的政府债券不低于基金资产净值的5%，现金不包括结算备付金、存出保证金和应收申购款等。如法律法规或监管机构以后允许基金投资的其他品种，基金管理人在履行适当程序后，可以将其纳入投资范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2）本基金管理人管理的全部基金持有一家公司发行的证券，不超过该证券的10%；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3）基金财产参与股票发行申购，本基金所申报的金额不超过本基金的总资产，本基金所申报的股票数量不超过拟发行股票公司本次发行股票的总量；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6）本基金在任何交易日买入权证的总金额，不得超过上一交易日基金资产净值的0.5%；</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不得违反基金合同关于投资范围、投资策略和投资比例的约定：本基金持有的股票资产（含存托凭证）占基金资产的比例为60%-95%；本基金持有的债券、货币市场工具、权证、资产支持证券以及法律法规或中国证监会允许基金投资的其他证券品种占基金资产的比例为5%－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本基金保持不低于基金资产净值5%的现金或者到期日在一年以内的政府债券，其中现金不包括结算备付金、存出保证金和应收申购款等；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15）本基金与私募类证券资管产品及中国证监会认定的其他主体为交易对手开展逆回购交易的，可接受质押品的资质要求应当与基金合同约定的投资范围保持一致；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如果法律法规对基金合同约定投资组合比例限制进行变更的，以变更后的规定为准。法律法规或监管部门取消上述限制，如适用于本基金，则本基金投资不再受相关限制。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 个月内使基金的投资组合比例符合基金合同的有关约定。除投资资产配置外，基金托管人对基金的投资的监督和检查自本基金合同生效之日起开始。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7）项第二款、14）、15）项外，因证券市场波动、上市公司合并、基金规模变动、股权分置改革中支付对价等基金管理人之外的因素致使基金投资比例不符合上述规定的投资比例的，基金管理人应当在10个交易日内进行调整，以达到上述标准。法律法规另有规定的从其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项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交易证券名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应向基金托管人说明理由，在与交易对手发生交易前3个工作日内与基金托管人协商解决。基金管理人负责对交易对手的资信控制，按银行间债券市场的交易规则进行交易，基金托管人则根据银行间债券市场成交单对合同履行情况进行监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w:t>
      </w:r>
      <w:r>
        <w:rPr>
          <w:rFonts w:ascii="宋体" w:hAnsi="宋体"/>
          <w:sz w:val="24"/>
        </w:rPr>
        <w:lastRenderedPageBreak/>
        <w:t>计算、各类基金份额净值计算、应收资金到账、基金费用开支及收入确定、基金收益分配、相关信息披露、基金宣传推介材料中登载基金业绩表现数据等进行监督和核查。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如果基金管理人未经基金托管人的审核擅自将不实的业绩表现数据印制在基金宣传推介材料上，则基金托管人不承担任何责任，并将在发现后立即报告中国证监会。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在对上述事项的监督与核查中发现基金管理人的实际投资运作违反法律法规、基金合同和本托管协议的规定，应及时通知基金管理人限期纠正。基金托管人发现基金管理人的投资指令违反法律法规和基金合同的，应拒绝执行，立即通知基金管理人，并向中国证监会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基金管理人收到通知后应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7、对基金托管人按照法律法规、基金合同和本托管协议要求需向中国证监会报送基金监督报告的事项，基金管理人应积极配合提供相关数据资料和制度等。</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在及时核对并以书面形式给基金管理</w:t>
      </w:r>
      <w:r>
        <w:rPr>
          <w:rFonts w:ascii="宋体" w:hAnsi="宋体"/>
          <w:sz w:val="24"/>
        </w:rPr>
        <w:lastRenderedPageBreak/>
        <w:t>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5）基金托管人根据基金管理人的指令，按照基金合同和本托管协议的约定保管基金财产，如有特殊情况双方可另行协商解决。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1）基金管理人在收到基金募集期间募集的资金后应存于中国证券登记结算有限责任公司。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w:t>
      </w:r>
      <w:r>
        <w:rPr>
          <w:rFonts w:ascii="宋体" w:hAnsi="宋体"/>
          <w:sz w:val="24"/>
        </w:rPr>
        <w:lastRenderedPageBreak/>
        <w:t>内，聘请具有从事证券相关业务资格的会计师事务所进行验资，出具验资报告。出具的验资报告由参加验资的2名或2名以上中国注册会计师签字方为有效。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银行账户，并根据基金管理人合法合规的指令办理资金收付。本基金的银行预留印鉴由基金托管人保管和使用。本基金的一切货币收支活动，包括但不限于投资、支付赎回金额、支付基金收益、收取申购款，均需通过本基金的银行账户进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4）基金银行账户的开立和管理应符合相关法律法规的有关规定。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4、基金证券账户和资金交收账户的开立和管理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上海分公司/深圳分公司开立结算备付金账户（资金交收账户），并代表所托管的基金完成与中国证券登记结算有限责任公司的一级法人清算工作，基金管理人应予以积极协助。结算备付金的收取按照中国证券登记结算有限责任公司的规定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5）在本托管协议生效日之后，本基金被允许从事其他投资品种的投资业务的，涉及相关账户的开设、使用的，若无相关规定，则基金托管人应当比照并遵守上述关于账户开设、使用的规定。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7、基金财产投资的有关实物有价凭证等的保管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托管人对托管人以外机构实际有效控制的证券不承担保管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托管协议另有规定外，基金管理人在代表基金签署与基金财产有关的重大合同时应保证基金一方持有两份以上的正本，以便基金管理人和基金托管人至少各持有一份正本的原件。基金管理人应在重大合同签署后及时以加密方式将重大合同传真给基金托管人，并在十个工作日内将正本送达基金托管人处。上述重大合同的保管期限为基金合同终止后15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各类基金份额的基金份额净值是指该类基金份额的基金资产净值除以该类基金份额总数，各类基金份额的基金份额净值的计算，均精确到0.0001元，小数点后第五位四舍五入，国家另有规定的，从其规定。</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基金管理人每个工作日计算基金资产净值及各类基金份额的基金份额净值，经基金托管人复核，按规定公告。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基金管理人每工作日对基金资产进行估值后，将各类基金份额的基金份额净值结果以加密传真方式发送基金托管人，基金托管人复核无误后，盖章并以加密传真方式传送给基金管理人，由基金管理人对外公布。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（3）就与本基金有关的会计问题，经相关各方在平等基础上充分讨论达成一致的意见后对外予以公布。</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上市股票的估值：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b）送股、转增股、配股和公开增发新股等发行未上市的股票，按估值日在证券交易所上市的同一股票的市价进行估值；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4）在任何情况下，基金管理人如采用本项第1）－3）小项规定的方法对基金</w:t>
      </w:r>
      <w:r>
        <w:rPr>
          <w:rFonts w:ascii="宋体" w:hAnsi="宋体"/>
          <w:sz w:val="24"/>
        </w:rPr>
        <w:lastRenderedPageBreak/>
        <w:t>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b.债券估值方法：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c.权证估值方法：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d.其他有价证券等资产按国家有关规定进行估值。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e.如基金管理人或基金托管人发现基金估值违反基金合同订明的估值方法、程序及相关法律法规的规定或者未能充分维护基金份额持有人利益时，应立即通知对方，共同查明原因，双方协商解决。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基金管理人、基金托管人按股票估值方法的第4)项、债券估值方法的第7)项或权证估值方法的第4)项进行估值时，所造成的误差不作为基金份额净值错误处理。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3、估值错误的处理方式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估值错误；估值出现错误时，基金管理人应当立即予以纠正，通报基金托管人，并采取合理的措施防止损失进一步扩大；错误偏差达到基金份额净值的0.25%时，基金管理人应当报告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（2）当估值错误给基金和基金份额持有人造成损失需要进行赔偿时，基金管理人和基金托管人应根据实际情况界定双方承担的责任，经确认后按以下条款进行赔偿：</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各自承担相应的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如基金管理人和基金托管人对基金份额净值的计算结果，虽然多次重新计算和核对，尚不能达成一致时，为避免不能按时公布基金份额净值的情形，以基金管理人的计算结果对外公布，由此给基金份额持有人和基金财产造成的损失，由基金管理人负责赔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③由于基金管理人提供的信息错误（包括但不限于基金申购或赎回金额等），进而导致基金份额净值计算错误而引起的基金份额持有人和基金财产的损失，由基金管理人负责赔付。</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证券交易所及注册登记机构发送的数据错误，有关会计制度变化或由于其他不可抗力原因，基金管理人和基金托管人虽然已经采取必要、适当、合理的措施进行检查，但是未能发现该错误而造成的估值错误，基金管理人、基金托管人可以免除赔偿责任。但基金管理人、基金托管人应积极采取必要的措施消除由此造成的影响。</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（5）前述内容如法律法规或者监管部门另有规定的，从其规定。如果行业有通行做法，双方当事人应本着平等和保护基金份额持有人利益的原则进行协商。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（2）因不可抗力或其他情形致使基金管理人无法准确评估基金资产价值时；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5、基金会计制度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财产的安全。若双方对会计处理方法存在分歧，应以基金管理人的处理方法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经对账发现相关各方的账目存在不符的，基金管理人和基金托管人必须及时查明原因并纠正，保证双方平行登录的账册记录完全相符。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7、基金财务报表与定期报告的编制和复核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基金托管人在复核过程中，发现相关各方的报表存在不符时，基金管理人和基金托管人应共同查明原因，进行调整，调整以相关各方认可的账务处理方式为准。核对无误后，基金托管人在基金管理人提供的报告上加盖托管业务部业务专用章，或者出具加盖托管业务部业务专用章的复核意见书，相关各方各自留存一份。</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的财务会计报告应当经过审计。基金合同生效不足两个月的，基金管理人可以不编制当期季度报告、中期报告或者年度报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基金管理人应留足充分的时间，便于基金托管人复核相关报表及报告。基金托管人复核完毕，应出具相应的复核确认书。</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托管协议产生或与之相关的争议，双方当事人应通过协商、调解解决，不愿或者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本协议适用中华人民共和国法律并从其解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本托管协议双方当事人经协商一致，可以对协议进行修改。修改后的新协议，其内容不得与基金合同的规定有任何冲突。基金托管协议的变更报中国证监会核准</w:t>
      </w:r>
      <w:r>
        <w:rPr>
          <w:rFonts w:ascii="宋体" w:hAnsi="宋体"/>
          <w:sz w:val="24"/>
        </w:rPr>
        <w:lastRenderedPageBreak/>
        <w:t>后生效。</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（2）基金托管人解散、依法被撤销、破产或基金托管人更换；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（3）基金管理人解散、依法被撤销、破产或基金管理人更换；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6" w:name="_Toc227914914"/>
      <w:r>
        <w:rPr>
          <w:rFonts w:ascii="Times New Roman" w:hAnsi="Times New Roman"/>
          <w:sz w:val="30"/>
        </w:rPr>
        <w:lastRenderedPageBreak/>
        <w:t>二十三、对基金份额持有人的服务</w:t>
      </w:r>
      <w:bookmarkEnd w:id="26"/>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后端基金份额的认/申购业务，通过转托管转入网上直销账户的后端收费模式的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本基金收益分配时，投资人可以选择将当期分配所得的红利再投资于本基金，再投资红利按红利再投日（即除息日）除息后的基金份额净值自动转为相应类别的基金份额，并免收申购费用。</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（五）定期定额投资计划和转换业务</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7" w:name="_Toc227914915"/>
      <w:r>
        <w:rPr>
          <w:rFonts w:ascii="Times New Roman" w:hAnsi="Times New Roman"/>
          <w:sz w:val="30"/>
        </w:rPr>
        <w:lastRenderedPageBreak/>
        <w:t>二十四、其他应披露事项</w:t>
      </w:r>
      <w:bookmarkEnd w:id="27"/>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交银施罗德基金管理有限公司关于交银施罗德先锋混合型证券投资基金暂停及恢复大额申购（转换转入、定期定额投资）业务的公告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1A381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交银施罗德先锋混合型证券投资基金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A3817" w:rsidRDefault="007A32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8" w:name="_Toc227914916"/>
      <w:r>
        <w:rPr>
          <w:rFonts w:ascii="Times New Roman" w:hAnsi="Times New Roman"/>
          <w:sz w:val="30"/>
        </w:rPr>
        <w:lastRenderedPageBreak/>
        <w:t>二十五、招募说明书的存放及查阅方式</w:t>
      </w:r>
      <w:bookmarkEnd w:id="28"/>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7A32A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A3817" w:rsidRDefault="007A32A4">
      <w:pPr>
        <w:pStyle w:val="1"/>
        <w:snapToGrid w:val="0"/>
        <w:spacing w:beforeLines="0" w:before="240" w:after="240"/>
        <w:rPr>
          <w:rFonts w:ascii="宋体" w:hAnsi="宋体"/>
          <w:szCs w:val="30"/>
        </w:rPr>
      </w:pPr>
      <w:bookmarkStart w:id="29" w:name="_Toc227914917"/>
      <w:r>
        <w:rPr>
          <w:rFonts w:ascii="Times New Roman" w:hAnsi="Times New Roman"/>
          <w:sz w:val="30"/>
        </w:rPr>
        <w:lastRenderedPageBreak/>
        <w:t>二十六、备查文件</w:t>
      </w:r>
      <w:bookmarkEnd w:id="29"/>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（一）中国证监会核准交银施罗德先锋股票证券投资基金募集的文件</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（二）《交银施罗德先锋混合型证券投资基金基金合同》</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（三）《交银施罗德先锋混合型证券投资基金托管协议》</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A3817" w:rsidRDefault="007A32A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（六）关于申请募集交银施罗德先锋股票证券投资基金之法律意见书</w:t>
      </w:r>
    </w:p>
    <w:sectPr w:rsidR="001A381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855" w:rsidRDefault="007A32A4">
      <w:r>
        <w:separator/>
      </w:r>
    </w:p>
  </w:endnote>
  <w:endnote w:type="continuationSeparator" w:id="0">
    <w:p w:rsidR="00572855" w:rsidRDefault="007A3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1A38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9402F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1A3817" w:rsidRDefault="007A32A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402F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1A381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9402F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1A3817" w:rsidRDefault="007A32A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402FA">
                  <w:rPr>
                    <w:rFonts w:ascii="Times New Roman" w:hAnsi="Times New Roman"/>
                    <w:noProof/>
                    <w:kern w:val="0"/>
                    <w:sz w:val="18"/>
                    <w:szCs w:val="18"/>
                  </w:rPr>
                  <w:t>165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855" w:rsidRDefault="007A32A4">
      <w:r>
        <w:separator/>
      </w:r>
    </w:p>
  </w:footnote>
  <w:footnote w:type="continuationSeparator" w:id="0">
    <w:p w:rsidR="00572855" w:rsidRDefault="007A3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1A381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7A32A4">
    <w:pPr>
      <w:pStyle w:val="a3"/>
      <w:jc w:val="right"/>
      <w:rPr>
        <w:rFonts w:ascii="宋体" w:hAnsi="宋体"/>
      </w:rPr>
    </w:pPr>
    <w:r>
      <w:rPr>
        <w:rFonts w:ascii="宋体" w:hAnsi="宋体" w:hint="eastAsia"/>
      </w:rPr>
      <w:t>交银施罗德先锋混合型证券投资基金招募说明书更新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1A3817">
    <w:pPr>
      <w:pStyle w:val="10"/>
      <w:jc w:val="right"/>
    </w:pPr>
  </w:p>
  <w:p w:rsidR="001A3817" w:rsidRDefault="001A3817">
    <w:pPr>
      <w:pStyle w:val="10"/>
      <w:jc w:val="right"/>
    </w:pPr>
  </w:p>
  <w:p w:rsidR="001A3817" w:rsidRDefault="001A3817">
    <w:pPr>
      <w:pStyle w:val="a3"/>
      <w:jc w:val="right"/>
    </w:pPr>
  </w:p>
  <w:p w:rsidR="001A3817" w:rsidRDefault="007A32A4">
    <w:pPr>
      <w:pStyle w:val="a3"/>
      <w:jc w:val="right"/>
      <w:rPr>
        <w:rFonts w:ascii="宋体" w:hAnsi="宋体"/>
      </w:rPr>
    </w:pPr>
    <w:r>
      <w:rPr>
        <w:rFonts w:ascii="宋体" w:hAnsi="宋体" w:hint="eastAsia"/>
      </w:rPr>
      <w:t>交银施罗德先锋混合型证券投资基金招募说明书更新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817" w:rsidRDefault="001A3817">
    <w:pPr>
      <w:pStyle w:val="a3"/>
      <w:jc w:val="right"/>
    </w:pPr>
  </w:p>
  <w:p w:rsidR="001A3817" w:rsidRDefault="001A3817">
    <w:pPr>
      <w:pStyle w:val="a3"/>
      <w:jc w:val="right"/>
    </w:pPr>
  </w:p>
  <w:p w:rsidR="001A3817" w:rsidRDefault="001A3817">
    <w:pPr>
      <w:pStyle w:val="a3"/>
      <w:jc w:val="right"/>
    </w:pPr>
  </w:p>
  <w:p w:rsidR="001A3817" w:rsidRDefault="007A32A4">
    <w:pPr>
      <w:pStyle w:val="a3"/>
      <w:jc w:val="right"/>
      <w:rPr>
        <w:rFonts w:ascii="宋体" w:hAnsi="宋体"/>
      </w:rPr>
    </w:pPr>
    <w:r>
      <w:rPr>
        <w:rFonts w:ascii="宋体" w:hAnsi="宋体" w:hint="eastAsia"/>
      </w:rPr>
      <w:t>交银施罗德先锋混合型证券投资基金招募说明书更新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A3817"/>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2855"/>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32A4"/>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2FA"/>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1721098F-50BF-4FDE-BA90-951650D9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16797</Words>
  <Characters>95747</Characters>
  <Application>Microsoft Office Word</Application>
  <DocSecurity>0</DocSecurity>
  <Lines>797</Lines>
  <Paragraphs>224</Paragraphs>
  <ScaleCrop>false</ScaleCrop>
  <Company>Microsoft</Company>
  <LinksUpToDate>false</LinksUpToDate>
  <CharactersWithSpaces>112320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2026-04-24T01:21:00Z</dcterms:created>
  <dcterms:modified xsi:type="dcterms:W3CDTF">2026-04-24T01:21:00Z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