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交银施罗德优选回报灵活配置混合型证券投资基金（A类份额）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交银优选回报灵活配置混合A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2016-04-22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姜承操</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孙婕衎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2011-05-11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本基金在控制风险并保持基金资产良好的流动性的前提下，力争为投资者提供长期稳健的投资回报。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沪深300指数收益率×10%+中债新综合全价（1-3年）指数收益率×85%+人民币银行活期存款利率（税后）×5%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详见《交银施罗德优选回报灵活配置混合型证券投资基金招募说明书》第十部分“基金的投资”。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2、本基金合同于2016年4月22日生效，合同生效当年净值增长率按实际存续期计算。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●《交银施罗德优选回报灵活配置混合型证券投资基金基金合同》、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《交银施罗德优选回报灵活配置混合型证券投资基金托管协议》、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《交银施罗德优选回报灵活配置混合型证券投资基金招募说明书》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CD7B66"/>
    <w:rsid w:val="00D04A15"/>
    <w:rsid w:val="00D373CC"/>
    <w:rsid w:val="00DB319C"/>
    <w:rsid w:val="00E51B6D"/>
    <w:rsid w:val="00F75715"/>
    <w:rsid w:val="00F811C4"/>
    <w:rsid w:val="00FC2918"/>
    <w:rsid w:val="693720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784</Words>
  <Characters>4475</Characters>
  <Lines>37</Lines>
  <Paragraphs>10</Paragraphs>
  <TotalTime>4</TotalTime>
  <ScaleCrop>false</ScaleCrop>
  <LinksUpToDate>false</LinksUpToDate>
  <CharactersWithSpaces>5249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2026-04-24T01:21:00Z</dcterms:created>
  <dc:creator>Cc</dc:creator>
  <cp:lastModifiedBy>haotingting</cp:lastModifiedBy>
  <dcterms:modified xsi:type="dcterms:W3CDTF">2026-04-28T09:52:09Z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A8951348D7904811927C8ECEBC89A93B</vt:lpwstr>
  </property>
</Properties>
</file>