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交银施罗德双轮动债券型证券投资基金（AB类份额）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交银双轮动债券A/B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2013-04-18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519723（A类份额），519724（B类份额）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本基金在严格控制投资风险的基础上，通过积极主动的投资管理，把握债券市场轮动带来的机会，力争实现基金资产长期稳健的增值。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基金的投资组合比例为：固定收益类资产的比例不低于基金资产净值的80%；现金或到期日在一年以内的政府债券的比例合计不低于基金资产净值的5%，其中现金不包括结算备付金、存出保证金、应收申购款等。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详见《交银施罗德双轮动债券型证券投资基金招募说明书》第十部分“基金的投资”。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●《交银施罗德双轮动债券型证券投资基金基金合同》、</w:t>
      </w:r>
    </w:p>
    <w:p>
      <w:pPr>
        <w:ind w:firstLine="420"/>
        <w:jc w:val="left"/>
        <w:rPr>
          <w:rFonts w:ascii="仿宋_GB2312" w:eastAsia="仿宋_GB2312"/>
          <w:szCs w:val="21"/>
        </w:rPr>
      </w:pPr>
      <w:r>
        <w:rPr>
          <w:rFonts w:hint="eastAsia" w:ascii="仿宋_GB2312" w:eastAsia="仿宋_GB2312"/>
          <w:szCs w:val="21"/>
        </w:rPr>
        <w:t>《交银施罗德双轮动债券型证券投资基金托管协议》、</w:t>
      </w:r>
    </w:p>
    <w:p>
      <w:pPr>
        <w:ind w:firstLine="420"/>
        <w:jc w:val="left"/>
        <w:rPr>
          <w:rFonts w:ascii="仿宋_GB2312" w:eastAsia="仿宋_GB2312"/>
          <w:szCs w:val="21"/>
        </w:rPr>
      </w:pPr>
      <w:r>
        <w:rPr>
          <w:rFonts w:hint="eastAsia" w:ascii="仿宋_GB2312" w:eastAsia="仿宋_GB2312"/>
          <w:szCs w:val="21"/>
        </w:rPr>
        <w:t>《交银施罗德双轮动债券型证券投资基金招募说明书》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95840"/>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FEE1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601</Words>
  <Characters>3427</Characters>
  <Lines>28</Lines>
  <Paragraphs>8</Paragraphs>
  <TotalTime>1</TotalTime>
  <ScaleCrop>false</ScaleCrop>
  <LinksUpToDate>false</LinksUpToDate>
  <CharactersWithSpaces>4020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2026-04-28T06:04:13Z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5D771391AF9248AD99CCC9906DCC4CD3</vt:lpwstr>
  </property>
</Properties>
</file>