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C74B88">
      <w:pPr>
        <w:rPr>
          <w:sz w:val="32"/>
        </w:rPr>
      </w:pPr>
    </w:p>
    <w:p w:rsidR="00C92FC0" w:rsidRPr="00EB07BC" w:rsidRDefault="00C74B88">
      <w:pPr>
        <w:rPr>
          <w:sz w:val="32"/>
        </w:rPr>
      </w:pPr>
    </w:p>
    <w:p w:rsidR="00C92FC0" w:rsidRPr="00EB07BC" w:rsidRDefault="00C74B88">
      <w:pPr>
        <w:rPr>
          <w:sz w:val="32"/>
        </w:rPr>
      </w:pPr>
    </w:p>
    <w:p w:rsidR="00BD4B77" w:rsidRDefault="00BD4B7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D4B77" w:rsidRDefault="00BD4B7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D4B77" w:rsidRDefault="00BD4B7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D4B77" w:rsidRDefault="00877E63">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交银施罗德新回报灵活配置混合型证券投资基金</w:t>
      </w:r>
    </w:p>
    <w:p w:rsidR="00BD4B77" w:rsidRDefault="00877E63">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BD4B77" w:rsidRDefault="00BD4B77">
      <w:pPr>
        <w:snapToGrid w:val="0"/>
        <w:spacing w:line="360" w:lineRule="auto"/>
        <w:jc w:val="center"/>
        <w:rPr>
          <w:rFonts w:ascii="宋体" w:hAnsi="宋体"/>
          <w:b/>
          <w:sz w:val="30"/>
          <w:szCs w:val="30"/>
        </w:rPr>
      </w:pPr>
    </w:p>
    <w:p w:rsidR="00BD4B77" w:rsidRDefault="00BD4B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D4B77" w:rsidRDefault="00BD4B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D4B77" w:rsidRDefault="00BD4B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D4B77" w:rsidRDefault="00BD4B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D4B77" w:rsidRDefault="00BD4B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D4B77" w:rsidRDefault="00BD4B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D4B77" w:rsidRDefault="00877E63">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BD4B77" w:rsidRDefault="00877E63">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BD4B77" w:rsidRDefault="00BD4B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D4B77" w:rsidRDefault="00BD4B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D4B77" w:rsidRDefault="00877E63">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二〇二六年四月</w:t>
      </w:r>
    </w:p>
    <w:p w:rsidR="00BD4B77" w:rsidRDefault="00BD4B77">
      <w:pPr>
        <w:autoSpaceDE w:val="0"/>
        <w:autoSpaceDN w:val="0"/>
        <w:adjustRightInd w:val="0"/>
        <w:snapToGrid w:val="0"/>
        <w:spacing w:line="360" w:lineRule="auto"/>
        <w:ind w:left="1347" w:rightChars="6" w:right="13"/>
        <w:rPr>
          <w:rFonts w:ascii="宋体" w:hAnsi="宋体"/>
          <w:kern w:val="0"/>
          <w:sz w:val="32"/>
          <w:szCs w:val="32"/>
        </w:rPr>
        <w:sectPr w:rsidR="00BD4B77">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BD4B77" w:rsidRDefault="00877E63">
      <w:pPr>
        <w:pStyle w:val="1"/>
        <w:snapToGrid w:val="0"/>
        <w:spacing w:beforeLines="0" w:before="240" w:after="240"/>
        <w:rPr>
          <w:rFonts w:ascii="宋体" w:hAnsi="宋体"/>
          <w:kern w:val="0"/>
        </w:rPr>
      </w:pPr>
      <w:bookmarkStart w:id="0" w:name="_Toc324920538"/>
      <w:bookmarkStart w:id="1" w:name="_Toc496884613"/>
      <w:bookmarkStart w:id="2" w:name="_Toc228201045"/>
      <w:r>
        <w:rPr>
          <w:rFonts w:ascii="Times New Roman" w:hAnsi="Times New Roman"/>
          <w:kern w:val="0"/>
        </w:rPr>
        <w:lastRenderedPageBreak/>
        <w:t>重要提示</w:t>
      </w:r>
      <w:bookmarkEnd w:id="0"/>
      <w:bookmarkEnd w:id="1"/>
      <w:bookmarkEnd w:id="2"/>
    </w:p>
    <w:p w:rsidR="00BD4B77" w:rsidRDefault="00877E6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交银施罗德新回报灵活配置混合型证券投资基金（以下简称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2015</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2015</w:t>
      </w:r>
      <w:r>
        <w:rPr>
          <w:rFonts w:ascii="Times New Roman" w:hAnsi="Times New Roman"/>
          <w:kern w:val="0"/>
          <w:sz w:val="24"/>
        </w:rPr>
        <w:t>】</w:t>
      </w:r>
      <w:r>
        <w:rPr>
          <w:rFonts w:ascii="Times New Roman" w:hAnsi="Times New Roman"/>
          <w:kern w:val="0"/>
          <w:sz w:val="24"/>
        </w:rPr>
        <w:t>678</w:t>
      </w:r>
      <w:r>
        <w:rPr>
          <w:rFonts w:ascii="Times New Roman" w:hAnsi="Times New Roman"/>
          <w:kern w:val="0"/>
          <w:sz w:val="24"/>
        </w:rPr>
        <w:t>号文准予募集注册。本基金基金合同于</w:t>
      </w:r>
      <w:r>
        <w:rPr>
          <w:rFonts w:ascii="Times New Roman" w:hAnsi="Times New Roman"/>
          <w:kern w:val="0"/>
          <w:sz w:val="24"/>
        </w:rPr>
        <w:t>2015</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15</w:t>
      </w:r>
      <w:r>
        <w:rPr>
          <w:rFonts w:ascii="Times New Roman" w:hAnsi="Times New Roman"/>
          <w:kern w:val="0"/>
          <w:sz w:val="24"/>
        </w:rPr>
        <w:t>日正式生效。</w:t>
      </w:r>
    </w:p>
    <w:p w:rsidR="00BD4B77" w:rsidRDefault="00877E6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BD4B77" w:rsidRDefault="00877E6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交易对手违约风险；投资股指期货的特定风险；连续六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万元情形时基金管理人将依基金合同约定提前终止基金合同的风险；投资科创板股票的特定风险；投资本基金特有的其他风险等等。</w:t>
      </w:r>
    </w:p>
    <w:p w:rsidR="00BD4B77" w:rsidRDefault="00877E6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本基金是一只混合型基金，其风险和预期收益高于债券型基金和货币市场基金，低于股票型基金。属于承担较高风险、预期收益较高的证券投资基金品种。</w:t>
      </w:r>
    </w:p>
    <w:p w:rsidR="00BD4B77" w:rsidRDefault="00877E6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BD4B77" w:rsidRDefault="00877E6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w:t>
      </w:r>
      <w:r>
        <w:rPr>
          <w:rFonts w:ascii="Times New Roman" w:hAnsi="Times New Roman"/>
          <w:kern w:val="0"/>
          <w:sz w:val="24"/>
        </w:rPr>
        <w:lastRenderedPageBreak/>
        <w:t>证。</w:t>
      </w:r>
    </w:p>
    <w:p w:rsidR="00BD4B77" w:rsidRDefault="00877E6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BD4B77" w:rsidRDefault="00877E6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04</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日，有关财务和业绩表现数据截止日为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日，财务和业绩表现数据未经审计。</w:t>
      </w:r>
    </w:p>
    <w:p w:rsidR="00BD4B77" w:rsidRDefault="00BD4B77">
      <w:pPr>
        <w:autoSpaceDE w:val="0"/>
        <w:autoSpaceDN w:val="0"/>
        <w:adjustRightInd w:val="0"/>
        <w:snapToGrid w:val="0"/>
        <w:spacing w:before="51" w:line="360" w:lineRule="auto"/>
        <w:ind w:left="120" w:rightChars="6" w:right="13" w:firstLine="480"/>
        <w:rPr>
          <w:rFonts w:ascii="宋体" w:hAnsi="宋体"/>
          <w:kern w:val="0"/>
          <w:szCs w:val="24"/>
        </w:rPr>
        <w:sectPr w:rsidR="00BD4B77">
          <w:headerReference w:type="default" r:id="rId14"/>
          <w:pgSz w:w="11920" w:h="16840"/>
          <w:pgMar w:top="1440" w:right="1680" w:bottom="280" w:left="1680" w:header="0" w:footer="1073" w:gutter="0"/>
          <w:pgNumType w:start="1"/>
          <w:cols w:space="720"/>
        </w:sectPr>
      </w:pPr>
    </w:p>
    <w:p w:rsidR="00C74B88" w:rsidRPr="00C74B88" w:rsidRDefault="00877E63" w:rsidP="00C74B88">
      <w:pPr>
        <w:pStyle w:val="ad"/>
        <w:snapToGrid w:val="0"/>
        <w:spacing w:after="240" w:line="360" w:lineRule="auto"/>
        <w:jc w:val="center"/>
        <w:rPr>
          <w:rFonts w:ascii="宋体" w:hAnsi="宋体"/>
          <w:noProof/>
          <w:sz w:val="24"/>
        </w:rPr>
      </w:pPr>
      <w:r w:rsidRPr="00C74B88">
        <w:rPr>
          <w:rFonts w:ascii="宋体" w:hAnsi="宋体"/>
          <w:color w:val="000000"/>
          <w:position w:val="-4"/>
          <w:sz w:val="24"/>
          <w:szCs w:val="30"/>
        </w:rPr>
        <w:lastRenderedPageBreak/>
        <w:t>目</w:t>
      </w:r>
      <w:r w:rsidRPr="00C74B88">
        <w:rPr>
          <w:rFonts w:ascii="宋体" w:hAnsi="宋体"/>
          <w:color w:val="000000"/>
          <w:position w:val="-4"/>
          <w:sz w:val="24"/>
          <w:szCs w:val="30"/>
        </w:rPr>
        <w:tab/>
        <w:t>录</w:t>
      </w:r>
      <w:r w:rsidR="00C74B88" w:rsidRPr="00C74B88">
        <w:rPr>
          <w:rFonts w:ascii="宋体" w:hAnsi="宋体"/>
          <w:color w:val="000000"/>
          <w:position w:val="-4"/>
          <w:sz w:val="24"/>
          <w:szCs w:val="30"/>
        </w:rPr>
        <w:fldChar w:fldCharType="begin"/>
      </w:r>
      <w:r w:rsidR="00C74B88" w:rsidRPr="00C74B88">
        <w:rPr>
          <w:rFonts w:ascii="宋体" w:hAnsi="宋体"/>
          <w:color w:val="000000"/>
          <w:position w:val="-4"/>
          <w:sz w:val="24"/>
          <w:szCs w:val="30"/>
        </w:rPr>
        <w:instrText xml:space="preserve"> TOC \o "1-3" \f - \h \t "-1" </w:instrText>
      </w:r>
      <w:r w:rsidR="00C74B88" w:rsidRPr="00C74B88">
        <w:rPr>
          <w:rFonts w:ascii="宋体" w:hAnsi="宋体"/>
          <w:color w:val="000000"/>
          <w:position w:val="-4"/>
          <w:sz w:val="24"/>
          <w:szCs w:val="30"/>
        </w:rPr>
        <w:fldChar w:fldCharType="separate"/>
      </w:r>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45" w:history="1">
        <w:r w:rsidRPr="00C74B88">
          <w:rPr>
            <w:rStyle w:val="aa"/>
            <w:rFonts w:ascii="宋体" w:hAnsi="宋体" w:hint="eastAsia"/>
            <w:noProof/>
            <w:kern w:val="0"/>
            <w:sz w:val="24"/>
          </w:rPr>
          <w:t>重要提示</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_Toc228201045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1</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46" w:history="1">
        <w:r w:rsidRPr="00C74B88">
          <w:rPr>
            <w:rStyle w:val="aa"/>
            <w:rFonts w:ascii="宋体" w:hAnsi="宋体" w:hint="eastAsia"/>
            <w:noProof/>
            <w:sz w:val="24"/>
          </w:rPr>
          <w:t>一、绪言</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_Toc228201046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4</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47" w:history="1">
        <w:r w:rsidRPr="00C74B88">
          <w:rPr>
            <w:rStyle w:val="aa"/>
            <w:rFonts w:ascii="宋体" w:hAnsi="宋体" w:hint="eastAsia"/>
            <w:noProof/>
            <w:sz w:val="24"/>
          </w:rPr>
          <w:t>二、释义</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_Toc228201047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5</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48" w:history="1">
        <w:r w:rsidRPr="00C74B88">
          <w:rPr>
            <w:rStyle w:val="aa"/>
            <w:rFonts w:ascii="宋体" w:hAnsi="宋体" w:hint="eastAsia"/>
            <w:noProof/>
            <w:sz w:val="24"/>
          </w:rPr>
          <w:t>三、基金管理人</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_Toc228201048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10</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49" w:history="1">
        <w:r w:rsidRPr="00C74B88">
          <w:rPr>
            <w:rStyle w:val="aa"/>
            <w:rFonts w:ascii="宋体" w:hAnsi="宋体" w:hint="eastAsia"/>
            <w:noProof/>
            <w:sz w:val="24"/>
          </w:rPr>
          <w:t>四、基金托管人</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_Toc228201049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18</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50" w:history="1">
        <w:r w:rsidRPr="00C74B88">
          <w:rPr>
            <w:rStyle w:val="aa"/>
            <w:rFonts w:ascii="宋体" w:hAnsi="宋体" w:hint="eastAsia"/>
            <w:noProof/>
            <w:sz w:val="24"/>
          </w:rPr>
          <w:t>五、相关服务机构</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_Toc228201050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22</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51" w:history="1">
        <w:r w:rsidRPr="00C74B88">
          <w:rPr>
            <w:rStyle w:val="aa"/>
            <w:rFonts w:ascii="宋体" w:hAnsi="宋体" w:hint="eastAsia"/>
            <w:noProof/>
            <w:sz w:val="24"/>
          </w:rPr>
          <w:t>六、基金的历史沿革</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_Toc228201051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52</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52" w:history="1">
        <w:r w:rsidRPr="00C74B88">
          <w:rPr>
            <w:rStyle w:val="aa"/>
            <w:rFonts w:ascii="宋体" w:hAnsi="宋体" w:hint="eastAsia"/>
            <w:noProof/>
            <w:sz w:val="24"/>
          </w:rPr>
          <w:t>七、基金合同的生效</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_Toc228201052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53</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53" w:history="1">
        <w:r w:rsidRPr="00C74B88">
          <w:rPr>
            <w:rStyle w:val="aa"/>
            <w:rFonts w:ascii="宋体" w:hAnsi="宋体" w:hint="eastAsia"/>
            <w:noProof/>
            <w:sz w:val="24"/>
          </w:rPr>
          <w:t>八、基金份额的申购与赎回</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_Toc228201053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54</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54" w:history="1">
        <w:r w:rsidRPr="00C74B88">
          <w:rPr>
            <w:rStyle w:val="aa"/>
            <w:rFonts w:ascii="宋体" w:hAnsi="宋体" w:hint="eastAsia"/>
            <w:noProof/>
            <w:sz w:val="24"/>
          </w:rPr>
          <w:t>九、基金的转换</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_Toc228201054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67</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55" w:history="1">
        <w:r w:rsidRPr="00C74B88">
          <w:rPr>
            <w:rStyle w:val="aa"/>
            <w:rFonts w:ascii="宋体" w:hAnsi="宋体" w:hint="eastAsia"/>
            <w:noProof/>
            <w:sz w:val="24"/>
          </w:rPr>
          <w:t>十、基金的投资</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_Toc228201055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74</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56" w:history="1">
        <w:r w:rsidRPr="00C74B88">
          <w:rPr>
            <w:rStyle w:val="aa"/>
            <w:rFonts w:ascii="宋体" w:hAnsi="宋体" w:hint="eastAsia"/>
            <w:noProof/>
            <w:sz w:val="24"/>
          </w:rPr>
          <w:t>十一、基金的业绩</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_Toc228201056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87</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57" w:history="1">
        <w:r w:rsidRPr="00C74B88">
          <w:rPr>
            <w:rStyle w:val="aa"/>
            <w:rFonts w:ascii="宋体" w:hAnsi="宋体" w:hint="eastAsia"/>
            <w:noProof/>
            <w:sz w:val="24"/>
          </w:rPr>
          <w:t>十二、基金的财产</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_Toc228201057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90</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58" w:history="1">
        <w:r w:rsidRPr="00C74B88">
          <w:rPr>
            <w:rStyle w:val="aa"/>
            <w:rFonts w:ascii="宋体" w:hAnsi="宋体" w:hint="eastAsia"/>
            <w:noProof/>
            <w:sz w:val="24"/>
          </w:rPr>
          <w:t>十三、基金资产的估值</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_Toc228201058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91</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59" w:history="1">
        <w:r w:rsidRPr="00C74B88">
          <w:rPr>
            <w:rStyle w:val="aa"/>
            <w:rFonts w:ascii="宋体" w:hAnsi="宋体" w:hint="eastAsia"/>
            <w:noProof/>
            <w:sz w:val="24"/>
          </w:rPr>
          <w:t>十四、基金收益与分配</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_Toc228201059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96</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60" w:history="1">
        <w:r w:rsidRPr="00C74B88">
          <w:rPr>
            <w:rStyle w:val="aa"/>
            <w:rFonts w:ascii="宋体" w:hAnsi="宋体" w:hint="eastAsia"/>
            <w:noProof/>
            <w:sz w:val="24"/>
          </w:rPr>
          <w:t>十五、基金的费用与税收</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_Toc228201060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98</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61" w:history="1">
        <w:r w:rsidRPr="00C74B88">
          <w:rPr>
            <w:rStyle w:val="aa"/>
            <w:rFonts w:ascii="宋体" w:hAnsi="宋体" w:hint="eastAsia"/>
            <w:noProof/>
            <w:sz w:val="24"/>
          </w:rPr>
          <w:t>十六、基金的会计与审计</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_Toc228201061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101</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62" w:history="1">
        <w:r w:rsidRPr="00C74B88">
          <w:rPr>
            <w:rStyle w:val="aa"/>
            <w:rFonts w:ascii="宋体" w:hAnsi="宋体" w:hint="eastAsia"/>
            <w:noProof/>
            <w:sz w:val="24"/>
          </w:rPr>
          <w:t>十七、基金的信息披露</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_Toc228201062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102</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63" w:history="1">
        <w:r w:rsidRPr="00C74B88">
          <w:rPr>
            <w:rStyle w:val="aa"/>
            <w:rFonts w:ascii="宋体" w:hAnsi="宋体" w:hint="eastAsia"/>
            <w:noProof/>
            <w:sz w:val="24"/>
          </w:rPr>
          <w:t>十八、风险揭示</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_Toc228201063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108</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64" w:history="1">
        <w:r w:rsidRPr="00C74B88">
          <w:rPr>
            <w:rStyle w:val="aa"/>
            <w:rFonts w:ascii="宋体" w:hAnsi="宋体" w:hint="eastAsia"/>
            <w:noProof/>
            <w:sz w:val="24"/>
          </w:rPr>
          <w:t>十九、基金合同的变更、终止与基金财产的清算</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_Toc228201064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115</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65" w:history="1">
        <w:r w:rsidRPr="00C74B88">
          <w:rPr>
            <w:rStyle w:val="aa"/>
            <w:rFonts w:ascii="宋体" w:hAnsi="宋体" w:hint="eastAsia"/>
            <w:noProof/>
            <w:sz w:val="24"/>
          </w:rPr>
          <w:t>二十、基金合同内容摘要</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_Toc228201065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117</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66" w:history="1">
        <w:r w:rsidRPr="00C74B88">
          <w:rPr>
            <w:rStyle w:val="aa"/>
            <w:rFonts w:ascii="宋体" w:hAnsi="宋体" w:hint="eastAsia"/>
            <w:noProof/>
            <w:sz w:val="24"/>
          </w:rPr>
          <w:t>二十一、托管协议的内容摘要</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_Toc228201066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133</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67" w:history="1">
        <w:r w:rsidRPr="00C74B88">
          <w:rPr>
            <w:rStyle w:val="aa"/>
            <w:rFonts w:ascii="宋体" w:hAnsi="宋体" w:hint="eastAsia"/>
            <w:noProof/>
            <w:sz w:val="24"/>
          </w:rPr>
          <w:t>二十二、对基金份额持有人的服务</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_Toc228201067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150</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68" w:history="1">
        <w:r w:rsidRPr="00C74B88">
          <w:rPr>
            <w:rStyle w:val="aa"/>
            <w:rFonts w:ascii="宋体" w:hAnsi="宋体" w:hint="eastAsia"/>
            <w:noProof/>
            <w:sz w:val="24"/>
          </w:rPr>
          <w:t>二十三、其他应披露事项</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_Toc228201068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152</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69" w:history="1">
        <w:r w:rsidRPr="00C74B88">
          <w:rPr>
            <w:rStyle w:val="aa"/>
            <w:rFonts w:ascii="宋体" w:hAnsi="宋体" w:hint="eastAsia"/>
            <w:noProof/>
            <w:sz w:val="24"/>
          </w:rPr>
          <w:t>二十四、招募说明书的存放及查阅方式</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_Toc228201069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154</w:t>
        </w:r>
        <w:r w:rsidRPr="00C74B88">
          <w:rPr>
            <w:rFonts w:ascii="宋体" w:hAnsi="宋体"/>
            <w:noProof/>
            <w:sz w:val="24"/>
          </w:rPr>
          <w:fldChar w:fldCharType="end"/>
        </w:r>
      </w:hyperlink>
    </w:p>
    <w:p w:rsidR="00C74B88" w:rsidRPr="00C74B88" w:rsidRDefault="00C74B88" w:rsidP="00C74B88">
      <w:pPr>
        <w:pStyle w:val="10"/>
        <w:tabs>
          <w:tab w:val="right" w:leader="dot" w:pos="8550"/>
        </w:tabs>
        <w:spacing w:line="360" w:lineRule="auto"/>
        <w:rPr>
          <w:rFonts w:ascii="宋体" w:hAnsi="宋体" w:cstheme="minorBidi"/>
          <w:noProof/>
          <w:sz w:val="24"/>
        </w:rPr>
      </w:pPr>
      <w:hyperlink w:anchor="_Toc228201070" w:history="1">
        <w:r w:rsidRPr="00C74B88">
          <w:rPr>
            <w:rStyle w:val="aa"/>
            <w:rFonts w:ascii="宋体" w:hAnsi="宋体" w:hint="eastAsia"/>
            <w:noProof/>
            <w:sz w:val="24"/>
          </w:rPr>
          <w:t>二十五、备查文件</w:t>
        </w:r>
        <w:r w:rsidRPr="00C74B88">
          <w:rPr>
            <w:rFonts w:ascii="宋体" w:hAnsi="宋体"/>
            <w:noProof/>
            <w:sz w:val="24"/>
          </w:rPr>
          <w:tab/>
        </w:r>
        <w:r w:rsidRPr="00C74B88">
          <w:rPr>
            <w:rFonts w:ascii="宋体" w:hAnsi="宋体"/>
            <w:noProof/>
            <w:sz w:val="24"/>
          </w:rPr>
          <w:fldChar w:fldCharType="begin"/>
        </w:r>
        <w:r w:rsidRPr="00C74B88">
          <w:rPr>
            <w:rFonts w:ascii="宋体" w:hAnsi="宋体"/>
            <w:noProof/>
            <w:sz w:val="24"/>
          </w:rPr>
          <w:instrText xml:space="preserve"> PAGEREF _Toc228201070 \h </w:instrText>
        </w:r>
        <w:r w:rsidRPr="00C74B88">
          <w:rPr>
            <w:rFonts w:ascii="宋体" w:hAnsi="宋体"/>
            <w:noProof/>
            <w:sz w:val="24"/>
          </w:rPr>
        </w:r>
        <w:r w:rsidRPr="00C74B88">
          <w:rPr>
            <w:rFonts w:ascii="宋体" w:hAnsi="宋体"/>
            <w:noProof/>
            <w:sz w:val="24"/>
          </w:rPr>
          <w:fldChar w:fldCharType="separate"/>
        </w:r>
        <w:r w:rsidRPr="00C74B88">
          <w:rPr>
            <w:rFonts w:ascii="宋体" w:hAnsi="宋体"/>
            <w:noProof/>
            <w:sz w:val="24"/>
          </w:rPr>
          <w:t>155</w:t>
        </w:r>
        <w:r w:rsidRPr="00C74B88">
          <w:rPr>
            <w:rFonts w:ascii="宋体" w:hAnsi="宋体"/>
            <w:noProof/>
            <w:sz w:val="24"/>
          </w:rPr>
          <w:fldChar w:fldCharType="end"/>
        </w:r>
      </w:hyperlink>
    </w:p>
    <w:p w:rsidR="00BD4B77" w:rsidRPr="00C74B88" w:rsidRDefault="00C74B88" w:rsidP="00C74B88">
      <w:pPr>
        <w:pStyle w:val="ad"/>
        <w:snapToGrid w:val="0"/>
        <w:spacing w:after="240" w:line="360" w:lineRule="auto"/>
        <w:jc w:val="center"/>
        <w:rPr>
          <w:rFonts w:ascii="宋体" w:hAnsi="宋体"/>
          <w:color w:val="000000"/>
          <w:sz w:val="24"/>
        </w:rPr>
      </w:pPr>
      <w:r w:rsidRPr="00C74B88">
        <w:rPr>
          <w:rFonts w:ascii="宋体" w:hAnsi="宋体"/>
          <w:color w:val="000000"/>
          <w:position w:val="-4"/>
          <w:sz w:val="24"/>
          <w:szCs w:val="30"/>
        </w:rPr>
        <w:fldChar w:fldCharType="end"/>
      </w:r>
      <w:bookmarkStart w:id="3" w:name="_GoBack"/>
      <w:bookmarkEnd w:id="3"/>
    </w:p>
    <w:p w:rsidR="00BD4B77" w:rsidRDefault="00BD4B77">
      <w:pPr>
        <w:autoSpaceDE w:val="0"/>
        <w:autoSpaceDN w:val="0"/>
        <w:adjustRightInd w:val="0"/>
        <w:snapToGrid w:val="0"/>
        <w:spacing w:line="360" w:lineRule="auto"/>
        <w:ind w:left="120" w:rightChars="6" w:right="13"/>
        <w:rPr>
          <w:rFonts w:ascii="宋体" w:hAnsi="宋体"/>
          <w:kern w:val="0"/>
          <w:szCs w:val="24"/>
        </w:rPr>
        <w:sectPr w:rsidR="00BD4B77">
          <w:pgSz w:w="11920" w:h="16840"/>
          <w:pgMar w:top="1480" w:right="1680" w:bottom="280" w:left="1680" w:header="0" w:footer="1073" w:gutter="0"/>
          <w:cols w:space="720"/>
        </w:sectPr>
      </w:pPr>
    </w:p>
    <w:p w:rsidR="00BD4B77" w:rsidRDefault="00877E63">
      <w:pPr>
        <w:pStyle w:val="1"/>
        <w:snapToGrid w:val="0"/>
        <w:spacing w:beforeLines="0" w:before="240" w:after="240"/>
        <w:rPr>
          <w:rFonts w:ascii="宋体" w:hAnsi="宋体"/>
          <w:szCs w:val="30"/>
        </w:rPr>
      </w:pPr>
      <w:bookmarkStart w:id="4" w:name="_Toc228201046"/>
      <w:r>
        <w:rPr>
          <w:rFonts w:ascii="Times New Roman" w:hAnsi="Times New Roman"/>
          <w:sz w:val="30"/>
        </w:rPr>
        <w:lastRenderedPageBreak/>
        <w:t>一、绪言</w:t>
      </w:r>
      <w:bookmarkEnd w:id="4"/>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新回报灵活配置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新回报灵活配置混合型证券投资基金基金合同》（以下简称“基金合同”）编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5" w:name="_Toc228201047"/>
      <w:r>
        <w:rPr>
          <w:rFonts w:ascii="Times New Roman" w:hAnsi="Times New Roman"/>
          <w:sz w:val="30"/>
        </w:rPr>
        <w:lastRenderedPageBreak/>
        <w:t>二、释义</w:t>
      </w:r>
      <w:bookmarkEnd w:id="5"/>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1、基金或本基金：指交银施罗德新回报灵活配置混合型证券投资基金</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3、基金托管人或本基金托管人：指中信银行股份有限公司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4、基金合同或《基金合同》：指《交银施罗德新回报灵活配置混合型证券投资基金基金合同》及对基金合同的任何有效修订和补充</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5、托管协议：指基金管理人与基金托管人就本基金签订之《交银施罗德新回报灵活配置混合型证券投资基金托管协议》及对该托管协议的任何有效修订和补充</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6、招募说明书、《招募说明书》或本招募说明书：指《交银施罗德新回报灵活配置混合型证券投资基金招募说明书》及其更新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7、基金份额发售公告：指《交银施罗德新回报灵活配置混合型证券投资基金基金份额发售公告》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8、基金产品资料概要：指《交银施罗德新回报灵活配置混合型证券投资基金基金产品资料概要》及其更新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2003年10月28日经第十届全国人民代表大会常务委员会第五次会议通过，并经2012年12月28日第十一届全国人民代表大会常务委员会第三十次会议修订，自2013年6月1日起实施的《中华人民共和国证券投资基金法》及其后颁布机关对其不时做出的修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11、《销售办法》：指中国证监会2013年3月15日颁布、同年6月1日实施的《证券投资基金销售管理办法》及颁布机关对其不时做出的修订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12、《信息披露办法》：指中国证监会2019年7月26日颁布、同年9月1日实施的《公开募集证券投资基金信息披露管理办法》及颁布机关对其不时做出的修订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13、《运作办法》：指中国证监会2014年7月7日颁布、同年8月8日实施的《公开募集证券投资基金运作管理办法》及颁布机关对其不时做出的修订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w:t>
      </w:r>
      <w:r>
        <w:rPr>
          <w:rFonts w:ascii="宋体" w:hAnsi="宋体"/>
          <w:sz w:val="24"/>
        </w:rPr>
        <w:lastRenderedPageBreak/>
        <w:t>修订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16、银行业监督管理机构：指中国人民银行和/或中国银行业监督管理委员会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w:t>
      </w:r>
      <w:r>
        <w:rPr>
          <w:rFonts w:ascii="宋体" w:hAnsi="宋体"/>
          <w:sz w:val="24"/>
        </w:rPr>
        <w:lastRenderedPageBreak/>
        <w:t>理的基金份额余额及其变动情况的账户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29、基金交易账户：指销售机构为投资人开立的、记录投资人通过该销售机构办理认购、申购、赎回、转换及转托管等业务而引起的基金份额变动及结余情况的账户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43、销售服务费：指从基金资产中计提的，用于本基金市场推广、销售以及基金份额持有人服务的费用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44、基金份额类别：本基金根据申购费用、赎回费用及销售服务费收取方式的不同，将基金份额分为不同的类别。两类基金份额分设不同的基金代码，并分别公布基金份额净值和基金资产净值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45、A类基金份额：指对投资者收取申购费用、赎回时收取赎回费用的，且不从本类别基金资产中计提销售服务费的基金份额</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46、C类基金份额：指对投资者不收取申购费用、赎回时收取赎回费用的，且从本类别基金资产中计提销售服务费的基金份额</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47、基金转换：指基金份额持有人按照基金合同和基金管理人届时有效公告规定的条件，申请将其持有基金管理人管理的、某一基金的基金份额转换为基金管理人管理的其他基金基金份额的行为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48、转托管：指基金份额持有人在本基金的不同销售机构之间实施的变更所持基金份额销售机构的操作</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51、元：指人民币元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52、基金收益：指基金投资所得红利、股息、债券利息、买卖证券价差、银行存款利息、已实现的其他合法收入及因运用基金财产带来的成本和费用的节约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53、基金资产总值：指基金拥有的各类有价证券、股指期货合约、银行存款本息、基金应收申购款及其他资产的价值总和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54、基金资产净值：指基金资产总值减去基金负债后的价值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55、基金份额净值：指计算日基金资产净值除以计算日基金份额总数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56、基金资产估值：指计算评估基金资产和负债的价值，以确定基金资产净值和基金份额净值的过程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w:t>
      </w:r>
      <w:r>
        <w:rPr>
          <w:rFonts w:ascii="宋体" w:hAnsi="宋体"/>
          <w:sz w:val="24"/>
        </w:rPr>
        <w:lastRenderedPageBreak/>
        <w:t>及非公开发行股票、资产支持证券、因发行人债务违约无法进行转让或交易的债券等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58、指定媒介：指中国证监会指定的用以进行信息披露的全国性报刊及指定互联网网站（包括基金管理人网站、基金托管人网站、中国证监会基金电子披露网站）等媒介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59、不可抗力：指基金合同当事人不能预见、不能避免且不能克服的客观事件</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6" w:name="_Toc228201048"/>
      <w:r>
        <w:rPr>
          <w:rFonts w:ascii="Times New Roman" w:hAnsi="Times New Roman"/>
          <w:sz w:val="30"/>
        </w:rPr>
        <w:lastRenderedPageBreak/>
        <w:t>三、基金管理人</w:t>
      </w:r>
      <w:bookmarkEnd w:id="6"/>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艺伟女士:基金经理。北京大学经济学硕士，吉林大学经济学学士、理学学士。14年证券投资行业从业经验。2012年至2014年任光大证券研究所宏观分析师。2014年加入交银施罗德基金管理有限公司，曾任研究员、研究部助理总经理、基金经理助理、固定收益部基金经理，现任混合资产投资助理总监、基金经理。曾任交银施罗德荣鑫灵活配置混合型证券投资基金(2019年11月28日至2023年02月16日)、交银施罗德安心收益债券型证券投资基金(2019年11月28日至2022年01月26日)、交银施罗德优择回报灵活配置混合型证券投资基金(2020年07月09日至2024年12月07日)、交银施罗德优选回报灵活配置混合型证券投资基金(2020年07月09日至2024年12月03日)、交银施罗德稳进回报六个月持有期混合型证券投资基金(2023年02月01日至2025年03月15日)、交银施罗德稳悦回报债券型证券投资基金(2024年03月27日至2026年03月04日)的基金经理。现任交银施罗德新回报灵活配置混合型证券投资基金(2020年07月09日至今)、交银施罗德瑞鑫六个月持有期混合型证券投资基金(2020年07月09日至今)、交银施罗德恒益灵活配置混合型证券投资基金(2020年07月09日至今)、交银施罗德多策略回报灵活配置混合型证券投资基金(2020年07月09日至今)、交银施罗德周期回报灵活配置混合型证券投资基金(2020年07月09日至今)、交银施罗德臻选回报混合型证券投资基金(2020年12月23日至今)的基金经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湘怡女士:基金经理。武汉纺织大学会计学学士。16年证券投资行业从业经验，曾任中海基金管理有限公司交易员。2015年加入交银施罗德基金管理有限公司，历任中央交易室高级交易员、专户投资部投资经理、混合资产投资部投资经理、基金经理助理，现任混合资产投资部基金经理。现任交银施罗德稳进回报六个月持有期混合型证券投资基金(2024年10月23日至今)、交银施罗德稳悦回报债券型证券投资基金(2024年10月23日至今)、交银施罗德周期回报灵活配置混合型证券投资基金(2024年12月17日至今)、交银施罗德瑞鑫六个月持有期混合型证券投资基金(2024年12月26日至今)、交银施罗德新回报灵活配置混合型证券投资基金(2024年</w:t>
      </w:r>
      <w:r>
        <w:rPr>
          <w:rFonts w:ascii="宋体" w:hAnsi="宋体"/>
          <w:sz w:val="24"/>
        </w:rPr>
        <w:lastRenderedPageBreak/>
        <w:t>12月26日至今)、交银施罗德恒益灵活配置混合型证券投资基金(2024年12月26日至今)的基金经理。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项廷锋先生(2015年05月15日至2015年10月06日)；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李娜女士(2015年08月04日至2020年12月18日)；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凌超先生(2019年07月20日至2020年07月22日)。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1、基金管理人承诺不从事违反《中华人民共和国证券法》的行为，并承诺建立健全内部控制制度，采取有效措施，防止违反《中华人民共和国证券法》行为的发生；</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通过科学的内控手段和方法，建立合理的内控程序，维护内控制度的有效执行。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w:t>
      </w:r>
      <w:r>
        <w:rPr>
          <w:rFonts w:ascii="宋体" w:hAnsi="宋体"/>
          <w:sz w:val="24"/>
        </w:rPr>
        <w:lastRenderedPageBreak/>
        <w:t>情况。</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w:t>
      </w:r>
      <w:r>
        <w:rPr>
          <w:rFonts w:ascii="宋体" w:hAnsi="宋体"/>
          <w:sz w:val="24"/>
        </w:rPr>
        <w:lastRenderedPageBreak/>
        <w:t>公司建立了自下而上的风险报告程序，对风险隐患进行层层汇报，使各个层次的人员及时掌握风险状况，从而以最快速度作出决策。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7" w:name="_Toc228201049"/>
      <w:r>
        <w:rPr>
          <w:rFonts w:ascii="Times New Roman" w:hAnsi="Times New Roman"/>
          <w:sz w:val="30"/>
        </w:rPr>
        <w:lastRenderedPageBreak/>
        <w:t>四、基金托管人</w:t>
      </w:r>
      <w:bookmarkEnd w:id="7"/>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w:t>
      </w:r>
      <w:r>
        <w:rPr>
          <w:rFonts w:ascii="宋体" w:hAnsi="宋体"/>
          <w:sz w:val="24"/>
        </w:rPr>
        <w:lastRenderedPageBreak/>
        <w:t>交易所和香港联合交易所A+H 股同步上市。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报告期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方合英先生，本行党委书记、董事长、执行董事，代为履行行长职责。方先生</w:t>
      </w:r>
      <w:r>
        <w:rPr>
          <w:rFonts w:ascii="宋体" w:hAnsi="宋体"/>
          <w:sz w:val="24"/>
        </w:rPr>
        <w:lastRenderedPageBreak/>
        <w:t>于2020年12月起任中国中信集团有限公司副总经理、中国中信股份有限公司副总经理及执行委员会成员、中国中信有限公司副总经理，2020年11月起任中国中信集团有限公司党委委员。方先生曾任本行苏州分行行长、杭州分行行长、本行金融市场业务总监、副行长、财务总监。此前，先后在浙江银行学校任教，浙江银行学校实验城市信用社信贷部任总经理助理等。方先生具有三十余年银行从业经验，毕业于湖南财经学院（现湖南大学），获北京大学高级管理人员工商管理硕士学位，正高级经济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w:t>
      </w:r>
      <w:r>
        <w:rPr>
          <w:rFonts w:ascii="宋体" w:hAnsi="宋体"/>
          <w:sz w:val="24"/>
        </w:rPr>
        <w:lastRenderedPageBreak/>
        <w:t>持续、稳健发展；加强稽核监察，建立高效的风险监控体系，及时有效地发现、分析、控制和避免风险，确保基金财产安全，维护基金份额持有人利益。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8" w:name="_Toc228201050"/>
      <w:r>
        <w:rPr>
          <w:rFonts w:ascii="Times New Roman" w:hAnsi="Times New Roman"/>
          <w:sz w:val="30"/>
        </w:rPr>
        <w:lastRenderedPageBreak/>
        <w:t>五、相关服务机构</w:t>
      </w:r>
      <w:bookmarkEnd w:id="8"/>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本基金直销机构为基金管理人以及基金管理人的网上直销交易平台（包括网站及手机APP，下同）。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的申购、赎回、定期定额投资、转换等业务、本基金C类基金份额的申购、赎回、转换等业务，具体交易细则请参阅基金管理人网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本基金A类基金份额除直销机构外的其他场外销售机构：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网址：http://www.jnbank.com.cn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（2）名称：华夏银行股份有限公司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（3）名称：北京银行股份有限公司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住所：北京市西城区金融大街甲17号首层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办公地址：北京市西城区金融大街甲17号首层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法定代表人：张东宁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传真：（010）66226045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联系人：孔超</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网址：www.bankofbeijing.com.cn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（4）名称：中国民生银行股份有限公司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（5）名称：东莞农村商业银行股份有限公司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联系人：林培珊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（6）名称：中信银行股份有限公司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（7）名称：上海银行股份有限公司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（8）名称：交通银行股份有限公司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（9）名称：招商银行股份有限公司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（10）名称：宁波银行股份有限公司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（11）名称：上海浦东发展银行股份有限公司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（12）名称：平安银行股份有限公司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电话：0755-22166574</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（13）名称：中国银河证券股份有限公司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（14）名称：中国中金财富证券有限公司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（15）名称：德邦证券股份有限公司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（16）名称：中信建投证券股份有限公司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（17）名称：东方财富证券股份有限公司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（18）名称：国信证券股份有限公司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（19）名称：华龙证券股份有限公司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电话：（0931）4890208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（20）名称：国新证券股份有限公司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（21）名称：西南证券股份有限公司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（22）名称：信达证券股份有限公司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客户服务电话：95321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（23）名称：国金证券股份有限公司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（24）名称：中国国际金融股份有限公司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（25）名称：江海证券有限公司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（26）名称：中泰证券股份有限公司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法定代表人：王洪</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（27）名称：平安证券股份有限公司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（28）名称：国都证券股份有限公司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（29）名称：申万宏源证券有限公司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（30）名称：申万宏源西部证券有限公司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住所：新疆乌鲁木齐市建设路2号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（31）名称：国联民生证券股份有限公司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（32）名称：广发证券股份有限公司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（33）名称：湘财证券股份有限公司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传真：（021）68865680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（34）名称：天风证券股份有限公司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（35）名称：华宝证券股份有限公司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（36）名称：华西证券股份有限公司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网址：www.hx168.com.cn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（37）名称：方正证券股份有限公司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（38）名称：山西证券股份有限公司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（39）名称：第一创业证券股份有限公司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（40）名称：华福证券股份有限公司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法定代表人：黄德良</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（41）名称：华泰证券股份有限公司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（42）名称：中信证券（山东）有限责任公司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（43）名称：中信证券股份有限公司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（44）名称：中信证券华南股份有限公司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（45）名称：国泰海通证券股份有限公司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（46）名称：海通证券股份有限公司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（47）名称：上海中欧财富基金销售有限公司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法定代表人：许欣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（48）名称：大连网金基金销售有限公司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（49）名称：阳光人寿保险股份有限公司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（50）名称：玄元保险代理有限公司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客户服务电话：400-080-8208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（51）名称：京东肯特瑞基金销售有限公司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（52）名称：上海大智慧基金销售有限公司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（53）名称：珠海盈米基金销售有限公司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（54）名称：上海华夏财富投资管理有限公司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（55）名称：北京度小满基金销售有限公司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（56）名称：南京苏宁基金销售有限公司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（57）名称：嘉实财富管理有限公司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办公地址及其联系方式：北京市朝阳区建国门外大街21号北京国际俱乐部C座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（58）名称：北京汇成基金销售有限公司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（59）名称：上海利得基金销售有限公司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（60）名称：北京虹点基金销售有限公司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联系人：姜颖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（61）名称：上海挖财基金销售有限公司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（62）名称：万家财富基金销售（天津）有限公司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（63）名称：上海万得基金销售有限公司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 www.520fund.com.cn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（64）名称：格上富信投资顾问有限公司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（65）名称：深圳市金斧子基金销售有限公司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（66）名称：北京雪球基金销售有限公司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（67）名称：北京新浪仓石基金销售有限公司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w:t>
      </w:r>
      <w:r>
        <w:rPr>
          <w:rFonts w:ascii="宋体" w:hAnsi="宋体"/>
          <w:sz w:val="24"/>
        </w:rPr>
        <w:lastRenderedPageBreak/>
        <w:t>新浪总部科研楼5层518室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（68）名称：中证金牛（北京）基金销售有限公司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（69）名称：上海证达通基金销售有限公司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（70）名称：北京创金启富基金销售有限公司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电话：010-66154828-8047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（71）名称：奕丰基金销售有限公司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（72）名称：上海天天基金销售有限公司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（73）名称：和讯信息科技有限公司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联系人：周轶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（74）名称：诺亚正行基金销售有限公司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（75）名称：上海好买基金销售有限公司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（76）名称：上海长量基金销售有限公司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（77）名称：深圳众禄基金销售股份有限公司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住所：深圳市罗湖区梨园路物资控股置地大厦8楼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（78）名称：天相投资顾问有限公司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（79）名称：上海基煜基金销售有限公司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（80）名称：浙江同花顺基金销售有限公司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法定代表人：吴强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（81）名称：宜信普泽（北京）基金销售有限公司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（82）名称：上海联泰基金销售有限公司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（83）名称：北京广源达信基金销售有限公司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联系人：赵明锦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（84）名称：深圳市新兰德证券投资咨询有限公司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（85）名称：北京展恒基金销售股份有限公司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（86）名称：泛华普益基金销售有限公司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（87）名称：和耕传承基金销售有限公司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（88）名称：腾安基金销售（深圳）有限公司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（89）名称：中国人寿保险股份有限公司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（90）名称：济安财富（北京）基金销售有限公司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传真：010-65330699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（91）名称：中信百信银行股份有限公司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住所：北京市朝阳区安定路5号院3号楼8层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办公地址：北京市朝阳区安定路5号院3号楼8-11层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法定代表人：寇冠</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电话：010-86496277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传真：010-86496277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联系人：韩晓彤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客户服务电话：956186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网址：www.aibank.com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（92）名称：博时财富基金销售有限公司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（93）名称：深圳前海微众银行股份有限公司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客户服务电话：95384</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（94）名称：上海陆金所基金销售有限公司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（95）名称：中信期货有限公司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（96）名称：蚂蚁（杭州）基金销售有限公司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网址：www.fund123.cn</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联系人：孙睿</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经办律师：黎明、孙睿</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9" w:name="_Toc228201051"/>
      <w:r>
        <w:rPr>
          <w:rFonts w:ascii="Times New Roman" w:hAnsi="Times New Roman"/>
          <w:sz w:val="30"/>
        </w:rPr>
        <w:lastRenderedPageBreak/>
        <w:t>六、基金的历史沿革</w:t>
      </w:r>
      <w:bookmarkEnd w:id="9"/>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2015年[4]月[21]日证监许可[2015]678号文准予募集注册。基金管理人为交银施罗德基金管理有限公司，基金托管人为中信银行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本基金为契约型开放式混合型证券投资基金。基金存续期间为不定期。</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本基金于2015年5月12日进行发售。本基金设立募集期共募集8,747,076,426.25份基金份额，有效认购户数为2,378户。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和《交银施罗德新回报灵活配置混合型证券投资基金基金合同》的有关规定，经与基金托管人协商一致并报中国证券监督管理委员会备案，本基金自2015年11月19日起增加收取销售服务费的C类基金份额，并相应修改基金合同和托管协议相关表述。</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10" w:name="_Toc228201052"/>
      <w:r>
        <w:rPr>
          <w:rFonts w:ascii="Times New Roman" w:hAnsi="Times New Roman"/>
          <w:sz w:val="30"/>
        </w:rPr>
        <w:lastRenderedPageBreak/>
        <w:t>七、基金合同的生效</w:t>
      </w:r>
      <w:bookmarkEnd w:id="10"/>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根据有关规定，本基金满足基金合同生效条件，基金合同已于2015年5月15日正式生效。自基金合同生效之日起，本基金管理人正式开始管理本基金。</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不需召开基金份额持有人大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11" w:name="_Toc228201053"/>
      <w:r>
        <w:rPr>
          <w:rFonts w:ascii="Times New Roman" w:hAnsi="Times New Roman"/>
          <w:sz w:val="30"/>
        </w:rPr>
        <w:lastRenderedPageBreak/>
        <w:t>八、基金份额的申购与赎回</w:t>
      </w:r>
      <w:bookmarkEnd w:id="11"/>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的申购、赎回、定期定额投资、转换等业务以及本基金C类基金份额的申购、赎回、转换等业务，具体交易细则请参阅基金管理人网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如有其他销售机构新增办理本基金的申购赎回等业务，请以本公司届时相关公告为准。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本基金A类、C类基金份额已分别于2015年7月9日、2015年11月19日起开放申购业务。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本基金A类、C类基金份额已分别于2015年7月9日、2015年11月19日起开放赎回业务。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1、“未知价”原则，即申购、赎回价格以申请当日收市后计算的各类基金份额净值为基准进行计算；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w:t>
      </w:r>
      <w:r>
        <w:rPr>
          <w:rFonts w:ascii="宋体" w:hAnsi="宋体"/>
          <w:sz w:val="24"/>
        </w:rPr>
        <w:lastRenderedPageBreak/>
        <w:t>份额时，申购生效。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本基金基金份额分为A类和C类基金份额，投资人申购A类基金份额在申购时支付申购费用，申购C类基金份额不支付申购费用，而是从该类别基金资产中计提销售服务费。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本基金A类基金份额的申购费用由基金申购人承担，不列入基金财产，主要用于本基金的市场推广、销售、登记等各项费用。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BD4B7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BD4B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D4B77" w:rsidRDefault="00BD4B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BD4B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D4B77" w:rsidRDefault="00BD4B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BD4B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D4B77" w:rsidRDefault="00BD4B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BD4B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D4B77" w:rsidRDefault="00BD4B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BD4B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D4B77" w:rsidRDefault="00BD4B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因红利自动再投资而产生的A类基金份额，不收取相应的申购费用。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也将发布临时公告将其纳入养老金客户范围，并按规定向中国证监会备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BD4B7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类基金份额的特定申购费率</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BD4B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D4B77" w:rsidRDefault="00BD4B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BD4B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D4B77" w:rsidRDefault="00BD4B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BD4B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D4B77" w:rsidRDefault="00BD4B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rsidR="00BD4B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D4B77" w:rsidRDefault="00BD4B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BD4B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D4B77" w:rsidRDefault="00BD4B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BD4B7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w:t>
            </w:r>
            <w:r>
              <w:rPr>
                <w:rFonts w:ascii="Times New Roman" w:hAnsi="Times New Roman"/>
                <w:color w:val="000000"/>
                <w:kern w:val="0"/>
                <w:sz w:val="25"/>
                <w:szCs w:val="24"/>
              </w:rPr>
              <w:lastRenderedPageBreak/>
              <w:t>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BD4B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D4B77" w:rsidRDefault="00BD4B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BD4B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D4B77" w:rsidRDefault="00BD4B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BD4B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D4B77" w:rsidRDefault="00BD4B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—6</w:t>
            </w:r>
            <w:r>
              <w:rPr>
                <w:rFonts w:ascii="Times New Roman" w:hAnsi="Times New Roman"/>
                <w:color w:val="000000"/>
                <w:kern w:val="0"/>
                <w:sz w:val="25"/>
                <w:szCs w:val="24"/>
              </w:rPr>
              <w:t>个月</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BD4B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D4B77" w:rsidRDefault="00BD4B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r>
              <w:rPr>
                <w:rFonts w:ascii="Times New Roman" w:hAnsi="Times New Roman"/>
                <w:color w:val="000000"/>
                <w:kern w:val="0"/>
                <w:sz w:val="25"/>
                <w:szCs w:val="24"/>
              </w:rPr>
              <w:t>个月以上（含）</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上表中的“月”指的是30个自然日。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上述“月”指的是30个自然日。其余用于支付登记费和其他必要的手续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BD4B7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BD4B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D4B77" w:rsidRDefault="00BD4B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BD4B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D4B77" w:rsidRDefault="00BD4B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—30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BD4B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D4B77" w:rsidRDefault="00BD4B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天以上（含）</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和赎回费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（1）本基金A类基金份额申购的有效份额为净申购金额除以当日的A类基金份额净值，有效份额单位为份，申购有效份额的计算按四舍五入方法，保留到小数点</w:t>
      </w:r>
      <w:r>
        <w:rPr>
          <w:rFonts w:ascii="宋体" w:hAnsi="宋体"/>
          <w:sz w:val="24"/>
        </w:rPr>
        <w:lastRenderedPageBreak/>
        <w:t>后两位，由此产生的收益或损失由基金财产承担。本基金C类基金份额不收取申购费用，申购的有效份额为申购金额除以当日的C类基金份额净值，有效份额单位为份，申购份额计算结果按四舍五入方法，保留到小数点后2位，由此产生的收益或损失由基金财产承担。</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各类基金份额净值并扣除相应的费用（如有），赎回金额单位为元。赎回金额计算结果按四舍五入方法，保留到小数点后2位，由此产生的收益或损失由基金财产承担。</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例一：某投资者（非养老金客户）投资40,000元申购本基金的A类基金份额，假设申购当日A类基金份额净值为1.0400元，申购费率为1.5%，则其可得到的申购份额为：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即：某投资者（非养老金客户）投资40,000元申购本基金的A类基金份额，假设申购当日A类基金份额净值为1.0400元，则其可得到37,893.14份A类基金份额。</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例二：某养老金客户投资100,000元通过基金管理人的直销柜台申购本基金的A类基金份额，假设申购当日A类基金份额净值为1.0400元，申购费率为0.6%，则其可得到的申购份额为：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申购费用=100,000-99403.58=596.42元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即：该养老金客户投资100,000元通过基金管理人的直销柜台申购本基金的A类基金份额，假设申购当日A类基金份额净值为1.0400元，则其可得到95,580.37份A类基金份额。</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如果投资者选择申购本基金C类基金份额，则申购份额的计算方法如下：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赎回金额为按实际确认的有效赎回份额乘以当日A类基金份额净值并扣除相应的费用，赎回金额单位为元，计算结果保留到小数点后两位，第三位四舍五入。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例四：某投资者赎回持有的10,000份A类基金份额，对应的赎回费率为0.5%，假设赎回当日A类基金份额净值是1.0160元，则其可得到的赎回金额为：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即：投资者赎回本基金10,000份A类基金份额，对应的赎回费率为0.5%，假设赎回当日A类基金份额净值是1.0160元，则其可得到的赎回金额为10,109.20元。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例五：某投资者赎回持有的10,000份C类基金份额，对应的赎回费率为0.5%，假设赎回当日C类基金份额净值是1.0160元，则其可得到的赎回金额为：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即：投资者赎回本基金10,000份C类基金份额，对应的赎回费率为0.5%，假设赎回当日C类基金份额净值是1.0160元，则其可得到的赎回金额为10,109.20元。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A类基金份额和C类基金份额的基金份额净值在当天收市后计算，并在T＋1日（包括该日）内公告。遇特殊情况，经中国证监会同意，可以适当延迟计算或公告。本基金各类基金份额净值的计算，保留到小数点后4位，小数点后第5位四舍五入，由此误差产生的收益或损失由基金财产承担。</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5、基金资产规模过大，使基金管理人无法找到合适的投资品种，或其他可能对基金业绩产生负面影响，或基金管理人认定的其他损害现有基金份额持有人利益的情形。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7、当前一估值日基金资产净值50%以上的资产出现无可参考的活跃市场价格且采用估值技术仍导致公允价值存在重大不确定性时，经与基金托管人协商确认后，基金管理人应当暂停接受基金申购申请。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8、基金管理人接受某笔或者某些申购申请有可能导致单一投资者持有基金份额的比例超过50%，或者变相规避50%集中度的情形时。出现上述情形时，基金管理人有权将上述申购申请全部或部分确认失败。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5、基金管理人、基金托管人、基金销售机构、基金销售支付结算机构或登记机构的异常情况导致基金销售系统、基金销售支付结算系统、基金注册登记系统或基金会计系统无法正常运行。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6、基金管理人认为继续接受赎回申请将损害现有基金份额持有人利益的情形时，可暂停接受投资人的赎回申请。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8、基金合同约定、法律法规规定或中国证监会认定的其他情形。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w:t>
      </w:r>
      <w:r>
        <w:rPr>
          <w:rFonts w:ascii="宋体" w:hAnsi="宋体"/>
          <w:sz w:val="24"/>
        </w:rPr>
        <w:lastRenderedPageBreak/>
        <w:t>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各类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w:t>
      </w:r>
      <w:r>
        <w:rPr>
          <w:rFonts w:ascii="宋体" w:hAnsi="宋体"/>
          <w:sz w:val="24"/>
        </w:rPr>
        <w:lastRenderedPageBreak/>
        <w:t>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2、暂停结束，基金重新开放申购或赎回时，基金管理人应依照《信息披露办法》的有关规定，不迟于重新开放日，在指定媒介上刊登基金重新开放申购或赎回公告，并公布最近一个开放日的A/C类基金份额净值。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（十四）定期定额投资计划</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2015年7月13日刊登公告自2015年7月14日起开通本基金A类基金份额的定期定额投资计划业务，具体开通销售机构名单和业务规则参见相关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（十六）基金上市交易和场内申购赎回业务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未来系统条件允许的情况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12" w:name="_Toc228201054"/>
      <w:r>
        <w:rPr>
          <w:rFonts w:ascii="Times New Roman" w:hAnsi="Times New Roman"/>
          <w:sz w:val="30"/>
        </w:rPr>
        <w:lastRenderedPageBreak/>
        <w:t>九、基金的转换</w:t>
      </w:r>
      <w:bookmarkEnd w:id="12"/>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本基金2015年7月21日刊登公告自2015年7月22日起开放A类基金份额的日常转换业务。本基金2022年1月11日刊登公告自2022年1月12日起开放C类基金份额的日常转换业务。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除非基金管理人在未来条件成熟后另行公告开通相关业务，本基金不同基金份额类别之间不得互相转换。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w:t>
      </w:r>
      <w:r>
        <w:rPr>
          <w:rFonts w:ascii="宋体" w:hAnsi="宋体"/>
          <w:sz w:val="24"/>
        </w:rPr>
        <w:lastRenderedPageBreak/>
        <w:t>份额。</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w:t>
      </w:r>
      <w:r>
        <w:rPr>
          <w:rFonts w:ascii="宋体" w:hAnsi="宋体"/>
          <w:sz w:val="24"/>
        </w:rPr>
        <w:lastRenderedPageBreak/>
        <w:t>限转出基金为货币市场基金的情形，否则A为0）。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转入基金确认份额=（124,750-0）/2.2700=54,955.95份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w:t>
      </w:r>
      <w:r>
        <w:rPr>
          <w:rFonts w:ascii="宋体" w:hAnsi="宋体"/>
          <w:sz w:val="24"/>
        </w:rPr>
        <w:lastRenderedPageBreak/>
        <w:t>代理的同一基金管理人管理的、在同一注册登记机构处注册登记的基金。投资人办理基金转换业务时，转出方的基金必须处于可赎回状态，转入方的基金必须处于可申购状态。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13" w:name="_Toc228201055"/>
      <w:r>
        <w:rPr>
          <w:rFonts w:ascii="Times New Roman" w:hAnsi="Times New Roman"/>
          <w:sz w:val="30"/>
        </w:rPr>
        <w:lastRenderedPageBreak/>
        <w:t>十、基金的投资</w:t>
      </w:r>
      <w:bookmarkEnd w:id="13"/>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结合基金管理人对宏观经济周期和金融市场运行趋势的判断，自上而下进行宏观分析，自下而上精选投资标的，通过灵活的资产配置策略和积极主动的投资管理，在控制下行风险的前提下，力争为投资者提供长期稳健的投资回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银行存款、股指期货以及法律法规或中国证监会允许基金投资的其他金融工具（但须符合中国证监会相关规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本基金在分析和判断国内外宏观经济形势的基础上，通过“自上而下”的定性</w:t>
      </w:r>
      <w:r>
        <w:rPr>
          <w:rFonts w:ascii="宋体" w:hAnsi="宋体"/>
          <w:sz w:val="24"/>
        </w:rPr>
        <w:lastRenderedPageBreak/>
        <w:t>分析和定量分析相结合，形成对不同大类资产市场的预测和判断，在基金合同约定的范围内确定固定收益类资产、权益类资产和现金的配置比例，并随着市场运行状况以及各类证券风险收益特征的相对变化，动态调整大类资产的投资比例，有效控制基金资产运作风险，提高基金资产风险调整后收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从有着良好增长前景的行业中精选具有投资潜力的股票构建投资组合。具体分以下两个层次进行股票挑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（1）行业选择和配置</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采用多因素的定性与定量相结合的分析和预测方法，确定宏观及行业经济变量的变动对不同行业的潜在影响，得出各行业的相对投资价值与投资时机，据此挑选出预期具有良好增长前景的优势行业，把握行业景气轮换带来的投资机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（2）个股精选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本基金在前述行业优选的基础上，根据下述标准挑选出其中具有投资潜力的上市公司构建股票池并从中精选个股，且需满足以下要求：</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1）主业清晰并在产品、技术、营销、营运、成本控制等某一方面具有较强竞争优势，销售收入或利润超过行业平均水平；</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2）根据波特五要素分析，行业发展环境良好；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3）具有较强或可预期的盈利增长前景；</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4）盈利质量较高，经营性现金流加投资收益应该超过净利润（特殊理由除外）；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5）较好的公司治理结构，财务报表和信息披露较为透明、规范;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6）股票估值具有吸引力，或符合一定时期内的投资主题。</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对上述重点上市公司进行内在价值的评估和成长性跟踪研究，在明确的价值评估基础上精选优秀质地的投资标的构建股票组合。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w:t>
      </w:r>
      <w:r>
        <w:rPr>
          <w:rFonts w:ascii="宋体" w:hAnsi="宋体"/>
          <w:sz w:val="24"/>
        </w:rPr>
        <w:lastRenderedPageBreak/>
        <w:t>以实现在一定程度上规避股票市场的系统性风险和保证基金资产的流动性。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将灵活运用久期控制策略、类属配置策略、收益率曲线配置策略、杠杆放大策略以及信用债、可转债、资产支持证券投资等多种策略，获取债券市场的长期稳定收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在控制信用风险和流动性风险为主的基金总体风险水平的前提下，谋求更高的经风险调整后的稳定收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（3）收益率曲线配置策略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本基金将通过预期收益率曲线形态变化来调整投资组合的头寸。在考察收益率曲线的基础上，将确定采用子弹策略、哑铃策略或梯形策略等，以从收益率曲线的形变中获利。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（4）杠杆放大策略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当回购利率低于债券收益率时，本基金将通过正回购融入资金并投资于信用债券等可投资标的，从而获取收益率超出回购资金成本（即回购利率）的套利价值。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本基金通过交银施罗德的信用债券信用评级指标体系，对信用债券进行信用评级，并在信用评级的基础上，建立本基金的信用债券池。基金经理从信用债券池中精选债券构建信用债券投资组合。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（6）资产支持证券（含资产收益计划）投资策略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w:t>
      </w:r>
      <w:r>
        <w:rPr>
          <w:rFonts w:ascii="宋体" w:hAnsi="宋体"/>
          <w:sz w:val="24"/>
        </w:rPr>
        <w:lastRenderedPageBreak/>
        <w:t>变化等因素的研究，预测资产池未来现金流变化；综合运用久期管理、收益率曲线、个券选择和把握市场交易机会等积极策略，在严格控制风险的情况下，通过信用研究和流动性管理，选择风险调整后的收益高的品种进行投资，以期获得长期稳定收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（7）可转换债券投资策略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于可转换债券股性的研究将完全依托于公司投研团队对标的股票的研究，在此基础上利用可转换债券定价模型，充分考虑转债发行后目标转债标的股票股价波动率可能出现的变化，对目标转债的股性进行合理定价。通过对标的转债股性与债性的合理定价，力求寻找出被市场低估的品种，构建本基金可转换债券的投资组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（1）股票资产（含存托凭证）占基金资产的0%-95%，股票资产按照基金所持有的股票市值以及买入、卖出股指期货合约价值合计（轧差计算)；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（2）每个交易日日终在扣除股指期货合约需缴纳的交易保证金后，保持不低于基金资产净值5％的现金或者到期日在一年以内的政府债券，其中现金不包括结算备付金、存出保证金、应收申购款等；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 年，债券回购到期后不得展期；</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w:t>
      </w:r>
      <w:r>
        <w:rPr>
          <w:rFonts w:ascii="宋体" w:hAnsi="宋体"/>
          <w:sz w:val="24"/>
        </w:rPr>
        <w:lastRenderedPageBreak/>
        <w:t>一年以内的政府债券）、权证、资产支持证券、买入返售金融资产（不含质押式回购）等；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4）本基金所持有的股票市值和买入、卖出股指期货合约价值，合计（轧差计算）应当符合基金合同关于股票投资比例的有关约定，即占基金资产的0%-95%；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6）本基金每个交易日日终在扣除股指期货合约需缴纳的交易保证金后，应当保持不低于基金资产净值5%的现金或到期日在一年以内的政府债券，其中现金不包括结算备付金、存出保证金、应收申购款等。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（16）本基金持有其他证券投资基金（不含货币市场基金），其市值不得超过基金资产净值的10%；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（17）本基金的基金资产总值不得超过基金资产净值的140%；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流通受限证券，基金管理人应事先根据中国证监会相关规定，与基金托管人在基金托管协议中明确基金投资流通受限证券的相关事宜。基金管理人应制订严格的投资决策流程和风险控制制度，防范流动性风险、法律风险和操作风险等各种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（23）法律法规及中国证监会规定的和《基金合同》约定的其他投资限制。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15）项第6）目、（20）、（21）项外，因证券、期货市场波动、证券发行人合并、基金规模变动、股权分置改革中支付对价等基金管理人之外的因素致使基金投资比例不符合上述规定投资比例的，基金管理人应当在10个交易日内进行调整，但中国证监会规定的特殊情形除外。法律法规另有规定的，从其规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（五）业绩比较基准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50%×沪深300指数收益率+50%×中债综合全价指数收益率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沪深300指数是沪深证券交易所第一次联合发布的反映A股市场整体走势的指数，由中证指数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（七）基金管理人代表基金行使股东及债权人权利的处理原则及方法</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3、有利于基金财产的安全与增值；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（八）基金的融资融券、转融通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届时有效的有关法律法规和政策的规定进行融资融券、转融通。待基金参与融资融券和转融通业务的相关规定颁布后，基金管理人可以在不改变本基金既有投资策略和风险收益特征并在控制风险的前提下，参与融资融券业务以及通过证券金融公司办理转融通业务，以提高投资效率及进行风险管理。届时基金参与融资融券、转融通等业务的风险控制原则、具体参与比例限制、费用收支、信息披露、估值方法及其他相关事项按照中国证监会的规定及其他相关法律法规的要求执行，无需召开基金份额持有人大会决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本基金托管人中信银行股份有限公司根据本基金合同规定，于2026年04月20日复核了本报告中的财务指标、净值表现和投资组合报告等内容，保证复核内容不存在虚假记载、误导性陈述或者重大遗漏。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本投资组合报告期为2026年01月01日至03月31日，所载财务数据未经审计师审计。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20,502,580.86</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4.71</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20,502,580.86</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4.71</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368,140,512.69</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84.60</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368,140,512.69</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84.60</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22,564,000.00</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5.19</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7,898,414.97</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1.82</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16,040,339.12</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3.69</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435,145,847.64</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2,708,375.00</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0.63</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2,858,439.00</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8,403,012.86</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1.95</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651,480.00</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5,881,274.00</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1.36</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20,502,580.86</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4.75</w:t>
            </w:r>
          </w:p>
        </w:tc>
      </w:tr>
    </w:tbl>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600919</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江苏银行</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233,800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2,553,096.00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0.59</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300498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温氏股份</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134,600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2,237,052.00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0.52</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600150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中国船舶</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55,400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1,708,536.00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601336</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新华保险</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24,600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1,513,638.00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601318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中国平安</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26,600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1,510,348.00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600028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中国石化</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213,000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1,252,440.00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601088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中国神华</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22,100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1,033,175.00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0.24</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688552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航天南湖</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20,438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875,563.92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600276</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恒瑞医药</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15,500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855,910.00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600737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中粮糖业</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55,300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780,836.00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bl>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25,237,739.73</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5.84</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17,149,651.23</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3.97</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17,149,651.23</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3.97</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35,003,466.30</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8.10</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290,749,655.43</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67.31</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368,140,512.69</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85.22</w:t>
            </w:r>
          </w:p>
        </w:tc>
      </w:tr>
    </w:tbl>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102581773</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黔晟国资</w:t>
            </w:r>
            <w:r>
              <w:rPr>
                <w:rFonts w:ascii="Times New Roman" w:hAnsi="Times New Roman"/>
                <w:color w:val="000000"/>
                <w:kern w:val="0"/>
                <w:sz w:val="25"/>
                <w:szCs w:val="24"/>
              </w:rPr>
              <w:t>MTN001A</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30,811,236.16</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7.13</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250,000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25,237,739.73</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5.84</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102582212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苏州园林</w:t>
            </w:r>
            <w:r>
              <w:rPr>
                <w:rFonts w:ascii="Times New Roman" w:hAnsi="Times New Roman"/>
                <w:color w:val="000000"/>
                <w:kern w:val="0"/>
                <w:sz w:val="25"/>
                <w:szCs w:val="24"/>
              </w:rPr>
              <w:t>MTN001</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20,482,394.52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4.74</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102582199</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徐州经开</w:t>
            </w:r>
            <w:r>
              <w:rPr>
                <w:rFonts w:ascii="Times New Roman" w:hAnsi="Times New Roman"/>
                <w:color w:val="000000"/>
                <w:kern w:val="0"/>
                <w:sz w:val="25"/>
                <w:szCs w:val="24"/>
              </w:rPr>
              <w:t>MTN006</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20,405,150.68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4.72</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102582284</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绍兴交投</w:t>
            </w:r>
            <w:r>
              <w:rPr>
                <w:rFonts w:ascii="Times New Roman" w:hAnsi="Times New Roman"/>
                <w:color w:val="000000"/>
                <w:kern w:val="0"/>
                <w:sz w:val="25"/>
                <w:szCs w:val="24"/>
              </w:rPr>
              <w:t>MTN001</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20,369,719.45</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4.72</w:t>
            </w:r>
          </w:p>
        </w:tc>
      </w:tr>
    </w:tbl>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6、报告期末按公允价值占基金资产净值比例大小排序的前十名资产支持证券投资明细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47,843.50</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15,977,355.78</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15,139.84</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right"/>
              <w:rPr>
                <w:rFonts w:ascii="宋体" w:hAnsi="宋体"/>
                <w:color w:val="000000"/>
                <w:kern w:val="0"/>
                <w:sz w:val="25"/>
                <w:szCs w:val="24"/>
              </w:rPr>
            </w:pPr>
            <w:r>
              <w:rPr>
                <w:rFonts w:ascii="Times New Roman" w:hAnsi="Times New Roman"/>
                <w:color w:val="000000"/>
                <w:kern w:val="0"/>
                <w:sz w:val="25"/>
                <w:szCs w:val="24"/>
              </w:rPr>
              <w:t>16,040,339.12</w:t>
            </w:r>
          </w:p>
        </w:tc>
      </w:tr>
    </w:tbl>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14" w:name="_Toc228201056"/>
      <w:r>
        <w:rPr>
          <w:rFonts w:ascii="Times New Roman" w:hAnsi="Times New Roman"/>
          <w:sz w:val="30"/>
        </w:rPr>
        <w:lastRenderedPageBreak/>
        <w:t>十一、基金的业绩</w:t>
      </w:r>
      <w:bookmarkEnd w:id="14"/>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（1）交银新回报灵活配置混合A：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3.20%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-4.74%</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2.20%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-8.15%</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4.72%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-2.78%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-10.80%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8.02%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7.57%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8.78%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14.47%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13.50%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9.49%</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17.99%</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-8.50%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2.04%</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13.06%</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9.75%</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8.60%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1.94%</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-6.01%</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7.95%</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2.60%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-8.38%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10.98%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r>
    </w:tbl>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（2）交银新回报灵活配置混合C：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2.41%</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3.07%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-4.87%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2.15%</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-8.20%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4.67%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-2.93%</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-10.80%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7.87%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7.53%</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8.74%</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14.33%</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13.50%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9.72%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17.99%</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-8.27%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257.66%</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15.86%</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268.68%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15.20%</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9.68%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8.60%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-6.01%</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6.68%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r>
      <w:tr w:rsidR="00BD4B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r>
    </w:tbl>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注：本基金的业绩比较基准为50%×沪深300指数收益率+50%×中债综合全价指数收益率，每日进行再平衡过程。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BD4B77" w:rsidRDefault="00877E63">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交银施罗德新回报灵活配置混合型证券投资基金</w:t>
      </w:r>
    </w:p>
    <w:p w:rsidR="00BD4B77" w:rsidRDefault="00877E63">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BD4B77" w:rsidRDefault="00877E63">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（2015年5月15日至2026年03月31日）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（1）交银新回报灵活配置混合A</w:t>
      </w:r>
    </w:p>
    <w:p w:rsidR="00BD4B77" w:rsidRDefault="00C74B8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（2）交银新回报灵活配置混合C</w:t>
      </w:r>
    </w:p>
    <w:p w:rsidR="00BD4B77" w:rsidRDefault="00C74B8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2、本基金自2015年11月19日起，开始销售C类份额，投资者提交的申购申请于2015年11月20日被确认并将有效份额登记在册。</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15" w:name="_Toc228201057"/>
      <w:r>
        <w:rPr>
          <w:rFonts w:ascii="Times New Roman" w:hAnsi="Times New Roman"/>
          <w:sz w:val="30"/>
        </w:rPr>
        <w:lastRenderedPageBreak/>
        <w:t>十二、基金的财产</w:t>
      </w:r>
      <w:bookmarkEnd w:id="15"/>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账户以及投资所需的其他专用账户。开立的基金专用账户与基金管理人、基金托管人、基金销售机构和基金登记机构自有的财产账户以及其他基金财产账户相独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16" w:name="_Toc228201058"/>
      <w:r>
        <w:rPr>
          <w:rFonts w:ascii="Times New Roman" w:hAnsi="Times New Roman"/>
          <w:sz w:val="30"/>
        </w:rPr>
        <w:lastRenderedPageBreak/>
        <w:t>十三、基金资产的估值</w:t>
      </w:r>
      <w:bookmarkEnd w:id="16"/>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的投资品种，如估值日有市价的，采用市价确定公允价值；估值日无市价，但最近交易日后经济环境未发生重大变化且证券发行机构未发生影响证券价格的重大事件的，采用最近交易市价确定公允价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存在活跃市场的投资品种，如估值日无市价，且最近交易日后经济环境发生了重大变化或证券发行机构发生了影响证券价格的重大事件的，可参考类似投资品种的现行市价及重大变化等因素，调整最近交易市价，确定公允价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（3）当投资品种不存在活跃市场，采用市场参与者普遍认同，且被以往市场实际交易价格验证具有可靠性的估值技术，确定投资品种的公允价值。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（4）如有充足理由认为按原有方法进行估值不能客观反映上述资产或负债公允价值的，基金管理人可根据具体情况与基金托管人商定后，按最能反映公允价值的方法估值。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（5）本基金投资存托凭证的估值核算依照境内上市交易的股票执行。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（6）存在相关法律法规以及监管部门有相关规范的，从其规定。如有新增事项，按监管部门最新规定估值。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（四）估值程序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1、基金份额净值是按照每个工作日闭市后，基金资产净值除以当日基金份额的余额数量计算，精确到0.0001元，小数点后第五位四舍五入。国家另有规定的，从其规定。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基金管理人于每个工作日分别计算A类基金份额、C类基金份额的基金资产净值及基金份额净值，并按规定公告。如遇特殊情况，经中国证监会同意，可以适当延迟计算或公告。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w:t>
      </w:r>
      <w:r>
        <w:rPr>
          <w:rFonts w:ascii="宋体" w:hAnsi="宋体"/>
          <w:sz w:val="24"/>
        </w:rPr>
        <w:lastRenderedPageBreak/>
        <w:t>等，因不可抗力原因出现估值错误的当事人不对其他当事人承担赔偿责任，但因该估值错误取得不当得利的当事人仍应负有返还不当得利的义务。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4、基金份额净值估值错误处理的方法如下：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4、当前一估值日基金资产净值50%以上的资产出现无可参考的活跃市场价格且采用估值技术仍导致公允价值存在重大不确定性时，经与基金托管人协商确认后，基金管理人应当暂停估值；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别基金资产净值和基金份额净值由基金管理人负责计算，基金托管人负责进行复核。基金管理人应于每个开放日交易结束后计算当日的各类别基金资产净值和基金份额净值并发送给基金托管人。基金托管人对净值计算结果复核确认后发送给基金管理人，由基金管理人依据基金合同和相关法律法规的规定对基金净值予以公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1、基金管理人或基金托管人按估值方法的第（4）项进行估值时，所造成的误差不作为基金资产估值错误处理。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份额净值计算错误，基金管理人、基金托管人免除赔偿责任。</w:t>
      </w:r>
      <w:r>
        <w:rPr>
          <w:rFonts w:ascii="宋体" w:hAnsi="宋体"/>
          <w:sz w:val="24"/>
        </w:rPr>
        <w:lastRenderedPageBreak/>
        <w:t>但基金管理人、基金托管人应积极采取必要的措施减轻或消除由此造成的影响。</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17" w:name="_Toc228201059"/>
      <w:r>
        <w:rPr>
          <w:rFonts w:ascii="Times New Roman" w:hAnsi="Times New Roman"/>
          <w:sz w:val="30"/>
        </w:rPr>
        <w:lastRenderedPageBreak/>
        <w:t>十四、基金收益与分配</w:t>
      </w:r>
      <w:bookmarkEnd w:id="17"/>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每年收益分配次数最多为6次，每份基金份额每次分配比例不得低于收益分配基准日每份基金份额可供分配利润的10%，若《基金合同》生效不满3个月可不进行收益分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该类基金份额进行再投资；若投资者不选择，本基金默认的收益分配方式是现金分红；基金份额持有人可对其持有的A类、C类基金份额分别选择不同的收益分配方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3、基金收益分配后任一类基金份额净值不能低于面值，即基金收益分配基准日的任一类基金份额净值减去该类每单位基金份额收益分配金额后不能低于面值；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4、由于本基金A类基金份额不收取销售服务费，C类基金份额收取销售服务费，各基金份额类别对应的可供分配利润将有所不同，本基金同一类别的每份基金份额享有同等分配权；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法律法规或监管机关另有规定的，从其规定。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18" w:name="_Toc228201060"/>
      <w:r>
        <w:rPr>
          <w:rFonts w:ascii="Times New Roman" w:hAnsi="Times New Roman"/>
          <w:sz w:val="30"/>
        </w:rPr>
        <w:lastRenderedPageBreak/>
        <w:t>十五、基金的费用与税收</w:t>
      </w:r>
      <w:bookmarkEnd w:id="18"/>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本基金的管理费按前一日基金资产净值的0.8%年费率计提。管理费的计算方法如下：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H＝E×0.8%÷当年天数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与基金托管人核对一致后，由基金托管人于次月首日起第3个工作日从基金财产中一次性支付给基金管理人，若遇法定节假日、休息日或不可抗力致使无法按时支付的，支付日期顺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与基金托管人核对一致后，由基金托管人复核后于次月首日起第3个工作日从基金财产中一次性支付给基金托管人，若遇法定节假日、休息日或不可抗力致使无法按时支付的，支付日期顺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本基金A类基金份额不收取销售服务费，C类基金份额的销售服务费按前一日C类基金资产净值的0.1%年费率计提。计算方法如下：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E为C类基金份额前一日的基金资产净值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逐日累计至每月月末，按月支付，由基金管理人向基金托管人发送C类基金份额销售服务费划款指令，基金托管人复核后于次月前5个工作日内从基金财产中一次性支付给基金管理人，由基金管理人代付给销售机构。若遇法定节假日、休息日或不可抗力致使无法按时支付的，支付日期顺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w:t>
      </w:r>
      <w:r>
        <w:rPr>
          <w:rFonts w:ascii="宋体" w:hAnsi="宋体"/>
          <w:sz w:val="24"/>
        </w:rPr>
        <w:lastRenderedPageBreak/>
        <w:t>金财产的损失；</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上刊登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19" w:name="_Toc228201061"/>
      <w:r>
        <w:rPr>
          <w:rFonts w:ascii="Times New Roman" w:hAnsi="Times New Roman"/>
          <w:sz w:val="30"/>
        </w:rPr>
        <w:lastRenderedPageBreak/>
        <w:t>十六、基金的会计与审计</w:t>
      </w:r>
      <w:bookmarkEnd w:id="19"/>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3、基金管理人认为有充足理由更换会计师事务所，须通报基金托管人。更换会计师事务所需依照《信息披露办法》的有关规定在指定媒介公告。</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20" w:name="_Toc228201062"/>
      <w:r>
        <w:rPr>
          <w:rFonts w:ascii="Times New Roman" w:hAnsi="Times New Roman"/>
          <w:sz w:val="30"/>
        </w:rPr>
        <w:lastRenderedPageBreak/>
        <w:t>十七、基金的信息披露</w:t>
      </w:r>
      <w:bookmarkEnd w:id="20"/>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《基金合同》生效后，在开始办理基金份额申购或者赎回前，基金管理人应当至少每周在指定网站披露一次A类基金份额和C类基金份额所对应的基金份额净值和基金份额累计净值。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次日，通过指定网站、销售机构网站或者营业网点披露开放日的A类基金份额和C类基金份额所对应的基金份额净值和基金份额累计净值。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基金管理人应当在不晚于半年度和年度最后一日的次日，在指定网站披露半年度和年度最后一日的A类基金份额和C类基金份额所对应的基金份额净值和基金份额累计净值。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13、中国证监会规定的其他信息。</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（六）信息披露事务管理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21" w:name="_Toc228201063"/>
      <w:r>
        <w:rPr>
          <w:rFonts w:ascii="Times New Roman" w:hAnsi="Times New Roman"/>
          <w:sz w:val="30"/>
        </w:rPr>
        <w:lastRenderedPageBreak/>
        <w:t>十八、风险揭示</w:t>
      </w:r>
      <w:bookmarkEnd w:id="21"/>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w:t>
      </w:r>
      <w:r>
        <w:rPr>
          <w:rFonts w:ascii="宋体" w:hAnsi="宋体"/>
          <w:sz w:val="24"/>
        </w:rPr>
        <w:lastRenderedPageBreak/>
        <w:t>赎回处理。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本基金可投资创业板股票，创业板个股上市后的前五个交易日不设价格涨跌幅限制，第六个交易日开始涨跌幅限制比例为20%。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（六）投资股指期货的特定风险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（七）基金合同提前终止风险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连续六十个工作日出现基金份额持有人数量不满200人或者基金资产净值低于5000万元情形的，基金管理人将提前终止基金合同，不需召开基金份额持有人大会。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（八）投资科创板股票的特定风险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w:t>
      </w:r>
      <w:r>
        <w:rPr>
          <w:rFonts w:ascii="宋体" w:hAnsi="宋体"/>
          <w:sz w:val="24"/>
        </w:rPr>
        <w:lastRenderedPageBreak/>
        <w:t>盈利、现金流、估值均存在不确定性，与传统二级市场投资存在差异，整体投资难度加大，个股市场风险加大。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（九）投资存托凭证的特定风险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w:t>
      </w:r>
      <w:r>
        <w:rPr>
          <w:rFonts w:ascii="宋体" w:hAnsi="宋体"/>
          <w:sz w:val="24"/>
        </w:rPr>
        <w:lastRenderedPageBreak/>
        <w:t>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（十）本基金法律文件风险收益特征表述与销售机构基金风险评价可能不一致的风险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（十一）其他风险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22" w:name="_Toc228201064"/>
      <w:r>
        <w:rPr>
          <w:rFonts w:ascii="Times New Roman" w:hAnsi="Times New Roman"/>
          <w:sz w:val="30"/>
        </w:rPr>
        <w:lastRenderedPageBreak/>
        <w:t>十九、基金合同的变更、终止与基金财产的清算</w:t>
      </w:r>
      <w:bookmarkEnd w:id="22"/>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4、连续60个工作日出现基金份额持有人数量不满200人或者基金资产净值低于5000万元情形的；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23" w:name="_Toc228201065"/>
      <w:r>
        <w:rPr>
          <w:rFonts w:ascii="Times New Roman" w:hAnsi="Times New Roman"/>
          <w:sz w:val="30"/>
        </w:rPr>
        <w:lastRenderedPageBreak/>
        <w:t>二十、基金合同内容摘要</w:t>
      </w:r>
      <w:bookmarkEnd w:id="23"/>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13）在法律法规允许的前提下，为基金的利益依法为基金进行融资、融券及转融通；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4）根据相关市场规则，为基金开设资金账户、证券账户等投资所需账户、协助开立股指期货业务相关账户及交易编码、为基金办理证券交易资金清算；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8）复核、审查基金管理人计算的基金净值信息、基金份额申购、赎回价格；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9）办理与基金托管业务活动有关的信息披露事项；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w:t>
      </w:r>
      <w:r>
        <w:rPr>
          <w:rFonts w:ascii="宋体" w:hAnsi="宋体"/>
          <w:sz w:val="24"/>
        </w:rPr>
        <w:lastRenderedPageBreak/>
        <w:t>额；</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本基金份额持有人大会不设日常机构。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5）提高基金管理人、基金托管人的报酬标准和提高销售服务费，但法律法规要求提高该等报酬标准的除外；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1）调低基金管理费、基金托管费、销售服务费和其他应由本基金或基金份额持有人承担的费用；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3）在法律法规和《基金合同》规定的范围内调整本基金的申购费率、调低赎回费率、在对现有基金份额持有人利益无实质性不利影响的前提下变更或增加收费方式、调整基金份额类别；</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w:t>
      </w:r>
      <w:r>
        <w:rPr>
          <w:rFonts w:ascii="宋体" w:hAnsi="宋体"/>
          <w:sz w:val="24"/>
        </w:rPr>
        <w:lastRenderedPageBreak/>
        <w:t>同》进行修改；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6）在法律法规允许的情况下基金推出新业务或服务；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9）按照法律法规和《基金合同》规定不需召开基金份额持有人大会的以外的其他情形。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（3）基金合同生效后的存续期内，若基金份额持有人数量连续60个工作日达不到200人或基金资产净值连续60个工作日低于5000万元，本基金管理人将提前终止本基金合同，不需召开基金份额持有人大会。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w:t>
      </w:r>
      <w:r>
        <w:rPr>
          <w:rFonts w:ascii="宋体" w:hAnsi="宋体"/>
          <w:sz w:val="24"/>
        </w:rPr>
        <w:lastRenderedPageBreak/>
        <w:t>提议之日起10日内决定是否召集，并书面告知提出提议的基金份额持有人代表和基金管理人；基金托管人决定召集的，应当自出具书面决定之日起60日内召开并告知基金管理人，基金管理人应当配合；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4、基金份额持有人出席会议的方式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w:t>
      </w:r>
      <w:r>
        <w:rPr>
          <w:rFonts w:ascii="宋体" w:hAnsi="宋体"/>
          <w:sz w:val="24"/>
        </w:rPr>
        <w:lastRenderedPageBreak/>
        <w:t>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w:t>
      </w:r>
      <w:r>
        <w:rPr>
          <w:rFonts w:ascii="宋体" w:hAnsi="宋体"/>
          <w:sz w:val="24"/>
        </w:rPr>
        <w:lastRenderedPageBreak/>
        <w:t>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基金份额持有人大会的决定的事项自表决通过之日起生效，召集人应当自通过之日起5日内报中国证监会备案。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9、本部分对基金份额持有人大会召开事由、召开条件、议事程序、表决条件等规定，凡是直接引用法律法规的部分，如将来法律法规修改导致相关内容被取消</w:t>
      </w:r>
      <w:r>
        <w:rPr>
          <w:rFonts w:ascii="宋体" w:hAnsi="宋体"/>
          <w:sz w:val="24"/>
        </w:rPr>
        <w:lastRenderedPageBreak/>
        <w:t>或变更的，基金管理人提前公告后，可直接对本部分内容进行修改和调整，无需召开基金份额持有人大会审议。</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（4）连续60个工作日出现基金份额持有人数量不满200人或者基金资产净值低于5000万元情形的；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1）《基金合同》终止情形出现时，由基金财产清算小组统一接管基金财产；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w:t>
      </w:r>
      <w:r>
        <w:rPr>
          <w:rFonts w:ascii="宋体" w:hAnsi="宋体"/>
          <w:sz w:val="24"/>
        </w:rPr>
        <w:lastRenderedPageBreak/>
        <w:t>点为北京市。仲裁裁决是终局的，对各方当事人均有约束力，除非仲裁裁决另有规定，仲裁费用、律师费由败诉方承担。</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24" w:name="_Toc228201066"/>
      <w:r>
        <w:rPr>
          <w:rFonts w:ascii="Times New Roman" w:hAnsi="Times New Roman"/>
          <w:sz w:val="30"/>
        </w:rPr>
        <w:lastRenderedPageBreak/>
        <w:t>二十一、托管协议的内容摘要</w:t>
      </w:r>
      <w:bookmarkEnd w:id="24"/>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法定代表人：李庆萍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w:t>
      </w:r>
      <w:r>
        <w:rPr>
          <w:rFonts w:ascii="宋体" w:hAnsi="宋体"/>
          <w:sz w:val="24"/>
        </w:rPr>
        <w:lastRenderedPageBreak/>
        <w:t>业务；保险兼业代理业务（有效期至2017年09月08日）。（依法须经批准的项目，经相关部门批准后依批准的内容开展经营活动。）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银行存款、股指期货以及法律法规或中国证监会允许基金投资的其他金融工具（但须符合中国证监会相关规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本基金各类资产的投资比例范围为：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1）股票资产（含存托凭证）占基金资产的0%-95%，股票资产按照基金所持有的股票市值以及买入、卖出股指期货合约价值合计（轧差计算)；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2）每个交易日日终在扣除股指期货合约需缴纳的交易保证金后，保持不低于基金资产净值5％的现金或者到期日在一年以内的政府债券，其中现金不包括结算备付金、存出保证金、应收申购款等；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3）本基金持有一家公司发行的证券，其市值不超过基金资产净值的10%；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 年，债券回购到期后不得展期；</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c）本基金在任何交易日日终，持有的卖出期货合约价值不得超过基金持有的</w:t>
      </w:r>
      <w:r>
        <w:rPr>
          <w:rFonts w:ascii="宋体" w:hAnsi="宋体"/>
          <w:sz w:val="24"/>
        </w:rPr>
        <w:lastRenderedPageBreak/>
        <w:t>股票总市值的20%；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d）本基金所持有的股票市值和买入、卖出股指期货合约价值，合计（轧差计算）应当符合基金合同关于股票投资比例的有关约定，即占基金资产的0%-95%；</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f）本基金每个交易日日终在扣除股指期货合约需缴纳的交易保证金后，应当保持不低于基金资产净值5%的现金或到期日在一年以内的政府债券，其中现金不包括结算备付金、存出保证金、应收申购款等。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16）本基金持有其他证券投资基金（不含货币市场基金），其市值不得超过基金资产净值的10%；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17）本基金的基金资产总值不得超过基金资产净值的140%；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流通受限证券，基金管理人应事先根据中国证监会相关规定，与基金托管人在基金托管协议中明确基金投资流通受限证券相关事宜。基金管理人应制订严格的投资决策流程和风险控制制度，防范流动性风险、法律风险和操作风险等各种风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除上述第2）、12）、15）项第f）目、20）、21）项外，因证券、期货市场波动、证券发行人合并、基金规模变动、股权分置改革中支付对价等基金管理人之外</w:t>
      </w:r>
      <w:r>
        <w:rPr>
          <w:rFonts w:ascii="宋体" w:hAnsi="宋体"/>
          <w:sz w:val="24"/>
        </w:rPr>
        <w:lastRenderedPageBreak/>
        <w:t>的因素致使基金投资比例不符合上述规定投资比例的，基金管理人应当在10个交易日内进行调整，但中国证监会规定的特殊情形除外。法律法规另有规定的，从其规定。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2）违反规定向他人贷款或提供担保；</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6）从事内幕交易、操纵证券价格及其他不正当的证券交易活动；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（4）基金托管人依据有关法律法规的规定和基金合同的约定对于基金关联投资进行监督：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w:t>
      </w:r>
      <w:r>
        <w:rPr>
          <w:rFonts w:ascii="宋体" w:hAnsi="宋体"/>
          <w:sz w:val="24"/>
        </w:rPr>
        <w:lastRenderedPageBreak/>
        <w:t>承担任何损失和责任。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等有关法律法规规定。流通受限证券指由《上市公司证券发行管理办法》规范的非公开发行股票、公开发行股票网下配售部分等在发行时明确一定期限</w:t>
      </w:r>
      <w:r>
        <w:rPr>
          <w:rFonts w:ascii="宋体" w:hAnsi="宋体"/>
          <w:sz w:val="24"/>
        </w:rPr>
        <w:lastRenderedPageBreak/>
        <w:t>锁定期的可交易证券,不包括由于发布重大消息或其他原因而临时停牌的证券、已发行未上市证券、回购交易中的质押券等流通受限证券。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2个工作日将上述资料书面发至基金托管人，保证基金托管人有足够的时间进行审核。基金托管人应在收到上述资料后2个工作日内，以书面或其他双方认可的方式确认收到上述资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（7）基金托管人对基金投资中期票据的监督：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2）如未来有关监管部门发布的法律法规对证券投资基金投资中期票据另有规定的，从其约定。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w:t>
      </w:r>
      <w:r>
        <w:rPr>
          <w:rFonts w:ascii="宋体" w:hAnsi="宋体"/>
          <w:sz w:val="24"/>
        </w:rPr>
        <w:lastRenderedPageBreak/>
        <w:t>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应报告中国证监会。如果基金托管人未能切实履行监督职责，导致基金出现风险，基金托管人应承担连带责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（8）基金托管人根据有关法律法规的规定及基金合同的约定，对基金管理人选择存款银行进行监督：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3）基金托管人应加强对基金银行存款业务的监督与核查，严格审查、复核相关协议、账户资料、投资指令、存款证实书等有关文件，切实履行托管职责。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2、基金托管人对基金管理人业务进行监督和核查的有关措施：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（1）基金托管人应根据有关法律法规的规定及基金合同的约定，对基金资产</w:t>
      </w:r>
      <w:r>
        <w:rPr>
          <w:rFonts w:ascii="宋体" w:hAnsi="宋体"/>
          <w:sz w:val="24"/>
        </w:rPr>
        <w:lastRenderedPageBreak/>
        <w:t>净值计算、基金份额净值计算、应收资金到账、基金费用开支及收入确定、基金收益分配、相关信息披露、基金宣传推介材料中登载基金业绩表现数据等进行监督和核查。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（3）在限期内，基金托管人有权随时对通知事项进行复查，督促基金管理人改正。基金管理人对基金托管人通知的违规事项未能在限期内纠正的，基金托管人应报告中国证监会。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（4）基金托管人发现基金管理人的投资指令违反关法律法规规定或者违反基金合同约定的，应当拒绝执行，立即通知基金管理人。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（7）基金托管人发现基金管理人有重大违规行为，应立即报告中国证监会，同时通知基金管理人限期纠正。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但不限于基金托管人安全保管基金财产、开设基金财产的资金账户、证券账户和期货账户等投资所需账户、复核基金管理人计算的基金资产净值和基金份额净值、根据基金管理人指令办理清算交收、相关信息披露和监督基金投资运作等行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w:t>
      </w:r>
      <w:r>
        <w:rPr>
          <w:rFonts w:ascii="宋体" w:hAnsi="宋体"/>
          <w:sz w:val="24"/>
        </w:rPr>
        <w:lastRenderedPageBreak/>
        <w:t>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3、基金管理人发现基金托管人有重大违规行为，应立即报告中国证监会和银行业监督管理机构，同时通知基金托管人限期纠正。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4、基金托管人应积极配合基金管理人的核查行为，包括但不限于：提交相关资料以供基金管理人核查托管财产的完整性和真实性，在规定时间内答复基金管理人并改正。</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（3）基金托管人按照规定开设基金财产的资金账户和证券账户，协助开立股指期货业务相关账户及交易编码。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2、募集募集期间及募集资金的验资</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（1）基金募集期间募集认购款项应存于基金认购专用账户，该账户由基金管理人或基金管理人委托的登记机构开立并管理。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（3）若基金募集期限届满，未能达到基金备案条件，由基金管理人按规定办理退款事宜，基金托管人应提供充分协助。</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3、基金托管资金账户的开立和管理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（1）基金托管人以基金托管人和本基金联名的方式在中国证券登记结算有限责任公司上海分公司/深圳分公司开设证券账户。</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（2）基金托管人以基金托管人的名义在中国证券登记结算有限责任公司上海分公司/深圳分公司开立基金证券交易资金账户，用于证券清算。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（3）基金证券账户的开立和使用，限于满足开展本基金业务的需要。基金托管人和基金管理人不得出借和未经对方同意擅自转让基金的任何证券账户；亦不得使用基金的任何账户进行本基金业务以外的活动。</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（1）基金合同生效后，基金管理人负责以本基金的名义申请并取得进入全国银行间同业拆借市场的交易资格，并代表基金进行交易；基金托管人负责以本基金</w:t>
      </w:r>
      <w:r>
        <w:rPr>
          <w:rFonts w:ascii="宋体" w:hAnsi="宋体"/>
          <w:sz w:val="24"/>
        </w:rPr>
        <w:lastRenderedPageBreak/>
        <w:t>的名义在中央国债登记结算有限责任公司开设银行间债券市场债券托管账户，并由基金托管人负责本基金的债券的后台匹配及资金的清算。</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（1）基金资产净值是指基金资产总值减去负债后的价值。基金份额净值是按</w:t>
      </w:r>
      <w:r>
        <w:rPr>
          <w:rFonts w:ascii="宋体" w:hAnsi="宋体"/>
          <w:sz w:val="24"/>
        </w:rPr>
        <w:lastRenderedPageBreak/>
        <w:t>照每个工作日闭市后，基金资产净值除以当日基金份额的余额数量计算，精确到0.0001元，小数点后第五位四舍五入。国家另有规定的，从其规定。</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工作日对基金资产估值，但基金管理人根据法律法规或基金合同的规定暂停估值时除外。估值原则应符合基金合同及相关法律、法规的规定。用于基金信息披露的基金资产净值和基金份额净值由基金管理人负责计算，基金托管人复核。基金管理人应于每个工作日交易结束后计算当日的各类基金份额净值并以双方认可的方式发送给基金托管人。基金托管人对净值计算结果复核后以双方认可的方式发送给基金管理人，由基金管理人依据基金合同和相关法律法规的规定予以公布。月末、年中和年末估值复核与基金会计账目的核对同时进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基金法》，基金管理人每工作日分别计算并公告A类基金份额及C类基金份额的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的投资品种，如估值日有市价的，采用市价确定公允价值；估值日无市价，但最近交易日后经济环境未发生重大变化且证券发行机构未发生影响证券价格的重大事件的，采用最近交易市价确定公允价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存在活跃市场的投资品种，如估值日无市价，且最近交易日后经济环境发生了重大变化或证券发行机构发生了影响证券价格的重大事件的，可参考类似投资品种的现行市价及重大变化等因素，调整最近交易市价，确定公允价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3）当投资品种不存在活跃市场，采用市场参与者普遍认同，且被以往市场实际交易价格验证具有可靠性的估值技术，确定投资品种的公允价值。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4）如有充足理由认为按原有方法进行估值不能客观反映上述资产或负债公允价值的，基金管理人可根据具体情况与基金托管人商定后，按最能反映公允价值的方法估值。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5）本基金投资存托凭证的估值核算依照境内上市交易的股票执行。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6）存在相关法律法规以及监管部门有相关规范的，从其规定。如有新增事项，按监管部门最新规定估值。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（1）因基金估值错误给投资人造成损失的应先由基金管理人承担，基金管理人对不应由其承担的责任，有权向过错人追偿。</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管理人计算的基金资产净值、基金份额净值已由基金托管人复核确认后公告的，由此造成的投资人或基金的损失，应根据法律法规的规定对投资人或基金支付赔偿金，就实际向投资人或基金支付的赔偿金额，由基金管理人与基金托管人按照管理费率和托管费率的比例各自承担相应的责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一方当事人提供的信息错误，另一方当事人在采取了必要合理的措施后仍不能发现该错误，进而导致基金资产净值、基金份额净值计算错误造成投资人或基金的损失，以及由此造成以后交易日基金资产净值、基金份额净值计算顺延错误而引起的投资人或基金的损失，由提供错误信息的当事人一方负责赔偿。</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不可抗力原因，或由于证券、期货交易所、证券经纪机构、期货公司或登记结算公司发送的数据错误，或国家会计政策变更、市场规则变更等，基金管理人和基金托管人虽然已经采取必要、适当、合理的措施进行检查，但是未能发现该错误的，由此造成的基金资产估值错误，基金管理人和基金托管人可以免除赔偿责任。但基金管理人和基金托管人应当积极采取必要的措施减轻或消除由此造成的影响。</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w:t>
      </w:r>
      <w:r>
        <w:rPr>
          <w:rFonts w:ascii="宋体" w:hAnsi="宋体"/>
          <w:sz w:val="24"/>
        </w:rPr>
        <w:lastRenderedPageBreak/>
        <w:t>基金托管人不负赔偿责任。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（6）基金管理人或基金托管人按估值方法的第4）项进行估值的，所造成的误差不作为基金资产估值错误处理。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差错方追偿。</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4、基金账册的建立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5、基金定期报告的编制和复核</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（1）基金财务报表由基金管理人和基金托管人每月分别独立编制。月度报表的编制，应于每月终了后5个工作日内完成。</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基金管理人在季度结束之日起15个工作日内完成季度报告编制并公告；在上半年终了后两个月内完成中期报告编制并公告；在每年结束后三个月内完成年度报告编制并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w:t>
      </w:r>
      <w:r>
        <w:rPr>
          <w:rFonts w:ascii="宋体" w:hAnsi="宋体"/>
          <w:sz w:val="24"/>
        </w:rPr>
        <w:lastRenderedPageBreak/>
        <w:t>复核过程中，发现双方的报表存在不符时，基金管理人和基金托管人应共同查明原因，进行调整，调整以国家有关规定为准。</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（4）核对无误后，基金托管人在基金管理人提供的报告上加盖业务印鉴或者出具加盖托管业务部门公章的复核意见书，相关各方各自留存一份。</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（5）基金托管人在对月度报表、季度、中期报告或年度报告复核完毕后，需盖章确认或出具相应的复核确认书，以备有权机构对相关文件审核时提示。</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6、暂停估值的情形：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（1）基金投资所涉及的证券、期货交易场所遇法定节假日或因其他原因暂停营业时；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 50%以上的资产出现无可参考的活跃市场价格且采用估值技术仍导致公允价值存在重大不确定性时，经与基金托管人协商确认后，基金管理人应当暂停估值；</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（5）中国证监会和基金合同认定的其他情形。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1、基金管理人和基金托管人须分别妥善保管的基金份额持有人名册，基金份额持有人名册的内容必须包括基金份额持有人的名称和持有的基金份额。</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2、基金份额持有人名册由基金的登记机构根据基金管理人的指令编制和保管，基金管理人和基金托管人应按照目前相关规则分别保管基金份额持有人名册。保管方式可以采用电子或文档的形式。保管期限为15年。</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4、若基金管理人或基金托管人由于自身原因无法妥善保管基金份额持有人名册，应按有关法规规定各自承担相应的责任。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（七）争议解决方式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（八）托管协议的修改与终止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25" w:name="_Toc228201067"/>
      <w:r>
        <w:rPr>
          <w:rFonts w:ascii="Times New Roman" w:hAnsi="Times New Roman"/>
          <w:sz w:val="30"/>
        </w:rPr>
        <w:lastRenderedPageBreak/>
        <w:t>二十二、对基金份额持有人的服务</w:t>
      </w:r>
      <w:bookmarkEnd w:id="25"/>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本基金A类基金份额的申购、赎回、定期定额投资和转换等业务以及本基金C类基金份额的申购、赎回和转换等业务。通过网上直销交易平台办理本基金A类基金份额申购和定期定额投资业务的个人投资者将享受A类基金份额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（四）基金转换业务</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本基金已开通基金份额的转换业务，具体实施方法请参见相关公告。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本基金已开通基金份额的定期定额投资业务，具体实施方法请参见相关公告。</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服务联系方式：本基金管理人的互联网地址及电子信箱</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26" w:name="_Toc228201068"/>
      <w:r>
        <w:rPr>
          <w:rFonts w:ascii="Times New Roman" w:hAnsi="Times New Roman"/>
          <w:sz w:val="30"/>
        </w:rPr>
        <w:lastRenderedPageBreak/>
        <w:t>二十三、其他应披露事项</w:t>
      </w:r>
      <w:bookmarkEnd w:id="26"/>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交银施罗德新回报灵活配置混合型证券投资基金招募说明书更新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交银施罗德新回报灵活配置混合型证券投资基金（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交银施罗德新回报灵活配置混合型证券投资基金（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BD4B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交银施罗德新回报灵活配置混合型证券投资基金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D4B77" w:rsidRDefault="00877E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27" w:name="_Toc228201069"/>
      <w:r>
        <w:rPr>
          <w:rFonts w:ascii="Times New Roman" w:hAnsi="Times New Roman"/>
          <w:sz w:val="30"/>
        </w:rPr>
        <w:lastRenderedPageBreak/>
        <w:t>二十四、招募说明书的存放及查阅方式</w:t>
      </w:r>
      <w:bookmarkEnd w:id="27"/>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877E6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D4B77" w:rsidRDefault="00877E63">
      <w:pPr>
        <w:pStyle w:val="1"/>
        <w:snapToGrid w:val="0"/>
        <w:spacing w:beforeLines="0" w:before="240" w:after="240"/>
        <w:rPr>
          <w:rFonts w:ascii="宋体" w:hAnsi="宋体"/>
          <w:szCs w:val="30"/>
        </w:rPr>
      </w:pPr>
      <w:bookmarkStart w:id="28" w:name="_Toc228201070"/>
      <w:r>
        <w:rPr>
          <w:rFonts w:ascii="Times New Roman" w:hAnsi="Times New Roman"/>
          <w:sz w:val="30"/>
        </w:rPr>
        <w:lastRenderedPageBreak/>
        <w:t>二十五、备查文件</w:t>
      </w:r>
      <w:bookmarkEnd w:id="28"/>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（一）中国证监会准予交银施罗德新回报灵活配置混合型证券投资基金募集注册的文件</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（二）《交银施罗德新回报灵活配置混合型证券投资基金基金合同》</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（三）《交银施罗德新回报灵活配置混合型证券投资基金托管协议》</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BD4B77" w:rsidRDefault="00877E6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（六）关于申请募集注册交银施罗德新回报灵活配置混合型证券投资基金的法律意见书</w:t>
      </w:r>
    </w:p>
    <w:sectPr w:rsidR="00BD4B77">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54D" w:rsidRDefault="00877E63">
      <w:r>
        <w:separator/>
      </w:r>
    </w:p>
  </w:endnote>
  <w:endnote w:type="continuationSeparator" w:id="0">
    <w:p w:rsidR="0052654D" w:rsidRDefault="00877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B77" w:rsidRDefault="00BD4B7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B77" w:rsidRDefault="00C74B8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BD4B77" w:rsidRDefault="00877E63">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C74B88">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B77" w:rsidRDefault="00BD4B77">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B77" w:rsidRDefault="00C74B8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BD4B77" w:rsidRDefault="00877E63">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C74B88">
                  <w:rPr>
                    <w:rFonts w:ascii="Times New Roman" w:hAnsi="Times New Roman"/>
                    <w:noProof/>
                    <w:kern w:val="0"/>
                    <w:sz w:val="18"/>
                    <w:szCs w:val="18"/>
                  </w:rPr>
                  <w:t>155</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54D" w:rsidRDefault="00877E63">
      <w:r>
        <w:separator/>
      </w:r>
    </w:p>
  </w:footnote>
  <w:footnote w:type="continuationSeparator" w:id="0">
    <w:p w:rsidR="0052654D" w:rsidRDefault="00877E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B77" w:rsidRDefault="00BD4B7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B77" w:rsidRDefault="00877E63">
    <w:pPr>
      <w:pStyle w:val="a3"/>
      <w:jc w:val="right"/>
      <w:rPr>
        <w:rFonts w:ascii="宋体" w:hAnsi="宋体"/>
      </w:rPr>
    </w:pPr>
    <w:r>
      <w:rPr>
        <w:rFonts w:ascii="宋体" w:hAnsi="宋体" w:hint="eastAsia"/>
      </w:rPr>
      <w:t>交银施罗德新回报灵活配置混合型证券投资基金招募说明书更新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B77" w:rsidRDefault="00BD4B77">
    <w:pPr>
      <w:pStyle w:val="10"/>
      <w:jc w:val="right"/>
    </w:pPr>
  </w:p>
  <w:p w:rsidR="00BD4B77" w:rsidRDefault="00BD4B77">
    <w:pPr>
      <w:pStyle w:val="10"/>
      <w:jc w:val="right"/>
    </w:pPr>
  </w:p>
  <w:p w:rsidR="00BD4B77" w:rsidRDefault="00BD4B77">
    <w:pPr>
      <w:pStyle w:val="a3"/>
      <w:jc w:val="right"/>
    </w:pPr>
  </w:p>
  <w:p w:rsidR="00BD4B77" w:rsidRDefault="00877E63">
    <w:pPr>
      <w:pStyle w:val="a3"/>
      <w:jc w:val="right"/>
      <w:rPr>
        <w:rFonts w:ascii="宋体" w:hAnsi="宋体"/>
      </w:rPr>
    </w:pPr>
    <w:r>
      <w:rPr>
        <w:rFonts w:ascii="宋体" w:hAnsi="宋体" w:hint="eastAsia"/>
      </w:rPr>
      <w:t>交银施罗德新回报灵活配置混合型证券投资基金招募说明书更新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B77" w:rsidRDefault="00BD4B77">
    <w:pPr>
      <w:pStyle w:val="a3"/>
      <w:jc w:val="right"/>
    </w:pPr>
  </w:p>
  <w:p w:rsidR="00BD4B77" w:rsidRDefault="00BD4B77">
    <w:pPr>
      <w:pStyle w:val="a3"/>
      <w:jc w:val="right"/>
    </w:pPr>
  </w:p>
  <w:p w:rsidR="00BD4B77" w:rsidRDefault="00BD4B77">
    <w:pPr>
      <w:pStyle w:val="a3"/>
      <w:jc w:val="right"/>
    </w:pPr>
  </w:p>
  <w:p w:rsidR="00BD4B77" w:rsidRDefault="00877E63">
    <w:pPr>
      <w:pStyle w:val="a3"/>
      <w:jc w:val="right"/>
      <w:rPr>
        <w:rFonts w:ascii="宋体" w:hAnsi="宋体"/>
      </w:rPr>
    </w:pPr>
    <w:r>
      <w:rPr>
        <w:rFonts w:ascii="宋体" w:hAnsi="宋体" w:hint="eastAsia"/>
      </w:rPr>
      <w:t>交银施罗德新回报灵活配置混合型证券投资基金招募说明书更新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2654D"/>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77E63"/>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4B77"/>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74B88"/>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3D1512E0-5EE1-4B96-9C82-1CCB0A12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156</Pages>
  <Words>16341</Words>
  <Characters>93148</Characters>
  <Application>Microsoft Office Word</Application>
  <DocSecurity>0</DocSecurity>
  <Lines>776</Lines>
  <Paragraphs>218</Paragraphs>
  <ScaleCrop>false</ScaleCrop>
  <Company>Microsoft</Company>
  <LinksUpToDate>false</LinksUpToDate>
  <CharactersWithSpaces>109271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2026-04-27T08:50:00Z</dcterms:created>
  <dcterms:modified xsi:type="dcterms:W3CDTF">2026-04-27T08:50:00Z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