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交银施罗德稳固收益债券型证券投资基金（A类份额）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交银稳固收益债券A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2019-05-31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姜承操</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孙婕衎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2011-05-11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沈楠</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2026-03-17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稳固收益债券型证券投资基金由交银施罗德荣祥保本混合型证券投资基金转型而来，上述基金转型于2019年5月31日正式实施，自基金转型实施日起，《交银施罗德荣祥保本混合型证券投资基金基金合同》失效且《交银施罗德稳固收益债券型证券投资基金基金合同》同时生效，交银施罗德荣祥保本混合型证券投资基金正式变更为交银施罗德稳固收益债券型证券投资基金。</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本基金为二级债基，投资于股票资产（含存托凭证）、可转换债券、可交换公司债券的比例合计不高于基金资产净值的20%，理论上本基金的预期风险水平高于纯债基金。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在合理控制风险并保持基金资产良好流动性的前提下，追求超越业绩比较基准的投资回报，控制波动率，力争实现基金资产的长期稳健增值。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投资于股票资产（含存托凭证）、可转换债券、可交换公司债券的比例合计不高于基金资产净值的20%（其中投资于港股通标的股票的比例占股票资产的0%-50%）；本基金持有的现金或者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1、资产配置策略；2、债券投资策略；3、股票投资策略。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沪深300指数收益率×10%+恒生指数收益率×5%+中证综合债券指数收益率×85%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详见《交银施罗德稳固收益债券型证券投资基金招募说明书》第十部分“基金的投资”。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2、本基金于2019年5月31日转型，转型当年净值增长率按实际存续期计算。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0.70%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（1）本基金是债券型基金，投资于债券的比例不低于基金资产的80%，因投资债券类资产而面临债券类资产市场的系统性风险和个券风险；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（6）基金合同提前终止风险。连续50个工作日出现基金份额持有人数量不满200人或者基金资产净值低于5000万元情形的，基金合同终止，不需召开基金份额持有人大会。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●《交银施罗德稳固收益债券型证券投资基金基金合同》、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《交银施罗德稳固收益债券型证券投资基金托管协议》、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《交银施罗德稳固收益债券型证券投资基金招募说明书》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03845"/>
    <w:rsid w:val="00E51B6D"/>
    <w:rsid w:val="00F75715"/>
    <w:rsid w:val="00F811C4"/>
    <w:rsid w:val="00FC2918"/>
    <w:rsid w:val="1C6242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818</Words>
  <Characters>4667</Characters>
  <Lines>38</Lines>
  <Paragraphs>10</Paragraphs>
  <TotalTime>0</TotalTime>
  <ScaleCrop>false</ScaleCrop>
  <LinksUpToDate>false</LinksUpToDate>
  <CharactersWithSpaces>5475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2026-04-24T01:21:00Z</dcterms:created>
  <dc:creator>Cc</dc:creator>
  <cp:lastModifiedBy>haotingting</cp:lastModifiedBy>
  <dcterms:modified xsi:type="dcterms:W3CDTF">2026-04-28T08:37:22Z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72E3F6CE224546289F0517280D69DC91</vt:lpwstr>
  </property>
</Properties>
</file>