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交银施罗德双轮动债券型证券投资基金（C类份额）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交银双轮动债券C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2013-04-18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黄莹洁</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2025-12-27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唐赟</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2015-08-04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本基金在严格控制投资风险的基础上，通过积极主动的投资管理，把握债券市场轮动带来的机会，力争实现基金资产长期稳健的增值。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债、央行票据、地方政府债、金融债、企业债、短期融资券、中期票据、公司债、分离交易可转债、资产支持证券、债券回购、银行存款等固定收益类资产以及法律法规或中国证监会允许基金投资的其他金融工具(但须符合中国证监会相关规定)。本基金不直接在二级市场买入股票、权证等权益类资产，也不参与一级市场新股申购和新股增发。因投资于分离交易可转债而产生的权证，在其可交易之日起的30个交易日内卖出。同时本基金不参与可转换债券投资(分离交易可转债除外)。</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基金的投资组合比例为：固定收益类资产的比例不低于基金资产净值的80%；现金或到期日在一年以内的政府债券的比例合计不低于基金资产净值的5%，其中现金不包括结算备付金、存出保证金、应收申购款等。</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规范化的基本面研究、严谨的信用分析与积极主动的投资风格相结合，在分析和判断宏观经济运行状况和金融市场运行趋势的基础上，判断不同类别债券在经济周期的不同阶段的相对投资价值，动态调整大类金融资产比例，自上而下决定类属资产配置和债券组合久期、期限结构。同时，通过对信用债发债主体所处行业的景气轮动判断，并结合内部信用评级系统，综合考察信用债券的信用评级，在严谨深入的分析基础上，综合考量各类债券的流动性、供求关系和收益率水平等，自下而上地精选个券。</w:t>
            </w:r>
          </w:p>
          <w:p>
            <w:pPr>
              <w:ind w:firstLine="420"/>
              <w:jc w:val="left"/>
              <w:rPr>
                <w:rFonts w:ascii="仿宋_GB2312" w:eastAsia="仿宋_GB2312"/>
                <w:szCs w:val="21"/>
              </w:rPr>
            </w:pPr>
            <w:r>
              <w:rPr>
                <w:rFonts w:hint="eastAsia" w:ascii="仿宋_GB2312" w:eastAsia="仿宋_GB2312"/>
                <w:szCs w:val="21"/>
              </w:rPr>
              <w:t>1、大类资产配置；2、债券投资策略。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属于证券投资基金中中等风险的品种，其长期平均的预期收益和预期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详见《交银施罗德双轮动债券型证券投资基金招募说明书》第十部分“基金的投资”。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5、投资本基金特有的风险</w:t>
      </w:r>
    </w:p>
    <w:p>
      <w:pPr>
        <w:ind w:firstLine="420"/>
        <w:jc w:val="left"/>
        <w:rPr>
          <w:rFonts w:ascii="仿宋_GB2312" w:eastAsia="仿宋_GB2312"/>
          <w:szCs w:val="21"/>
        </w:rPr>
      </w:pPr>
      <w:r>
        <w:rPr>
          <w:rFonts w:hint="eastAsia" w:ascii="仿宋_GB2312" w:eastAsia="仿宋_GB2312"/>
          <w:szCs w:val="21"/>
        </w:rPr>
        <w:t>（1）本基金为债券型基金，固定收益类资产的比例不低于基金资产净值的80%，因投资固定收益类资产而面临的固定收益类资产市场的系统性风险和个券风险；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●《交银施罗德双轮动债券型证券投资基金基金合同》、</w:t>
      </w:r>
    </w:p>
    <w:p>
      <w:pPr>
        <w:ind w:firstLine="420"/>
        <w:jc w:val="left"/>
        <w:rPr>
          <w:rFonts w:ascii="仿宋_GB2312" w:eastAsia="仿宋_GB2312"/>
          <w:szCs w:val="21"/>
        </w:rPr>
      </w:pPr>
      <w:r>
        <w:rPr>
          <w:rFonts w:hint="eastAsia" w:ascii="仿宋_GB2312" w:eastAsia="仿宋_GB2312"/>
          <w:szCs w:val="21"/>
        </w:rPr>
        <w:t>《交银施罗德双轮动债券型证券投资基金托管协议》、</w:t>
      </w:r>
    </w:p>
    <w:p>
      <w:pPr>
        <w:ind w:firstLine="420"/>
        <w:jc w:val="left"/>
        <w:rPr>
          <w:rFonts w:ascii="仿宋_GB2312" w:eastAsia="仿宋_GB2312"/>
          <w:szCs w:val="21"/>
        </w:rPr>
      </w:pPr>
      <w:r>
        <w:rPr>
          <w:rFonts w:hint="eastAsia" w:ascii="仿宋_GB2312" w:eastAsia="仿宋_GB2312"/>
          <w:szCs w:val="21"/>
        </w:rPr>
        <w:t>《交银施罗德双轮动债券型证券投资基金招募说明书》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8D65D0"/>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768E6F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549</Words>
  <Characters>3132</Characters>
  <Lines>26</Lines>
  <Paragraphs>7</Paragraphs>
  <TotalTime>0</TotalTime>
  <ScaleCrop>false</ScaleCrop>
  <LinksUpToDate>false</LinksUpToDate>
  <CharactersWithSpaces>3674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2026-04-29T01:20:00Z</dcterms:created>
  <dc:creator>Cc</dc:creator>
  <cp:lastModifiedBy>haotingting</cp:lastModifiedBy>
  <dcterms:modified xsi:type="dcterms:W3CDTF">2026-04-29T01:21:41Z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F59DC0CDC3BC462CB8A998CD9B95218B</vt:lpwstr>
  </property>
</Properties>
</file>