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交银施罗德科技创新灵活配置混合型证券投资基金（A类份额）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交银科技创新灵活配置混合A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519767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中国工商银行股份有限公司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2016-05-05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芮晨</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2016-05-05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2007-02-01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应当向中国证监会报告并提出解决方案，如转换运作方式、与其他基金合并或者终止基金合同等，并召开基金份额持有人大会进行表决。</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本基金重点关注以科技为创新驱动力、在产业竞争中掌握核心竞争优势的优质上市公司，在控制风险并保持基金资产良好的流动性的前提下，力争实现基金资产的长期稳定增值。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中期票据、货币市场工具、权证、资产支持证券、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0%-95%；本基金投资受益于科技创新相关上市公司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将综合考虑国家经济政策、经济周期、各行业的相对估值水平和行业竞争格局等因素，进行大类资产在各行业间的配置。本基金聚焦于具有科技创新优势的行业和企业，深度挖掘依附于科技创新背后的新商业模式，重点关注以科技为创新驱动力、在产业竞争中掌握核心竞争优势的优质上市公司，致力于占领科技创新进程中的制高点。 其中，本基金股票投资重点关注直接受益于科技创新红利、或在新科技、新技术推动下盈利水平长期显著提升的其他上市公司。</w:t>
            </w:r>
          </w:p>
          <w:p>
            <w:pPr>
              <w:ind w:firstLine="420"/>
              <w:jc w:val="left"/>
              <w:rPr>
                <w:rFonts w:ascii="仿宋_GB2312" w:eastAsia="仿宋_GB2312"/>
                <w:szCs w:val="21"/>
              </w:rPr>
            </w:pPr>
            <w:r>
              <w:rPr>
                <w:rFonts w:hint="eastAsia" w:ascii="仿宋_GB2312" w:eastAsia="仿宋_GB2312"/>
                <w:szCs w:val="21"/>
              </w:rPr>
              <w:t>1、资产配置；2、行业配置；3、股票投资；4、债券投资；5、权证投资；6、资产支持证券投资；7、股指期货投资。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60%×沪深300指数+40%×中证综合债券指数</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详见《交银施罗德科技创新灵活配置混合型证券投资基金招募说明书》第十部分“基金的投资”。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2、本基金合同于2016年5月5日生效，合同生效当年净值增长率按实际存续期计算。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38000.00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1.42%</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资产支持证券具有一定的价格波动风险、流动性风险、信用风险等风险，本公司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●《交银施罗德科技创新灵活配置混合型证券投资基金基金合同》、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《交银施罗德科技创新灵活配置混合型证券投资基金托管协议》、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《交银施罗德科技创新灵活配置混合型证券投资基金招募说明书》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01F4"/>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3330B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737</Words>
  <Characters>4202</Characters>
  <Lines>35</Lines>
  <Paragraphs>9</Paragraphs>
  <TotalTime>8</TotalTime>
  <ScaleCrop>false</ScaleCrop>
  <LinksUpToDate>false</LinksUpToDate>
  <CharactersWithSpaces>4930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2026-04-24T01:22:00Z</dcterms:created>
  <dc:creator>Cc</dc:creator>
  <cp:lastModifiedBy>haotingting</cp:lastModifiedBy>
  <dcterms:modified xsi:type="dcterms:W3CDTF">2026-04-27T07:20:26Z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9C32214E429C437DB8ED6AFE40D811BD</vt:lpwstr>
  </property>
</Properties>
</file>