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交银施罗德安享稳健养老目标一年持有期混合型基金中基金（FOF）（Y类份额）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交银安享稳健养老一年Y</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017235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2019-05-30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每个开放日开放申购，每份基金份额最短持有期限为一年，一年内不能提出赎回申请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本基金主要投资于经中国证监会依法核准或注册的公开募集证券投资基金的基金份额，在控制风险并保持基金资产良好的流动性的前提下，力争实现基金资产的长期稳健增值，满足养老资金理财需求。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-30%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本基金投资于权益类资产（包括股票（含存托凭证）、股票型基金、混合型基金）的战略配置目标比例为25%，投资比例为基金资产的15%-30%。其中混合型基金需符合下列两个条件之一：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1、基金合同中明确约定股票投资占基金资产的比例为50%以上；</w:t>
            </w:r>
          </w:p>
          <w:p>
            <w:pPr>
              <w:ind w:firstLine="420"/>
              <w:jc w:val="left"/>
              <w:rPr>
                <w:rFonts w:ascii="仿宋_GB2312" w:eastAsia="仿宋_GB2312"/>
                <w:szCs w:val="21"/>
              </w:rPr>
            </w:pPr>
            <w:r>
              <w:rPr>
                <w:rFonts w:hint="eastAsia" w:ascii="仿宋_GB2312" w:eastAsia="仿宋_GB2312"/>
                <w:szCs w:val="21"/>
              </w:rPr>
              <w:t>2、最近4个季度披露的股票投资占基金资产的比例均在50%以上的混合型基金。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1、大类资产配置；2、基金投资策略；3、股票投资策略；4、债券投资策略；5、权证投资策略；6、资产支持证券投资策略；7、风险控制策略。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80%×中债综合全价指数收益率+20%×沪深300指数收益率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详见《交银施罗德安享稳健养老目标一年持有期混合型基金中基金(FOF)招募说明书》第九部分“基金的投资”。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2、本基金自2022年11月11日增加Y类基金份额，自2022年11月16日起新增有效份额，并于2022年11月28日起面向公众发售，基金份额类别首次确认当年净值增长率按实际存续期计算。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Y类基金份额可对基金管理费和基金托管费实施一定的费率优惠，具体优惠请参看招募说明书或相关公告。 3、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1、本基金特有的风险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-30%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定位为稳健型目标风险策略基金，本基金投资于权益类资产（包括股票（含存托凭证）、股票型基金、混合型基金）的战略配置目标比例为25%，投资比例为基金资产的15%-30%。其中混合型基金需符合下列两个条件之一：1）基金合同中明确约定股票投资占基金资产的比例为50%以上；2）最近4个季度披露的股票投资占基金资产的比例均在50%以上的混合型基金。本基金的预期风险与预期收益高于债券型基金、债券型基金中基金、货币市场基金和货币型基金中基金，低于股票型基金和股票型基金中基金。</w:t>
      </w:r>
    </w:p>
    <w:p>
      <w:pPr>
        <w:ind w:firstLine="420"/>
        <w:jc w:val="left"/>
        <w:rPr>
          <w:rFonts w:ascii="仿宋_GB2312" w:eastAsia="仿宋_GB2312"/>
          <w:szCs w:val="21"/>
        </w:rPr>
      </w:pPr>
      <w:r>
        <w:rPr>
          <w:rFonts w:hint="eastAsia" w:ascii="仿宋_GB2312" w:eastAsia="仿宋_GB2312"/>
          <w:szCs w:val="21"/>
        </w:rPr>
        <w:t>（4）基金份额持有人持有的每份基金份额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通常T日提交的有效申购申请于T+3日确认）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5）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6）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7）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8）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2、市场风险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3、管理风险</w:t>
      </w:r>
    </w:p>
    <w:p>
      <w:pPr>
        <w:ind w:firstLine="420"/>
        <w:jc w:val="left"/>
        <w:rPr>
          <w:rFonts w:ascii="仿宋_GB2312" w:eastAsia="仿宋_GB2312"/>
          <w:szCs w:val="21"/>
        </w:rPr>
      </w:pPr>
      <w:r>
        <w:rPr>
          <w:rFonts w:hint="eastAsia" w:ascii="仿宋_GB2312" w:eastAsia="仿宋_GB2312"/>
          <w:szCs w:val="21"/>
        </w:rPr>
        <w:t>4、流动性风险</w:t>
      </w:r>
    </w:p>
    <w:p>
      <w:pPr>
        <w:ind w:firstLine="420"/>
        <w:jc w:val="left"/>
        <w:rPr>
          <w:rFonts w:ascii="仿宋_GB2312" w:eastAsia="仿宋_GB2312"/>
          <w:szCs w:val="21"/>
        </w:rPr>
      </w:pPr>
      <w:r>
        <w:rPr>
          <w:rFonts w:hint="eastAsia" w:ascii="仿宋_GB2312" w:eastAsia="仿宋_GB2312"/>
          <w:szCs w:val="21"/>
        </w:rPr>
        <w:t>5、信用风险</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●《交银施罗德安享稳健养老目标一年持有期混合型基金中基金（FOF）基金合同》、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《交银施罗德安享稳健养老目标一年持有期混合型基金中基金（FOF）基金托管协议》、</w:t>
      </w:r>
    </w:p>
    <w:p>
      <w:pPr>
        <w:ind w:firstLine="420"/>
        <w:jc w:val="left"/>
        <w:rPr>
          <w:rFonts w:ascii="仿宋_GB2312" w:eastAsia="仿宋_GB2312"/>
          <w:szCs w:val="21"/>
        </w:rPr>
      </w:pPr>
      <w:r>
        <w:rPr>
          <w:rFonts w:hint="eastAsia" w:ascii="仿宋_GB2312" w:eastAsia="仿宋_GB2312"/>
          <w:szCs w:val="21"/>
        </w:rPr>
        <w:t>《交银施罗德安享稳健养老目标一年持有期混合型基金中基金（FOF）招募说明书》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75FEA"/>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18603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985</Words>
  <Characters>5618</Characters>
  <Lines>46</Lines>
  <Paragraphs>13</Paragraphs>
  <TotalTime>0</TotalTime>
  <ScaleCrop>false</ScaleCrop>
  <LinksUpToDate>false</LinksUpToDate>
  <CharactersWithSpaces>6590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2026-04-24T09:14:03Z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36C7F6AA48B244559C9C8F176C80CF82</vt:lpwstr>
  </property>
</Properties>
</file>