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交银施罗德裕如纯债债券型证券投资基金（E类份额）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交银裕如纯债债券E</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019289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浙商银行股份有限公司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2018-05-25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可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本基金在严格控制风险和保持资产流动性的基础上，通过积极主动的投资管理，力争持续稳定地实现超越业绩比较基准的投资回报。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对宏观经济运行趋势、财政以及货币政策变化趋势作出分析和判断，对未来市场利率趋势及市场信用环境变化作出预测，确定本基金债券组合久期、期限结构、债券类别配置策略，在严谨深入的分析和严格的风险控制基础上，综合考虑经济变量的变动对不同券种收益率、信用趋势和风险的潜在影响，深入挖掘价值被低估的标的券种。</w:t>
            </w:r>
          </w:p>
          <w:p>
            <w:pPr>
              <w:ind w:firstLine="420"/>
              <w:jc w:val="left"/>
              <w:rPr>
                <w:rFonts w:ascii="仿宋_GB2312" w:eastAsia="仿宋_GB2312"/>
                <w:szCs w:val="21"/>
              </w:rPr>
            </w:pPr>
            <w:r>
              <w:rPr>
                <w:rFonts w:hint="eastAsia" w:ascii="仿宋_GB2312" w:eastAsia="仿宋_GB2312"/>
                <w:szCs w:val="21"/>
              </w:rPr>
              <w:t>1、久期管理策略；2、期限结构配置策略；3、债券的类别配置策略；4、骑乘策略；5、杠杆放大策略；6、信用债券投资策略；7、资产支持证券投资策略；8、中小企业私募债券投资策略。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详见《交银施罗德裕如纯债债券型证券投资基金招募说明书》第十部分“基金的投资”。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2、本基金自2023年8月30日起，开始销售E类份额，基金份额类别首次确认当年净值增长率按实际存续期计算。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0.51%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（3）基金合同提前终止风险。连续六十个工作日出现基金份额持有人数量不满200人或者基金资产净值低于5000万元情形的，基金管理人可向中国证监会报告并提前终止基金合同，不需召开基金份额持有人大会。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6、投资中小企业私募债的特定风险</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●《交银施罗德裕如纯债债券型证券投资基金基金合同》、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《交银施罗德裕如纯债债券型证券投资基金托管协议》、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《交银施罗德裕如纯债债券型证券投资基金招募说明书》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819AC"/>
    <w:rsid w:val="00CD7637"/>
    <w:rsid w:val="00D04A15"/>
    <w:rsid w:val="00D373CC"/>
    <w:rsid w:val="00DB319C"/>
    <w:rsid w:val="00E51B6D"/>
    <w:rsid w:val="00F7385E"/>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604</Words>
  <Characters>3449</Characters>
  <Lines>28</Lines>
  <Paragraphs>8</Paragraphs>
  <TotalTime>0</TotalTime>
  <ScaleCrop>false</ScaleCrop>
  <LinksUpToDate>false</LinksUpToDate>
  <CharactersWithSpaces>4045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2026-04-28T11:07:49Z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050BE37F442B4E69836C600F6FA31469</vt:lpwstr>
  </property>
</Properties>
</file>