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135B55">
      <w:pPr>
        <w:rPr>
          <w:sz w:val="32"/>
        </w:rPr>
      </w:pPr>
    </w:p>
    <w:p w:rsidR="00C92FC0" w:rsidRPr="00EB07BC" w:rsidRDefault="00135B55">
      <w:pPr>
        <w:rPr>
          <w:sz w:val="32"/>
        </w:rPr>
      </w:pPr>
    </w:p>
    <w:p w:rsidR="00C92FC0" w:rsidRPr="00EB07BC" w:rsidRDefault="00135B55">
      <w:pPr>
        <w:rPr>
          <w:sz w:val="32"/>
        </w:rPr>
      </w:pPr>
    </w:p>
    <w:p w:rsidR="00E0473C" w:rsidRDefault="00E0473C">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E0473C" w:rsidRDefault="00E0473C">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E0473C" w:rsidRDefault="00E0473C">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E0473C" w:rsidRDefault="0037355A">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交银施罗德科技创新灵活配置混合型证券投资基金</w:t>
      </w:r>
    </w:p>
    <w:p w:rsidR="00E0473C" w:rsidRDefault="0037355A">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E0473C" w:rsidRDefault="00E0473C">
      <w:pPr>
        <w:snapToGrid w:val="0"/>
        <w:spacing w:line="360" w:lineRule="auto"/>
        <w:jc w:val="center"/>
        <w:rPr>
          <w:rFonts w:ascii="宋体" w:hAnsi="宋体"/>
          <w:b/>
          <w:sz w:val="30"/>
          <w:szCs w:val="30"/>
        </w:rPr>
      </w:pPr>
    </w:p>
    <w:p w:rsidR="00E0473C" w:rsidRDefault="00E0473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0473C" w:rsidRDefault="00E0473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0473C" w:rsidRDefault="00E0473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0473C" w:rsidRDefault="00E0473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0473C" w:rsidRDefault="00E0473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0473C" w:rsidRDefault="00E0473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0473C" w:rsidRDefault="0037355A">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E0473C" w:rsidRDefault="0037355A">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基金托管人：中国工商银行股份有限公司</w:t>
      </w:r>
    </w:p>
    <w:p w:rsidR="00E0473C" w:rsidRDefault="00E0473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0473C" w:rsidRDefault="00E0473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0473C" w:rsidRDefault="0037355A">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二〇二六年四月</w:t>
      </w:r>
    </w:p>
    <w:p w:rsidR="00E0473C" w:rsidRDefault="00E0473C">
      <w:pPr>
        <w:autoSpaceDE w:val="0"/>
        <w:autoSpaceDN w:val="0"/>
        <w:adjustRightInd w:val="0"/>
        <w:snapToGrid w:val="0"/>
        <w:spacing w:line="360" w:lineRule="auto"/>
        <w:ind w:left="1347" w:rightChars="6" w:right="13"/>
        <w:rPr>
          <w:rFonts w:ascii="宋体" w:hAnsi="宋体"/>
          <w:kern w:val="0"/>
          <w:sz w:val="32"/>
          <w:szCs w:val="32"/>
        </w:rPr>
        <w:sectPr w:rsidR="00E0473C">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E0473C" w:rsidRDefault="0037355A">
      <w:pPr>
        <w:pStyle w:val="1"/>
        <w:snapToGrid w:val="0"/>
        <w:spacing w:beforeLines="0" w:before="240" w:after="240"/>
        <w:rPr>
          <w:rFonts w:ascii="宋体" w:hAnsi="宋体"/>
          <w:kern w:val="0"/>
        </w:rPr>
      </w:pPr>
      <w:bookmarkStart w:id="0" w:name="_Toc324920538"/>
      <w:bookmarkStart w:id="1" w:name="_Toc496884613"/>
      <w:bookmarkStart w:id="2" w:name="_Toc228463639"/>
      <w:r>
        <w:rPr>
          <w:rFonts w:ascii="Times New Roman" w:hAnsi="Times New Roman"/>
          <w:kern w:val="0"/>
        </w:rPr>
        <w:lastRenderedPageBreak/>
        <w:t>重要提示</w:t>
      </w:r>
      <w:bookmarkEnd w:id="0"/>
      <w:bookmarkEnd w:id="1"/>
      <w:bookmarkEnd w:id="2"/>
    </w:p>
    <w:p w:rsidR="00E0473C" w:rsidRDefault="0037355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交银施罗德科技创新灵活配置混合型证券投资基金（以下简称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2016</w:t>
      </w:r>
      <w:r>
        <w:rPr>
          <w:rFonts w:ascii="Times New Roman" w:hAnsi="Times New Roman"/>
          <w:kern w:val="0"/>
          <w:sz w:val="24"/>
        </w:rPr>
        <w:t>年</w:t>
      </w:r>
      <w:r>
        <w:rPr>
          <w:rFonts w:ascii="Times New Roman" w:hAnsi="Times New Roman"/>
          <w:kern w:val="0"/>
          <w:sz w:val="24"/>
        </w:rPr>
        <w:t>1</w:t>
      </w:r>
      <w:r>
        <w:rPr>
          <w:rFonts w:ascii="Times New Roman" w:hAnsi="Times New Roman"/>
          <w:kern w:val="0"/>
          <w:sz w:val="24"/>
        </w:rPr>
        <w:t>月</w:t>
      </w:r>
      <w:r>
        <w:rPr>
          <w:rFonts w:ascii="Times New Roman" w:hAnsi="Times New Roman"/>
          <w:kern w:val="0"/>
          <w:sz w:val="24"/>
        </w:rPr>
        <w:t>28</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2016</w:t>
      </w:r>
      <w:r>
        <w:rPr>
          <w:rFonts w:ascii="Times New Roman" w:hAnsi="Times New Roman"/>
          <w:kern w:val="0"/>
          <w:sz w:val="24"/>
        </w:rPr>
        <w:t>】</w:t>
      </w:r>
      <w:r>
        <w:rPr>
          <w:rFonts w:ascii="Times New Roman" w:hAnsi="Times New Roman"/>
          <w:kern w:val="0"/>
          <w:sz w:val="24"/>
        </w:rPr>
        <w:t>199</w:t>
      </w:r>
      <w:r>
        <w:rPr>
          <w:rFonts w:ascii="Times New Roman" w:hAnsi="Times New Roman"/>
          <w:kern w:val="0"/>
          <w:sz w:val="24"/>
        </w:rPr>
        <w:t>号文准予募集注册。本基金基金合同于</w:t>
      </w:r>
      <w:r>
        <w:rPr>
          <w:rFonts w:ascii="Times New Roman" w:hAnsi="Times New Roman"/>
          <w:kern w:val="0"/>
          <w:sz w:val="24"/>
        </w:rPr>
        <w:t>2016</w:t>
      </w:r>
      <w:r>
        <w:rPr>
          <w:rFonts w:ascii="Times New Roman" w:hAnsi="Times New Roman"/>
          <w:kern w:val="0"/>
          <w:sz w:val="24"/>
        </w:rPr>
        <w:t>年</w:t>
      </w:r>
      <w:r>
        <w:rPr>
          <w:rFonts w:ascii="Times New Roman" w:hAnsi="Times New Roman"/>
          <w:kern w:val="0"/>
          <w:sz w:val="24"/>
        </w:rPr>
        <w:t>5</w:t>
      </w:r>
      <w:r>
        <w:rPr>
          <w:rFonts w:ascii="Times New Roman" w:hAnsi="Times New Roman"/>
          <w:kern w:val="0"/>
          <w:sz w:val="24"/>
        </w:rPr>
        <w:t>月</w:t>
      </w:r>
      <w:r>
        <w:rPr>
          <w:rFonts w:ascii="Times New Roman" w:hAnsi="Times New Roman"/>
          <w:kern w:val="0"/>
          <w:sz w:val="24"/>
        </w:rPr>
        <w:t>5</w:t>
      </w:r>
      <w:r>
        <w:rPr>
          <w:rFonts w:ascii="Times New Roman" w:hAnsi="Times New Roman"/>
          <w:kern w:val="0"/>
          <w:sz w:val="24"/>
        </w:rPr>
        <w:t>日正式生效。</w:t>
      </w:r>
    </w:p>
    <w:p w:rsidR="00E0473C" w:rsidRDefault="0037355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中国证监会不对基金的投资价值及市场前景等作出实质性判断或者保证。</w:t>
      </w:r>
    </w:p>
    <w:p w:rsidR="00E0473C" w:rsidRDefault="0037355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E0473C" w:rsidRDefault="0037355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包括实施侧袋机制时的特定风险）；交易对手违约风险；投资股指期货的特定风险；投资资产支持证券的特定风险；投资科创板股票的特定风险；投资本基金特有的其他风险等等。本基金是一只混合型基金，其风险和预期收益高于债券型基金和货币市场基金，低于股票型基金。属于承担较高风险、预期收益较高的证券投资基金品种。</w:t>
      </w:r>
    </w:p>
    <w:p w:rsidR="00E0473C" w:rsidRDefault="0037355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E0473C" w:rsidRDefault="0037355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E0473C" w:rsidRDefault="0037355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投资有风险，投资人在投资本基金前应认真阅读本基金的招募说明书、基金合同、基金产品资料概要等信息披露文件。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E0473C" w:rsidRDefault="0037355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04</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E0473C" w:rsidRDefault="00E0473C">
      <w:pPr>
        <w:autoSpaceDE w:val="0"/>
        <w:autoSpaceDN w:val="0"/>
        <w:adjustRightInd w:val="0"/>
        <w:snapToGrid w:val="0"/>
        <w:spacing w:before="51" w:line="360" w:lineRule="auto"/>
        <w:ind w:left="120" w:rightChars="6" w:right="13" w:firstLine="480"/>
        <w:rPr>
          <w:rFonts w:ascii="宋体" w:hAnsi="宋体"/>
          <w:kern w:val="0"/>
          <w:szCs w:val="24"/>
        </w:rPr>
        <w:sectPr w:rsidR="00E0473C">
          <w:headerReference w:type="default" r:id="rId14"/>
          <w:pgSz w:w="11920" w:h="16840"/>
          <w:pgMar w:top="1440" w:right="1680" w:bottom="280" w:left="1680" w:header="0" w:footer="1073" w:gutter="0"/>
          <w:pgNumType w:start="1"/>
          <w:cols w:space="720"/>
        </w:sectPr>
      </w:pPr>
    </w:p>
    <w:p w:rsidR="00135B55" w:rsidRPr="00135B55" w:rsidRDefault="0037355A" w:rsidP="00135B55">
      <w:pPr>
        <w:pStyle w:val="ad"/>
        <w:snapToGrid w:val="0"/>
        <w:spacing w:after="240" w:line="360" w:lineRule="auto"/>
        <w:jc w:val="center"/>
        <w:rPr>
          <w:rFonts w:ascii="宋体" w:hAnsi="宋体"/>
          <w:noProof/>
          <w:sz w:val="24"/>
        </w:rPr>
      </w:pPr>
      <w:r w:rsidRPr="00135B55">
        <w:rPr>
          <w:rFonts w:ascii="宋体" w:hAnsi="宋体"/>
          <w:color w:val="000000"/>
          <w:position w:val="-4"/>
          <w:sz w:val="24"/>
          <w:szCs w:val="30"/>
        </w:rPr>
        <w:lastRenderedPageBreak/>
        <w:t>目</w:t>
      </w:r>
      <w:r w:rsidRPr="00135B55">
        <w:rPr>
          <w:rFonts w:ascii="宋体" w:hAnsi="宋体"/>
          <w:color w:val="000000"/>
          <w:position w:val="-4"/>
          <w:sz w:val="24"/>
          <w:szCs w:val="30"/>
        </w:rPr>
        <w:tab/>
        <w:t>录</w:t>
      </w:r>
      <w:r w:rsidR="00135B55" w:rsidRPr="00135B55">
        <w:rPr>
          <w:rFonts w:ascii="宋体" w:hAnsi="宋体"/>
          <w:color w:val="000000"/>
          <w:position w:val="-4"/>
          <w:sz w:val="24"/>
          <w:szCs w:val="30"/>
        </w:rPr>
        <w:fldChar w:fldCharType="begin"/>
      </w:r>
      <w:r w:rsidR="00135B55" w:rsidRPr="00135B55">
        <w:rPr>
          <w:rFonts w:ascii="宋体" w:hAnsi="宋体"/>
          <w:color w:val="000000"/>
          <w:position w:val="-4"/>
          <w:sz w:val="24"/>
          <w:szCs w:val="30"/>
        </w:rPr>
        <w:instrText xml:space="preserve"> TOC \o "1-3" \f - \h \t "-1" </w:instrText>
      </w:r>
      <w:r w:rsidR="00135B55" w:rsidRPr="00135B55">
        <w:rPr>
          <w:rFonts w:ascii="宋体" w:hAnsi="宋体"/>
          <w:color w:val="000000"/>
          <w:position w:val="-4"/>
          <w:sz w:val="24"/>
          <w:szCs w:val="30"/>
        </w:rPr>
        <w:fldChar w:fldCharType="separate"/>
      </w:r>
    </w:p>
    <w:p w:rsidR="00135B55" w:rsidRPr="00135B55" w:rsidRDefault="00135B55" w:rsidP="00135B55">
      <w:pPr>
        <w:pStyle w:val="10"/>
        <w:tabs>
          <w:tab w:val="right" w:leader="dot" w:pos="8550"/>
        </w:tabs>
        <w:spacing w:line="360" w:lineRule="auto"/>
        <w:rPr>
          <w:rFonts w:ascii="宋体" w:hAnsi="宋体" w:cstheme="minorBidi"/>
          <w:noProof/>
          <w:sz w:val="24"/>
        </w:rPr>
      </w:pPr>
      <w:hyperlink w:anchor="_Toc228463639" w:history="1">
        <w:r w:rsidRPr="00135B55">
          <w:rPr>
            <w:rStyle w:val="aa"/>
            <w:rFonts w:ascii="宋体" w:hAnsi="宋体" w:hint="eastAsia"/>
            <w:noProof/>
            <w:kern w:val="0"/>
            <w:sz w:val="24"/>
          </w:rPr>
          <w:t>重要提示</w:t>
        </w:r>
        <w:r w:rsidRPr="00135B55">
          <w:rPr>
            <w:rFonts w:ascii="宋体" w:hAnsi="宋体"/>
            <w:noProof/>
            <w:sz w:val="24"/>
          </w:rPr>
          <w:tab/>
        </w:r>
        <w:r w:rsidRPr="00135B55">
          <w:rPr>
            <w:rFonts w:ascii="宋体" w:hAnsi="宋体"/>
            <w:noProof/>
            <w:sz w:val="24"/>
          </w:rPr>
          <w:fldChar w:fldCharType="begin"/>
        </w:r>
        <w:r w:rsidRPr="00135B55">
          <w:rPr>
            <w:rFonts w:ascii="宋体" w:hAnsi="宋体"/>
            <w:noProof/>
            <w:sz w:val="24"/>
          </w:rPr>
          <w:instrText xml:space="preserve"> PAGEREF _Toc228463639 \h </w:instrText>
        </w:r>
        <w:r w:rsidRPr="00135B55">
          <w:rPr>
            <w:rFonts w:ascii="宋体" w:hAnsi="宋体"/>
            <w:noProof/>
            <w:sz w:val="24"/>
          </w:rPr>
        </w:r>
        <w:r w:rsidRPr="00135B55">
          <w:rPr>
            <w:rFonts w:ascii="宋体" w:hAnsi="宋体"/>
            <w:noProof/>
            <w:sz w:val="24"/>
          </w:rPr>
          <w:fldChar w:fldCharType="separate"/>
        </w:r>
        <w:r w:rsidRPr="00135B55">
          <w:rPr>
            <w:rFonts w:ascii="宋体" w:hAnsi="宋体"/>
            <w:noProof/>
            <w:sz w:val="24"/>
          </w:rPr>
          <w:t>1</w:t>
        </w:r>
        <w:r w:rsidRPr="00135B55">
          <w:rPr>
            <w:rFonts w:ascii="宋体" w:hAnsi="宋体"/>
            <w:noProof/>
            <w:sz w:val="24"/>
          </w:rPr>
          <w:fldChar w:fldCharType="end"/>
        </w:r>
      </w:hyperlink>
    </w:p>
    <w:p w:rsidR="00135B55" w:rsidRPr="00135B55" w:rsidRDefault="00135B55" w:rsidP="00135B55">
      <w:pPr>
        <w:pStyle w:val="10"/>
        <w:tabs>
          <w:tab w:val="right" w:leader="dot" w:pos="8550"/>
        </w:tabs>
        <w:spacing w:line="360" w:lineRule="auto"/>
        <w:rPr>
          <w:rFonts w:ascii="宋体" w:hAnsi="宋体" w:cstheme="minorBidi"/>
          <w:noProof/>
          <w:sz w:val="24"/>
        </w:rPr>
      </w:pPr>
      <w:hyperlink w:anchor="_Toc228463640" w:history="1">
        <w:r w:rsidRPr="00135B55">
          <w:rPr>
            <w:rStyle w:val="aa"/>
            <w:rFonts w:ascii="宋体" w:hAnsi="宋体" w:hint="eastAsia"/>
            <w:noProof/>
            <w:sz w:val="24"/>
          </w:rPr>
          <w:t>一、绪言</w:t>
        </w:r>
        <w:r w:rsidRPr="00135B55">
          <w:rPr>
            <w:rFonts w:ascii="宋体" w:hAnsi="宋体"/>
            <w:noProof/>
            <w:sz w:val="24"/>
          </w:rPr>
          <w:tab/>
        </w:r>
        <w:r w:rsidRPr="00135B55">
          <w:rPr>
            <w:rFonts w:ascii="宋体" w:hAnsi="宋体"/>
            <w:noProof/>
            <w:sz w:val="24"/>
          </w:rPr>
          <w:fldChar w:fldCharType="begin"/>
        </w:r>
        <w:r w:rsidRPr="00135B55">
          <w:rPr>
            <w:rFonts w:ascii="宋体" w:hAnsi="宋体"/>
            <w:noProof/>
            <w:sz w:val="24"/>
          </w:rPr>
          <w:instrText xml:space="preserve"> PAGEREF _Toc228463640 \h </w:instrText>
        </w:r>
        <w:r w:rsidRPr="00135B55">
          <w:rPr>
            <w:rFonts w:ascii="宋体" w:hAnsi="宋体"/>
            <w:noProof/>
            <w:sz w:val="24"/>
          </w:rPr>
        </w:r>
        <w:r w:rsidRPr="00135B55">
          <w:rPr>
            <w:rFonts w:ascii="宋体" w:hAnsi="宋体"/>
            <w:noProof/>
            <w:sz w:val="24"/>
          </w:rPr>
          <w:fldChar w:fldCharType="separate"/>
        </w:r>
        <w:r w:rsidRPr="00135B55">
          <w:rPr>
            <w:rFonts w:ascii="宋体" w:hAnsi="宋体"/>
            <w:noProof/>
            <w:sz w:val="24"/>
          </w:rPr>
          <w:t>4</w:t>
        </w:r>
        <w:r w:rsidRPr="00135B55">
          <w:rPr>
            <w:rFonts w:ascii="宋体" w:hAnsi="宋体"/>
            <w:noProof/>
            <w:sz w:val="24"/>
          </w:rPr>
          <w:fldChar w:fldCharType="end"/>
        </w:r>
      </w:hyperlink>
    </w:p>
    <w:p w:rsidR="00135B55" w:rsidRPr="00135B55" w:rsidRDefault="00135B55" w:rsidP="00135B55">
      <w:pPr>
        <w:pStyle w:val="10"/>
        <w:tabs>
          <w:tab w:val="right" w:leader="dot" w:pos="8550"/>
        </w:tabs>
        <w:spacing w:line="360" w:lineRule="auto"/>
        <w:rPr>
          <w:rFonts w:ascii="宋体" w:hAnsi="宋体" w:cstheme="minorBidi"/>
          <w:noProof/>
          <w:sz w:val="24"/>
        </w:rPr>
      </w:pPr>
      <w:hyperlink w:anchor="_Toc228463641" w:history="1">
        <w:r w:rsidRPr="00135B55">
          <w:rPr>
            <w:rStyle w:val="aa"/>
            <w:rFonts w:ascii="宋体" w:hAnsi="宋体" w:hint="eastAsia"/>
            <w:noProof/>
            <w:sz w:val="24"/>
          </w:rPr>
          <w:t>二、释义</w:t>
        </w:r>
        <w:r w:rsidRPr="00135B55">
          <w:rPr>
            <w:rFonts w:ascii="宋体" w:hAnsi="宋体"/>
            <w:noProof/>
            <w:sz w:val="24"/>
          </w:rPr>
          <w:tab/>
        </w:r>
        <w:r w:rsidRPr="00135B55">
          <w:rPr>
            <w:rFonts w:ascii="宋体" w:hAnsi="宋体"/>
            <w:noProof/>
            <w:sz w:val="24"/>
          </w:rPr>
          <w:fldChar w:fldCharType="begin"/>
        </w:r>
        <w:r w:rsidRPr="00135B55">
          <w:rPr>
            <w:rFonts w:ascii="宋体" w:hAnsi="宋体"/>
            <w:noProof/>
            <w:sz w:val="24"/>
          </w:rPr>
          <w:instrText xml:space="preserve"> PAGEREF _Toc228463641 \h </w:instrText>
        </w:r>
        <w:r w:rsidRPr="00135B55">
          <w:rPr>
            <w:rFonts w:ascii="宋体" w:hAnsi="宋体"/>
            <w:noProof/>
            <w:sz w:val="24"/>
          </w:rPr>
        </w:r>
        <w:r w:rsidRPr="00135B55">
          <w:rPr>
            <w:rFonts w:ascii="宋体" w:hAnsi="宋体"/>
            <w:noProof/>
            <w:sz w:val="24"/>
          </w:rPr>
          <w:fldChar w:fldCharType="separate"/>
        </w:r>
        <w:r w:rsidRPr="00135B55">
          <w:rPr>
            <w:rFonts w:ascii="宋体" w:hAnsi="宋体"/>
            <w:noProof/>
            <w:sz w:val="24"/>
          </w:rPr>
          <w:t>5</w:t>
        </w:r>
        <w:r w:rsidRPr="00135B55">
          <w:rPr>
            <w:rFonts w:ascii="宋体" w:hAnsi="宋体"/>
            <w:noProof/>
            <w:sz w:val="24"/>
          </w:rPr>
          <w:fldChar w:fldCharType="end"/>
        </w:r>
      </w:hyperlink>
    </w:p>
    <w:p w:rsidR="00135B55" w:rsidRPr="00135B55" w:rsidRDefault="00135B55" w:rsidP="00135B55">
      <w:pPr>
        <w:pStyle w:val="10"/>
        <w:tabs>
          <w:tab w:val="right" w:leader="dot" w:pos="8550"/>
        </w:tabs>
        <w:spacing w:line="360" w:lineRule="auto"/>
        <w:rPr>
          <w:rFonts w:ascii="宋体" w:hAnsi="宋体" w:cstheme="minorBidi"/>
          <w:noProof/>
          <w:sz w:val="24"/>
        </w:rPr>
      </w:pPr>
      <w:hyperlink w:anchor="_Toc228463642" w:history="1">
        <w:r w:rsidRPr="00135B55">
          <w:rPr>
            <w:rStyle w:val="aa"/>
            <w:rFonts w:ascii="宋体" w:hAnsi="宋体" w:hint="eastAsia"/>
            <w:noProof/>
            <w:sz w:val="24"/>
          </w:rPr>
          <w:t>三、基金管理人</w:t>
        </w:r>
        <w:r w:rsidRPr="00135B55">
          <w:rPr>
            <w:rFonts w:ascii="宋体" w:hAnsi="宋体"/>
            <w:noProof/>
            <w:sz w:val="24"/>
          </w:rPr>
          <w:tab/>
        </w:r>
        <w:r w:rsidRPr="00135B55">
          <w:rPr>
            <w:rFonts w:ascii="宋体" w:hAnsi="宋体"/>
            <w:noProof/>
            <w:sz w:val="24"/>
          </w:rPr>
          <w:fldChar w:fldCharType="begin"/>
        </w:r>
        <w:r w:rsidRPr="00135B55">
          <w:rPr>
            <w:rFonts w:ascii="宋体" w:hAnsi="宋体"/>
            <w:noProof/>
            <w:sz w:val="24"/>
          </w:rPr>
          <w:instrText xml:space="preserve"> PAGEREF _Toc228463642 \h </w:instrText>
        </w:r>
        <w:r w:rsidRPr="00135B55">
          <w:rPr>
            <w:rFonts w:ascii="宋体" w:hAnsi="宋体"/>
            <w:noProof/>
            <w:sz w:val="24"/>
          </w:rPr>
        </w:r>
        <w:r w:rsidRPr="00135B55">
          <w:rPr>
            <w:rFonts w:ascii="宋体" w:hAnsi="宋体"/>
            <w:noProof/>
            <w:sz w:val="24"/>
          </w:rPr>
          <w:fldChar w:fldCharType="separate"/>
        </w:r>
        <w:r w:rsidRPr="00135B55">
          <w:rPr>
            <w:rFonts w:ascii="宋体" w:hAnsi="宋体"/>
            <w:noProof/>
            <w:sz w:val="24"/>
          </w:rPr>
          <w:t>10</w:t>
        </w:r>
        <w:r w:rsidRPr="00135B55">
          <w:rPr>
            <w:rFonts w:ascii="宋体" w:hAnsi="宋体"/>
            <w:noProof/>
            <w:sz w:val="24"/>
          </w:rPr>
          <w:fldChar w:fldCharType="end"/>
        </w:r>
      </w:hyperlink>
    </w:p>
    <w:p w:rsidR="00135B55" w:rsidRPr="00135B55" w:rsidRDefault="00135B55" w:rsidP="00135B55">
      <w:pPr>
        <w:pStyle w:val="10"/>
        <w:tabs>
          <w:tab w:val="right" w:leader="dot" w:pos="8550"/>
        </w:tabs>
        <w:spacing w:line="360" w:lineRule="auto"/>
        <w:rPr>
          <w:rFonts w:ascii="宋体" w:hAnsi="宋体" w:cstheme="minorBidi"/>
          <w:noProof/>
          <w:sz w:val="24"/>
        </w:rPr>
      </w:pPr>
      <w:hyperlink w:anchor="_Toc228463643" w:history="1">
        <w:r w:rsidRPr="00135B55">
          <w:rPr>
            <w:rStyle w:val="aa"/>
            <w:rFonts w:ascii="宋体" w:hAnsi="宋体" w:hint="eastAsia"/>
            <w:noProof/>
            <w:sz w:val="24"/>
          </w:rPr>
          <w:t>四、基金托管人</w:t>
        </w:r>
        <w:r w:rsidRPr="00135B55">
          <w:rPr>
            <w:rFonts w:ascii="宋体" w:hAnsi="宋体"/>
            <w:noProof/>
            <w:sz w:val="24"/>
          </w:rPr>
          <w:tab/>
        </w:r>
        <w:r w:rsidRPr="00135B55">
          <w:rPr>
            <w:rFonts w:ascii="宋体" w:hAnsi="宋体"/>
            <w:noProof/>
            <w:sz w:val="24"/>
          </w:rPr>
          <w:fldChar w:fldCharType="begin"/>
        </w:r>
        <w:r w:rsidRPr="00135B55">
          <w:rPr>
            <w:rFonts w:ascii="宋体" w:hAnsi="宋体"/>
            <w:noProof/>
            <w:sz w:val="24"/>
          </w:rPr>
          <w:instrText xml:space="preserve"> PAGEREF _Toc228463643 \h </w:instrText>
        </w:r>
        <w:r w:rsidRPr="00135B55">
          <w:rPr>
            <w:rFonts w:ascii="宋体" w:hAnsi="宋体"/>
            <w:noProof/>
            <w:sz w:val="24"/>
          </w:rPr>
        </w:r>
        <w:r w:rsidRPr="00135B55">
          <w:rPr>
            <w:rFonts w:ascii="宋体" w:hAnsi="宋体"/>
            <w:noProof/>
            <w:sz w:val="24"/>
          </w:rPr>
          <w:fldChar w:fldCharType="separate"/>
        </w:r>
        <w:r w:rsidRPr="00135B55">
          <w:rPr>
            <w:rFonts w:ascii="宋体" w:hAnsi="宋体"/>
            <w:noProof/>
            <w:sz w:val="24"/>
          </w:rPr>
          <w:t>17</w:t>
        </w:r>
        <w:r w:rsidRPr="00135B55">
          <w:rPr>
            <w:rFonts w:ascii="宋体" w:hAnsi="宋体"/>
            <w:noProof/>
            <w:sz w:val="24"/>
          </w:rPr>
          <w:fldChar w:fldCharType="end"/>
        </w:r>
      </w:hyperlink>
    </w:p>
    <w:p w:rsidR="00135B55" w:rsidRPr="00135B55" w:rsidRDefault="00135B55" w:rsidP="00135B55">
      <w:pPr>
        <w:pStyle w:val="10"/>
        <w:tabs>
          <w:tab w:val="right" w:leader="dot" w:pos="8550"/>
        </w:tabs>
        <w:spacing w:line="360" w:lineRule="auto"/>
        <w:rPr>
          <w:rFonts w:ascii="宋体" w:hAnsi="宋体" w:cstheme="minorBidi"/>
          <w:noProof/>
          <w:sz w:val="24"/>
        </w:rPr>
      </w:pPr>
      <w:hyperlink w:anchor="_Toc228463644" w:history="1">
        <w:r w:rsidRPr="00135B55">
          <w:rPr>
            <w:rStyle w:val="aa"/>
            <w:rFonts w:ascii="宋体" w:hAnsi="宋体" w:hint="eastAsia"/>
            <w:noProof/>
            <w:sz w:val="24"/>
          </w:rPr>
          <w:t>五、相关服务机构</w:t>
        </w:r>
        <w:r w:rsidRPr="00135B55">
          <w:rPr>
            <w:rFonts w:ascii="宋体" w:hAnsi="宋体"/>
            <w:noProof/>
            <w:sz w:val="24"/>
          </w:rPr>
          <w:tab/>
        </w:r>
        <w:r w:rsidRPr="00135B55">
          <w:rPr>
            <w:rFonts w:ascii="宋体" w:hAnsi="宋体"/>
            <w:noProof/>
            <w:sz w:val="24"/>
          </w:rPr>
          <w:fldChar w:fldCharType="begin"/>
        </w:r>
        <w:r w:rsidRPr="00135B55">
          <w:rPr>
            <w:rFonts w:ascii="宋体" w:hAnsi="宋体"/>
            <w:noProof/>
            <w:sz w:val="24"/>
          </w:rPr>
          <w:instrText xml:space="preserve"> PAGEREF _Toc228463644 \h </w:instrText>
        </w:r>
        <w:r w:rsidRPr="00135B55">
          <w:rPr>
            <w:rFonts w:ascii="宋体" w:hAnsi="宋体"/>
            <w:noProof/>
            <w:sz w:val="24"/>
          </w:rPr>
        </w:r>
        <w:r w:rsidRPr="00135B55">
          <w:rPr>
            <w:rFonts w:ascii="宋体" w:hAnsi="宋体"/>
            <w:noProof/>
            <w:sz w:val="24"/>
          </w:rPr>
          <w:fldChar w:fldCharType="separate"/>
        </w:r>
        <w:r w:rsidRPr="00135B55">
          <w:rPr>
            <w:rFonts w:ascii="宋体" w:hAnsi="宋体"/>
            <w:noProof/>
            <w:sz w:val="24"/>
          </w:rPr>
          <w:t>22</w:t>
        </w:r>
        <w:r w:rsidRPr="00135B55">
          <w:rPr>
            <w:rFonts w:ascii="宋体" w:hAnsi="宋体"/>
            <w:noProof/>
            <w:sz w:val="24"/>
          </w:rPr>
          <w:fldChar w:fldCharType="end"/>
        </w:r>
      </w:hyperlink>
    </w:p>
    <w:p w:rsidR="00135B55" w:rsidRPr="00135B55" w:rsidRDefault="00135B55" w:rsidP="00135B55">
      <w:pPr>
        <w:pStyle w:val="10"/>
        <w:tabs>
          <w:tab w:val="right" w:leader="dot" w:pos="8550"/>
        </w:tabs>
        <w:spacing w:line="360" w:lineRule="auto"/>
        <w:rPr>
          <w:rFonts w:ascii="宋体" w:hAnsi="宋体" w:cstheme="minorBidi"/>
          <w:noProof/>
          <w:sz w:val="24"/>
        </w:rPr>
      </w:pPr>
      <w:hyperlink w:anchor="_Toc228463645" w:history="1">
        <w:r w:rsidRPr="00135B55">
          <w:rPr>
            <w:rStyle w:val="aa"/>
            <w:rFonts w:ascii="宋体" w:hAnsi="宋体" w:hint="eastAsia"/>
            <w:noProof/>
            <w:sz w:val="24"/>
          </w:rPr>
          <w:t>六、基金的募集</w:t>
        </w:r>
        <w:r w:rsidRPr="00135B55">
          <w:rPr>
            <w:rFonts w:ascii="宋体" w:hAnsi="宋体"/>
            <w:noProof/>
            <w:sz w:val="24"/>
          </w:rPr>
          <w:tab/>
        </w:r>
        <w:r w:rsidRPr="00135B55">
          <w:rPr>
            <w:rFonts w:ascii="宋体" w:hAnsi="宋体"/>
            <w:noProof/>
            <w:sz w:val="24"/>
          </w:rPr>
          <w:fldChar w:fldCharType="begin"/>
        </w:r>
        <w:r w:rsidRPr="00135B55">
          <w:rPr>
            <w:rFonts w:ascii="宋体" w:hAnsi="宋体"/>
            <w:noProof/>
            <w:sz w:val="24"/>
          </w:rPr>
          <w:instrText xml:space="preserve"> PAGEREF _Toc228463645 \h </w:instrText>
        </w:r>
        <w:r w:rsidRPr="00135B55">
          <w:rPr>
            <w:rFonts w:ascii="宋体" w:hAnsi="宋体"/>
            <w:noProof/>
            <w:sz w:val="24"/>
          </w:rPr>
        </w:r>
        <w:r w:rsidRPr="00135B55">
          <w:rPr>
            <w:rFonts w:ascii="宋体" w:hAnsi="宋体"/>
            <w:noProof/>
            <w:sz w:val="24"/>
          </w:rPr>
          <w:fldChar w:fldCharType="separate"/>
        </w:r>
        <w:r w:rsidRPr="00135B55">
          <w:rPr>
            <w:rFonts w:ascii="宋体" w:hAnsi="宋体"/>
            <w:noProof/>
            <w:sz w:val="24"/>
          </w:rPr>
          <w:t>51</w:t>
        </w:r>
        <w:r w:rsidRPr="00135B55">
          <w:rPr>
            <w:rFonts w:ascii="宋体" w:hAnsi="宋体"/>
            <w:noProof/>
            <w:sz w:val="24"/>
          </w:rPr>
          <w:fldChar w:fldCharType="end"/>
        </w:r>
      </w:hyperlink>
    </w:p>
    <w:p w:rsidR="00135B55" w:rsidRPr="00135B55" w:rsidRDefault="00135B55" w:rsidP="00135B55">
      <w:pPr>
        <w:pStyle w:val="10"/>
        <w:tabs>
          <w:tab w:val="right" w:leader="dot" w:pos="8550"/>
        </w:tabs>
        <w:spacing w:line="360" w:lineRule="auto"/>
        <w:rPr>
          <w:rFonts w:ascii="宋体" w:hAnsi="宋体" w:cstheme="minorBidi"/>
          <w:noProof/>
          <w:sz w:val="24"/>
        </w:rPr>
      </w:pPr>
      <w:hyperlink w:anchor="_Toc228463646" w:history="1">
        <w:r w:rsidRPr="00135B55">
          <w:rPr>
            <w:rStyle w:val="aa"/>
            <w:rFonts w:ascii="宋体" w:hAnsi="宋体" w:hint="eastAsia"/>
            <w:noProof/>
            <w:sz w:val="24"/>
          </w:rPr>
          <w:t>七、基金合同的生效</w:t>
        </w:r>
        <w:r w:rsidRPr="00135B55">
          <w:rPr>
            <w:rFonts w:ascii="宋体" w:hAnsi="宋体"/>
            <w:noProof/>
            <w:sz w:val="24"/>
          </w:rPr>
          <w:tab/>
        </w:r>
        <w:r w:rsidRPr="00135B55">
          <w:rPr>
            <w:rFonts w:ascii="宋体" w:hAnsi="宋体"/>
            <w:noProof/>
            <w:sz w:val="24"/>
          </w:rPr>
          <w:fldChar w:fldCharType="begin"/>
        </w:r>
        <w:r w:rsidRPr="00135B55">
          <w:rPr>
            <w:rFonts w:ascii="宋体" w:hAnsi="宋体"/>
            <w:noProof/>
            <w:sz w:val="24"/>
          </w:rPr>
          <w:instrText xml:space="preserve"> PAGEREF _Toc228463646 \h </w:instrText>
        </w:r>
        <w:r w:rsidRPr="00135B55">
          <w:rPr>
            <w:rFonts w:ascii="宋体" w:hAnsi="宋体"/>
            <w:noProof/>
            <w:sz w:val="24"/>
          </w:rPr>
        </w:r>
        <w:r w:rsidRPr="00135B55">
          <w:rPr>
            <w:rFonts w:ascii="宋体" w:hAnsi="宋体"/>
            <w:noProof/>
            <w:sz w:val="24"/>
          </w:rPr>
          <w:fldChar w:fldCharType="separate"/>
        </w:r>
        <w:r w:rsidRPr="00135B55">
          <w:rPr>
            <w:rFonts w:ascii="宋体" w:hAnsi="宋体"/>
            <w:noProof/>
            <w:sz w:val="24"/>
          </w:rPr>
          <w:t>52</w:t>
        </w:r>
        <w:r w:rsidRPr="00135B55">
          <w:rPr>
            <w:rFonts w:ascii="宋体" w:hAnsi="宋体"/>
            <w:noProof/>
            <w:sz w:val="24"/>
          </w:rPr>
          <w:fldChar w:fldCharType="end"/>
        </w:r>
      </w:hyperlink>
    </w:p>
    <w:p w:rsidR="00135B55" w:rsidRPr="00135B55" w:rsidRDefault="00135B55" w:rsidP="00135B55">
      <w:pPr>
        <w:pStyle w:val="10"/>
        <w:tabs>
          <w:tab w:val="right" w:leader="dot" w:pos="8550"/>
        </w:tabs>
        <w:spacing w:line="360" w:lineRule="auto"/>
        <w:rPr>
          <w:rFonts w:ascii="宋体" w:hAnsi="宋体" w:cstheme="minorBidi"/>
          <w:noProof/>
          <w:sz w:val="24"/>
        </w:rPr>
      </w:pPr>
      <w:hyperlink w:anchor="_Toc228463647" w:history="1">
        <w:r w:rsidRPr="00135B55">
          <w:rPr>
            <w:rStyle w:val="aa"/>
            <w:rFonts w:ascii="宋体" w:hAnsi="宋体" w:hint="eastAsia"/>
            <w:noProof/>
            <w:sz w:val="24"/>
          </w:rPr>
          <w:t>八、基金份额的申购与赎回</w:t>
        </w:r>
        <w:r w:rsidRPr="00135B55">
          <w:rPr>
            <w:rFonts w:ascii="宋体" w:hAnsi="宋体"/>
            <w:noProof/>
            <w:sz w:val="24"/>
          </w:rPr>
          <w:tab/>
        </w:r>
        <w:r w:rsidRPr="00135B55">
          <w:rPr>
            <w:rFonts w:ascii="宋体" w:hAnsi="宋体"/>
            <w:noProof/>
            <w:sz w:val="24"/>
          </w:rPr>
          <w:fldChar w:fldCharType="begin"/>
        </w:r>
        <w:r w:rsidRPr="00135B55">
          <w:rPr>
            <w:rFonts w:ascii="宋体" w:hAnsi="宋体"/>
            <w:noProof/>
            <w:sz w:val="24"/>
          </w:rPr>
          <w:instrText xml:space="preserve"> PAGEREF _Toc228463647 \h </w:instrText>
        </w:r>
        <w:r w:rsidRPr="00135B55">
          <w:rPr>
            <w:rFonts w:ascii="宋体" w:hAnsi="宋体"/>
            <w:noProof/>
            <w:sz w:val="24"/>
          </w:rPr>
        </w:r>
        <w:r w:rsidRPr="00135B55">
          <w:rPr>
            <w:rFonts w:ascii="宋体" w:hAnsi="宋体"/>
            <w:noProof/>
            <w:sz w:val="24"/>
          </w:rPr>
          <w:fldChar w:fldCharType="separate"/>
        </w:r>
        <w:r w:rsidRPr="00135B55">
          <w:rPr>
            <w:rFonts w:ascii="宋体" w:hAnsi="宋体"/>
            <w:noProof/>
            <w:sz w:val="24"/>
          </w:rPr>
          <w:t>53</w:t>
        </w:r>
        <w:r w:rsidRPr="00135B55">
          <w:rPr>
            <w:rFonts w:ascii="宋体" w:hAnsi="宋体"/>
            <w:noProof/>
            <w:sz w:val="24"/>
          </w:rPr>
          <w:fldChar w:fldCharType="end"/>
        </w:r>
      </w:hyperlink>
    </w:p>
    <w:p w:rsidR="00135B55" w:rsidRPr="00135B55" w:rsidRDefault="00135B55" w:rsidP="00135B55">
      <w:pPr>
        <w:pStyle w:val="10"/>
        <w:tabs>
          <w:tab w:val="right" w:leader="dot" w:pos="8550"/>
        </w:tabs>
        <w:spacing w:line="360" w:lineRule="auto"/>
        <w:rPr>
          <w:rFonts w:ascii="宋体" w:hAnsi="宋体" w:cstheme="minorBidi"/>
          <w:noProof/>
          <w:sz w:val="24"/>
        </w:rPr>
      </w:pPr>
      <w:hyperlink w:anchor="_Toc228463648" w:history="1">
        <w:r w:rsidRPr="00135B55">
          <w:rPr>
            <w:rStyle w:val="aa"/>
            <w:rFonts w:ascii="宋体" w:hAnsi="宋体" w:hint="eastAsia"/>
            <w:noProof/>
            <w:sz w:val="24"/>
          </w:rPr>
          <w:t>九、基金的转换</w:t>
        </w:r>
        <w:r w:rsidRPr="00135B55">
          <w:rPr>
            <w:rFonts w:ascii="宋体" w:hAnsi="宋体"/>
            <w:noProof/>
            <w:sz w:val="24"/>
          </w:rPr>
          <w:tab/>
        </w:r>
        <w:r w:rsidRPr="00135B55">
          <w:rPr>
            <w:rFonts w:ascii="宋体" w:hAnsi="宋体"/>
            <w:noProof/>
            <w:sz w:val="24"/>
          </w:rPr>
          <w:fldChar w:fldCharType="begin"/>
        </w:r>
        <w:r w:rsidRPr="00135B55">
          <w:rPr>
            <w:rFonts w:ascii="宋体" w:hAnsi="宋体"/>
            <w:noProof/>
            <w:sz w:val="24"/>
          </w:rPr>
          <w:instrText xml:space="preserve"> PAGEREF _Toc228463648 \h </w:instrText>
        </w:r>
        <w:r w:rsidRPr="00135B55">
          <w:rPr>
            <w:rFonts w:ascii="宋体" w:hAnsi="宋体"/>
            <w:noProof/>
            <w:sz w:val="24"/>
          </w:rPr>
        </w:r>
        <w:r w:rsidRPr="00135B55">
          <w:rPr>
            <w:rFonts w:ascii="宋体" w:hAnsi="宋体"/>
            <w:noProof/>
            <w:sz w:val="24"/>
          </w:rPr>
          <w:fldChar w:fldCharType="separate"/>
        </w:r>
        <w:r w:rsidRPr="00135B55">
          <w:rPr>
            <w:rFonts w:ascii="宋体" w:hAnsi="宋体"/>
            <w:noProof/>
            <w:sz w:val="24"/>
          </w:rPr>
          <w:t>67</w:t>
        </w:r>
        <w:r w:rsidRPr="00135B55">
          <w:rPr>
            <w:rFonts w:ascii="宋体" w:hAnsi="宋体"/>
            <w:noProof/>
            <w:sz w:val="24"/>
          </w:rPr>
          <w:fldChar w:fldCharType="end"/>
        </w:r>
      </w:hyperlink>
    </w:p>
    <w:p w:rsidR="00135B55" w:rsidRPr="00135B55" w:rsidRDefault="00135B55" w:rsidP="00135B55">
      <w:pPr>
        <w:pStyle w:val="10"/>
        <w:tabs>
          <w:tab w:val="right" w:leader="dot" w:pos="8550"/>
        </w:tabs>
        <w:spacing w:line="360" w:lineRule="auto"/>
        <w:rPr>
          <w:rFonts w:ascii="宋体" w:hAnsi="宋体" w:cstheme="minorBidi"/>
          <w:noProof/>
          <w:sz w:val="24"/>
        </w:rPr>
      </w:pPr>
      <w:hyperlink w:anchor="_Toc228463649" w:history="1">
        <w:r w:rsidRPr="00135B55">
          <w:rPr>
            <w:rStyle w:val="aa"/>
            <w:rFonts w:ascii="宋体" w:hAnsi="宋体" w:hint="eastAsia"/>
            <w:noProof/>
            <w:sz w:val="24"/>
          </w:rPr>
          <w:t>十、基金的投资</w:t>
        </w:r>
        <w:r w:rsidRPr="00135B55">
          <w:rPr>
            <w:rFonts w:ascii="宋体" w:hAnsi="宋体"/>
            <w:noProof/>
            <w:sz w:val="24"/>
          </w:rPr>
          <w:tab/>
        </w:r>
        <w:r w:rsidRPr="00135B55">
          <w:rPr>
            <w:rFonts w:ascii="宋体" w:hAnsi="宋体"/>
            <w:noProof/>
            <w:sz w:val="24"/>
          </w:rPr>
          <w:fldChar w:fldCharType="begin"/>
        </w:r>
        <w:r w:rsidRPr="00135B55">
          <w:rPr>
            <w:rFonts w:ascii="宋体" w:hAnsi="宋体"/>
            <w:noProof/>
            <w:sz w:val="24"/>
          </w:rPr>
          <w:instrText xml:space="preserve"> PAGEREF _Toc228463649 \h </w:instrText>
        </w:r>
        <w:r w:rsidRPr="00135B55">
          <w:rPr>
            <w:rFonts w:ascii="宋体" w:hAnsi="宋体"/>
            <w:noProof/>
            <w:sz w:val="24"/>
          </w:rPr>
        </w:r>
        <w:r w:rsidRPr="00135B55">
          <w:rPr>
            <w:rFonts w:ascii="宋体" w:hAnsi="宋体"/>
            <w:noProof/>
            <w:sz w:val="24"/>
          </w:rPr>
          <w:fldChar w:fldCharType="separate"/>
        </w:r>
        <w:r w:rsidRPr="00135B55">
          <w:rPr>
            <w:rFonts w:ascii="宋体" w:hAnsi="宋体"/>
            <w:noProof/>
            <w:sz w:val="24"/>
          </w:rPr>
          <w:t>74</w:t>
        </w:r>
        <w:r w:rsidRPr="00135B55">
          <w:rPr>
            <w:rFonts w:ascii="宋体" w:hAnsi="宋体"/>
            <w:noProof/>
            <w:sz w:val="24"/>
          </w:rPr>
          <w:fldChar w:fldCharType="end"/>
        </w:r>
      </w:hyperlink>
    </w:p>
    <w:p w:rsidR="00135B55" w:rsidRPr="00135B55" w:rsidRDefault="00135B55" w:rsidP="00135B55">
      <w:pPr>
        <w:pStyle w:val="10"/>
        <w:tabs>
          <w:tab w:val="right" w:leader="dot" w:pos="8550"/>
        </w:tabs>
        <w:spacing w:line="360" w:lineRule="auto"/>
        <w:rPr>
          <w:rFonts w:ascii="宋体" w:hAnsi="宋体" w:cstheme="minorBidi"/>
          <w:noProof/>
          <w:sz w:val="24"/>
        </w:rPr>
      </w:pPr>
      <w:hyperlink w:anchor="_Toc228463650" w:history="1">
        <w:r w:rsidRPr="00135B55">
          <w:rPr>
            <w:rStyle w:val="aa"/>
            <w:rFonts w:ascii="宋体" w:hAnsi="宋体" w:hint="eastAsia"/>
            <w:noProof/>
            <w:sz w:val="24"/>
          </w:rPr>
          <w:t>十一、基金的业绩</w:t>
        </w:r>
        <w:r w:rsidRPr="00135B55">
          <w:rPr>
            <w:rFonts w:ascii="宋体" w:hAnsi="宋体"/>
            <w:noProof/>
            <w:sz w:val="24"/>
          </w:rPr>
          <w:tab/>
        </w:r>
        <w:r w:rsidRPr="00135B55">
          <w:rPr>
            <w:rFonts w:ascii="宋体" w:hAnsi="宋体"/>
            <w:noProof/>
            <w:sz w:val="24"/>
          </w:rPr>
          <w:fldChar w:fldCharType="begin"/>
        </w:r>
        <w:r w:rsidRPr="00135B55">
          <w:rPr>
            <w:rFonts w:ascii="宋体" w:hAnsi="宋体"/>
            <w:noProof/>
            <w:sz w:val="24"/>
          </w:rPr>
          <w:instrText xml:space="preserve"> PAGEREF _Toc228463650 \h </w:instrText>
        </w:r>
        <w:r w:rsidRPr="00135B55">
          <w:rPr>
            <w:rFonts w:ascii="宋体" w:hAnsi="宋体"/>
            <w:noProof/>
            <w:sz w:val="24"/>
          </w:rPr>
        </w:r>
        <w:r w:rsidRPr="00135B55">
          <w:rPr>
            <w:rFonts w:ascii="宋体" w:hAnsi="宋体"/>
            <w:noProof/>
            <w:sz w:val="24"/>
          </w:rPr>
          <w:fldChar w:fldCharType="separate"/>
        </w:r>
        <w:r w:rsidRPr="00135B55">
          <w:rPr>
            <w:rFonts w:ascii="宋体" w:hAnsi="宋体"/>
            <w:noProof/>
            <w:sz w:val="24"/>
          </w:rPr>
          <w:t>86</w:t>
        </w:r>
        <w:r w:rsidRPr="00135B55">
          <w:rPr>
            <w:rFonts w:ascii="宋体" w:hAnsi="宋体"/>
            <w:noProof/>
            <w:sz w:val="24"/>
          </w:rPr>
          <w:fldChar w:fldCharType="end"/>
        </w:r>
      </w:hyperlink>
    </w:p>
    <w:p w:rsidR="00135B55" w:rsidRPr="00135B55" w:rsidRDefault="00135B55" w:rsidP="00135B55">
      <w:pPr>
        <w:pStyle w:val="10"/>
        <w:tabs>
          <w:tab w:val="right" w:leader="dot" w:pos="8550"/>
        </w:tabs>
        <w:spacing w:line="360" w:lineRule="auto"/>
        <w:rPr>
          <w:rFonts w:ascii="宋体" w:hAnsi="宋体" w:cstheme="minorBidi"/>
          <w:noProof/>
          <w:sz w:val="24"/>
        </w:rPr>
      </w:pPr>
      <w:hyperlink w:anchor="_Toc228463651" w:history="1">
        <w:r w:rsidRPr="00135B55">
          <w:rPr>
            <w:rStyle w:val="aa"/>
            <w:rFonts w:ascii="宋体" w:hAnsi="宋体" w:hint="eastAsia"/>
            <w:noProof/>
            <w:sz w:val="24"/>
          </w:rPr>
          <w:t>十二、基金的财产</w:t>
        </w:r>
        <w:r w:rsidRPr="00135B55">
          <w:rPr>
            <w:rFonts w:ascii="宋体" w:hAnsi="宋体"/>
            <w:noProof/>
            <w:sz w:val="24"/>
          </w:rPr>
          <w:tab/>
        </w:r>
        <w:r w:rsidRPr="00135B55">
          <w:rPr>
            <w:rFonts w:ascii="宋体" w:hAnsi="宋体"/>
            <w:noProof/>
            <w:sz w:val="24"/>
          </w:rPr>
          <w:fldChar w:fldCharType="begin"/>
        </w:r>
        <w:r w:rsidRPr="00135B55">
          <w:rPr>
            <w:rFonts w:ascii="宋体" w:hAnsi="宋体"/>
            <w:noProof/>
            <w:sz w:val="24"/>
          </w:rPr>
          <w:instrText xml:space="preserve"> PAGEREF _Toc228463651 \h </w:instrText>
        </w:r>
        <w:r w:rsidRPr="00135B55">
          <w:rPr>
            <w:rFonts w:ascii="宋体" w:hAnsi="宋体"/>
            <w:noProof/>
            <w:sz w:val="24"/>
          </w:rPr>
        </w:r>
        <w:r w:rsidRPr="00135B55">
          <w:rPr>
            <w:rFonts w:ascii="宋体" w:hAnsi="宋体"/>
            <w:noProof/>
            <w:sz w:val="24"/>
          </w:rPr>
          <w:fldChar w:fldCharType="separate"/>
        </w:r>
        <w:r w:rsidRPr="00135B55">
          <w:rPr>
            <w:rFonts w:ascii="宋体" w:hAnsi="宋体"/>
            <w:noProof/>
            <w:sz w:val="24"/>
          </w:rPr>
          <w:t>89</w:t>
        </w:r>
        <w:r w:rsidRPr="00135B55">
          <w:rPr>
            <w:rFonts w:ascii="宋体" w:hAnsi="宋体"/>
            <w:noProof/>
            <w:sz w:val="24"/>
          </w:rPr>
          <w:fldChar w:fldCharType="end"/>
        </w:r>
      </w:hyperlink>
    </w:p>
    <w:p w:rsidR="00135B55" w:rsidRPr="00135B55" w:rsidRDefault="00135B55" w:rsidP="00135B55">
      <w:pPr>
        <w:pStyle w:val="10"/>
        <w:tabs>
          <w:tab w:val="right" w:leader="dot" w:pos="8550"/>
        </w:tabs>
        <w:spacing w:line="360" w:lineRule="auto"/>
        <w:rPr>
          <w:rFonts w:ascii="宋体" w:hAnsi="宋体" w:cstheme="minorBidi"/>
          <w:noProof/>
          <w:sz w:val="24"/>
        </w:rPr>
      </w:pPr>
      <w:hyperlink w:anchor="_Toc228463652" w:history="1">
        <w:r w:rsidRPr="00135B55">
          <w:rPr>
            <w:rStyle w:val="aa"/>
            <w:rFonts w:ascii="宋体" w:hAnsi="宋体" w:hint="eastAsia"/>
            <w:noProof/>
            <w:sz w:val="24"/>
          </w:rPr>
          <w:t>十三、基金资产的估值</w:t>
        </w:r>
        <w:r w:rsidRPr="00135B55">
          <w:rPr>
            <w:rFonts w:ascii="宋体" w:hAnsi="宋体"/>
            <w:noProof/>
            <w:sz w:val="24"/>
          </w:rPr>
          <w:tab/>
        </w:r>
        <w:r w:rsidRPr="00135B55">
          <w:rPr>
            <w:rFonts w:ascii="宋体" w:hAnsi="宋体"/>
            <w:noProof/>
            <w:sz w:val="24"/>
          </w:rPr>
          <w:fldChar w:fldCharType="begin"/>
        </w:r>
        <w:r w:rsidRPr="00135B55">
          <w:rPr>
            <w:rFonts w:ascii="宋体" w:hAnsi="宋体"/>
            <w:noProof/>
            <w:sz w:val="24"/>
          </w:rPr>
          <w:instrText xml:space="preserve"> PAGEREF _Toc228463652 \h </w:instrText>
        </w:r>
        <w:r w:rsidRPr="00135B55">
          <w:rPr>
            <w:rFonts w:ascii="宋体" w:hAnsi="宋体"/>
            <w:noProof/>
            <w:sz w:val="24"/>
          </w:rPr>
        </w:r>
        <w:r w:rsidRPr="00135B55">
          <w:rPr>
            <w:rFonts w:ascii="宋体" w:hAnsi="宋体"/>
            <w:noProof/>
            <w:sz w:val="24"/>
          </w:rPr>
          <w:fldChar w:fldCharType="separate"/>
        </w:r>
        <w:r w:rsidRPr="00135B55">
          <w:rPr>
            <w:rFonts w:ascii="宋体" w:hAnsi="宋体"/>
            <w:noProof/>
            <w:sz w:val="24"/>
          </w:rPr>
          <w:t>90</w:t>
        </w:r>
        <w:r w:rsidRPr="00135B55">
          <w:rPr>
            <w:rFonts w:ascii="宋体" w:hAnsi="宋体"/>
            <w:noProof/>
            <w:sz w:val="24"/>
          </w:rPr>
          <w:fldChar w:fldCharType="end"/>
        </w:r>
      </w:hyperlink>
    </w:p>
    <w:p w:rsidR="00135B55" w:rsidRPr="00135B55" w:rsidRDefault="00135B55" w:rsidP="00135B55">
      <w:pPr>
        <w:pStyle w:val="10"/>
        <w:tabs>
          <w:tab w:val="right" w:leader="dot" w:pos="8550"/>
        </w:tabs>
        <w:spacing w:line="360" w:lineRule="auto"/>
        <w:rPr>
          <w:rFonts w:ascii="宋体" w:hAnsi="宋体" w:cstheme="minorBidi"/>
          <w:noProof/>
          <w:sz w:val="24"/>
        </w:rPr>
      </w:pPr>
      <w:hyperlink w:anchor="_Toc228463653" w:history="1">
        <w:r w:rsidRPr="00135B55">
          <w:rPr>
            <w:rStyle w:val="aa"/>
            <w:rFonts w:ascii="宋体" w:hAnsi="宋体" w:hint="eastAsia"/>
            <w:noProof/>
            <w:sz w:val="24"/>
          </w:rPr>
          <w:t>十四、基金收益与分配</w:t>
        </w:r>
        <w:r w:rsidRPr="00135B55">
          <w:rPr>
            <w:rFonts w:ascii="宋体" w:hAnsi="宋体"/>
            <w:noProof/>
            <w:sz w:val="24"/>
          </w:rPr>
          <w:tab/>
        </w:r>
        <w:r w:rsidRPr="00135B55">
          <w:rPr>
            <w:rFonts w:ascii="宋体" w:hAnsi="宋体"/>
            <w:noProof/>
            <w:sz w:val="24"/>
          </w:rPr>
          <w:fldChar w:fldCharType="begin"/>
        </w:r>
        <w:r w:rsidRPr="00135B55">
          <w:rPr>
            <w:rFonts w:ascii="宋体" w:hAnsi="宋体"/>
            <w:noProof/>
            <w:sz w:val="24"/>
          </w:rPr>
          <w:instrText xml:space="preserve"> PAGEREF _Toc228463653 \h </w:instrText>
        </w:r>
        <w:r w:rsidRPr="00135B55">
          <w:rPr>
            <w:rFonts w:ascii="宋体" w:hAnsi="宋体"/>
            <w:noProof/>
            <w:sz w:val="24"/>
          </w:rPr>
        </w:r>
        <w:r w:rsidRPr="00135B55">
          <w:rPr>
            <w:rFonts w:ascii="宋体" w:hAnsi="宋体"/>
            <w:noProof/>
            <w:sz w:val="24"/>
          </w:rPr>
          <w:fldChar w:fldCharType="separate"/>
        </w:r>
        <w:r w:rsidRPr="00135B55">
          <w:rPr>
            <w:rFonts w:ascii="宋体" w:hAnsi="宋体"/>
            <w:noProof/>
            <w:sz w:val="24"/>
          </w:rPr>
          <w:t>95</w:t>
        </w:r>
        <w:r w:rsidRPr="00135B55">
          <w:rPr>
            <w:rFonts w:ascii="宋体" w:hAnsi="宋体"/>
            <w:noProof/>
            <w:sz w:val="24"/>
          </w:rPr>
          <w:fldChar w:fldCharType="end"/>
        </w:r>
      </w:hyperlink>
    </w:p>
    <w:p w:rsidR="00135B55" w:rsidRPr="00135B55" w:rsidRDefault="00135B55" w:rsidP="00135B55">
      <w:pPr>
        <w:pStyle w:val="10"/>
        <w:tabs>
          <w:tab w:val="right" w:leader="dot" w:pos="8550"/>
        </w:tabs>
        <w:spacing w:line="360" w:lineRule="auto"/>
        <w:rPr>
          <w:rFonts w:ascii="宋体" w:hAnsi="宋体" w:cstheme="minorBidi"/>
          <w:noProof/>
          <w:sz w:val="24"/>
        </w:rPr>
      </w:pPr>
      <w:hyperlink w:anchor="_Toc228463654" w:history="1">
        <w:r w:rsidRPr="00135B55">
          <w:rPr>
            <w:rStyle w:val="aa"/>
            <w:rFonts w:ascii="宋体" w:hAnsi="宋体" w:hint="eastAsia"/>
            <w:noProof/>
            <w:sz w:val="24"/>
          </w:rPr>
          <w:t>十五、基金的费用与税收</w:t>
        </w:r>
        <w:r w:rsidRPr="00135B55">
          <w:rPr>
            <w:rFonts w:ascii="宋体" w:hAnsi="宋体"/>
            <w:noProof/>
            <w:sz w:val="24"/>
          </w:rPr>
          <w:tab/>
        </w:r>
        <w:r w:rsidRPr="00135B55">
          <w:rPr>
            <w:rFonts w:ascii="宋体" w:hAnsi="宋体"/>
            <w:noProof/>
            <w:sz w:val="24"/>
          </w:rPr>
          <w:fldChar w:fldCharType="begin"/>
        </w:r>
        <w:r w:rsidRPr="00135B55">
          <w:rPr>
            <w:rFonts w:ascii="宋体" w:hAnsi="宋体"/>
            <w:noProof/>
            <w:sz w:val="24"/>
          </w:rPr>
          <w:instrText xml:space="preserve"> PAGEREF _Toc228463654 \h </w:instrText>
        </w:r>
        <w:r w:rsidRPr="00135B55">
          <w:rPr>
            <w:rFonts w:ascii="宋体" w:hAnsi="宋体"/>
            <w:noProof/>
            <w:sz w:val="24"/>
          </w:rPr>
        </w:r>
        <w:r w:rsidRPr="00135B55">
          <w:rPr>
            <w:rFonts w:ascii="宋体" w:hAnsi="宋体"/>
            <w:noProof/>
            <w:sz w:val="24"/>
          </w:rPr>
          <w:fldChar w:fldCharType="separate"/>
        </w:r>
        <w:r w:rsidRPr="00135B55">
          <w:rPr>
            <w:rFonts w:ascii="宋体" w:hAnsi="宋体"/>
            <w:noProof/>
            <w:sz w:val="24"/>
          </w:rPr>
          <w:t>97</w:t>
        </w:r>
        <w:r w:rsidRPr="00135B55">
          <w:rPr>
            <w:rFonts w:ascii="宋体" w:hAnsi="宋体"/>
            <w:noProof/>
            <w:sz w:val="24"/>
          </w:rPr>
          <w:fldChar w:fldCharType="end"/>
        </w:r>
      </w:hyperlink>
    </w:p>
    <w:p w:rsidR="00135B55" w:rsidRPr="00135B55" w:rsidRDefault="00135B55" w:rsidP="00135B55">
      <w:pPr>
        <w:pStyle w:val="10"/>
        <w:tabs>
          <w:tab w:val="right" w:leader="dot" w:pos="8550"/>
        </w:tabs>
        <w:spacing w:line="360" w:lineRule="auto"/>
        <w:rPr>
          <w:rFonts w:ascii="宋体" w:hAnsi="宋体" w:cstheme="minorBidi"/>
          <w:noProof/>
          <w:sz w:val="24"/>
        </w:rPr>
      </w:pPr>
      <w:hyperlink w:anchor="_Toc228463655" w:history="1">
        <w:r w:rsidRPr="00135B55">
          <w:rPr>
            <w:rStyle w:val="aa"/>
            <w:rFonts w:ascii="宋体" w:hAnsi="宋体" w:hint="eastAsia"/>
            <w:noProof/>
            <w:sz w:val="24"/>
          </w:rPr>
          <w:t>十六、基金的会计与审计</w:t>
        </w:r>
        <w:r w:rsidRPr="00135B55">
          <w:rPr>
            <w:rFonts w:ascii="宋体" w:hAnsi="宋体"/>
            <w:noProof/>
            <w:sz w:val="24"/>
          </w:rPr>
          <w:tab/>
        </w:r>
        <w:r w:rsidRPr="00135B55">
          <w:rPr>
            <w:rFonts w:ascii="宋体" w:hAnsi="宋体"/>
            <w:noProof/>
            <w:sz w:val="24"/>
          </w:rPr>
          <w:fldChar w:fldCharType="begin"/>
        </w:r>
        <w:r w:rsidRPr="00135B55">
          <w:rPr>
            <w:rFonts w:ascii="宋体" w:hAnsi="宋体"/>
            <w:noProof/>
            <w:sz w:val="24"/>
          </w:rPr>
          <w:instrText xml:space="preserve"> PAGEREF _Toc228463655 \h </w:instrText>
        </w:r>
        <w:r w:rsidRPr="00135B55">
          <w:rPr>
            <w:rFonts w:ascii="宋体" w:hAnsi="宋体"/>
            <w:noProof/>
            <w:sz w:val="24"/>
          </w:rPr>
        </w:r>
        <w:r w:rsidRPr="00135B55">
          <w:rPr>
            <w:rFonts w:ascii="宋体" w:hAnsi="宋体"/>
            <w:noProof/>
            <w:sz w:val="24"/>
          </w:rPr>
          <w:fldChar w:fldCharType="separate"/>
        </w:r>
        <w:r w:rsidRPr="00135B55">
          <w:rPr>
            <w:rFonts w:ascii="宋体" w:hAnsi="宋体"/>
            <w:noProof/>
            <w:sz w:val="24"/>
          </w:rPr>
          <w:t>100</w:t>
        </w:r>
        <w:r w:rsidRPr="00135B55">
          <w:rPr>
            <w:rFonts w:ascii="宋体" w:hAnsi="宋体"/>
            <w:noProof/>
            <w:sz w:val="24"/>
          </w:rPr>
          <w:fldChar w:fldCharType="end"/>
        </w:r>
      </w:hyperlink>
    </w:p>
    <w:p w:rsidR="00135B55" w:rsidRPr="00135B55" w:rsidRDefault="00135B55" w:rsidP="00135B55">
      <w:pPr>
        <w:pStyle w:val="10"/>
        <w:tabs>
          <w:tab w:val="right" w:leader="dot" w:pos="8550"/>
        </w:tabs>
        <w:spacing w:line="360" w:lineRule="auto"/>
        <w:rPr>
          <w:rFonts w:ascii="宋体" w:hAnsi="宋体" w:cstheme="minorBidi"/>
          <w:noProof/>
          <w:sz w:val="24"/>
        </w:rPr>
      </w:pPr>
      <w:hyperlink w:anchor="_Toc228463656" w:history="1">
        <w:r w:rsidRPr="00135B55">
          <w:rPr>
            <w:rStyle w:val="aa"/>
            <w:rFonts w:ascii="宋体" w:hAnsi="宋体" w:hint="eastAsia"/>
            <w:noProof/>
            <w:sz w:val="24"/>
          </w:rPr>
          <w:t>十七、基金的信息披露</w:t>
        </w:r>
        <w:r w:rsidRPr="00135B55">
          <w:rPr>
            <w:rFonts w:ascii="宋体" w:hAnsi="宋体"/>
            <w:noProof/>
            <w:sz w:val="24"/>
          </w:rPr>
          <w:tab/>
        </w:r>
        <w:r w:rsidRPr="00135B55">
          <w:rPr>
            <w:rFonts w:ascii="宋体" w:hAnsi="宋体"/>
            <w:noProof/>
            <w:sz w:val="24"/>
          </w:rPr>
          <w:fldChar w:fldCharType="begin"/>
        </w:r>
        <w:r w:rsidRPr="00135B55">
          <w:rPr>
            <w:rFonts w:ascii="宋体" w:hAnsi="宋体"/>
            <w:noProof/>
            <w:sz w:val="24"/>
          </w:rPr>
          <w:instrText xml:space="preserve"> PAGEREF _Toc228463656 \h </w:instrText>
        </w:r>
        <w:r w:rsidRPr="00135B55">
          <w:rPr>
            <w:rFonts w:ascii="宋体" w:hAnsi="宋体"/>
            <w:noProof/>
            <w:sz w:val="24"/>
          </w:rPr>
        </w:r>
        <w:r w:rsidRPr="00135B55">
          <w:rPr>
            <w:rFonts w:ascii="宋体" w:hAnsi="宋体"/>
            <w:noProof/>
            <w:sz w:val="24"/>
          </w:rPr>
          <w:fldChar w:fldCharType="separate"/>
        </w:r>
        <w:r w:rsidRPr="00135B55">
          <w:rPr>
            <w:rFonts w:ascii="宋体" w:hAnsi="宋体"/>
            <w:noProof/>
            <w:sz w:val="24"/>
          </w:rPr>
          <w:t>101</w:t>
        </w:r>
        <w:r w:rsidRPr="00135B55">
          <w:rPr>
            <w:rFonts w:ascii="宋体" w:hAnsi="宋体"/>
            <w:noProof/>
            <w:sz w:val="24"/>
          </w:rPr>
          <w:fldChar w:fldCharType="end"/>
        </w:r>
      </w:hyperlink>
    </w:p>
    <w:p w:rsidR="00135B55" w:rsidRPr="00135B55" w:rsidRDefault="00135B55" w:rsidP="00135B55">
      <w:pPr>
        <w:pStyle w:val="10"/>
        <w:tabs>
          <w:tab w:val="right" w:leader="dot" w:pos="8550"/>
        </w:tabs>
        <w:spacing w:line="360" w:lineRule="auto"/>
        <w:rPr>
          <w:rFonts w:ascii="宋体" w:hAnsi="宋体" w:cstheme="minorBidi"/>
          <w:noProof/>
          <w:sz w:val="24"/>
        </w:rPr>
      </w:pPr>
      <w:hyperlink w:anchor="_Toc228463657" w:history="1">
        <w:r w:rsidRPr="00135B55">
          <w:rPr>
            <w:rStyle w:val="aa"/>
            <w:rFonts w:ascii="宋体" w:hAnsi="宋体" w:hint="eastAsia"/>
            <w:noProof/>
            <w:sz w:val="24"/>
          </w:rPr>
          <w:t>十八、侧袋机制</w:t>
        </w:r>
        <w:r w:rsidRPr="00135B55">
          <w:rPr>
            <w:rFonts w:ascii="宋体" w:hAnsi="宋体"/>
            <w:noProof/>
            <w:sz w:val="24"/>
          </w:rPr>
          <w:tab/>
        </w:r>
        <w:r w:rsidRPr="00135B55">
          <w:rPr>
            <w:rFonts w:ascii="宋体" w:hAnsi="宋体"/>
            <w:noProof/>
            <w:sz w:val="24"/>
          </w:rPr>
          <w:fldChar w:fldCharType="begin"/>
        </w:r>
        <w:r w:rsidRPr="00135B55">
          <w:rPr>
            <w:rFonts w:ascii="宋体" w:hAnsi="宋体"/>
            <w:noProof/>
            <w:sz w:val="24"/>
          </w:rPr>
          <w:instrText xml:space="preserve"> PAGEREF _Toc228463657 \h </w:instrText>
        </w:r>
        <w:r w:rsidRPr="00135B55">
          <w:rPr>
            <w:rFonts w:ascii="宋体" w:hAnsi="宋体"/>
            <w:noProof/>
            <w:sz w:val="24"/>
          </w:rPr>
        </w:r>
        <w:r w:rsidRPr="00135B55">
          <w:rPr>
            <w:rFonts w:ascii="宋体" w:hAnsi="宋体"/>
            <w:noProof/>
            <w:sz w:val="24"/>
          </w:rPr>
          <w:fldChar w:fldCharType="separate"/>
        </w:r>
        <w:r w:rsidRPr="00135B55">
          <w:rPr>
            <w:rFonts w:ascii="宋体" w:hAnsi="宋体"/>
            <w:noProof/>
            <w:sz w:val="24"/>
          </w:rPr>
          <w:t>108</w:t>
        </w:r>
        <w:r w:rsidRPr="00135B55">
          <w:rPr>
            <w:rFonts w:ascii="宋体" w:hAnsi="宋体"/>
            <w:noProof/>
            <w:sz w:val="24"/>
          </w:rPr>
          <w:fldChar w:fldCharType="end"/>
        </w:r>
      </w:hyperlink>
    </w:p>
    <w:p w:rsidR="00135B55" w:rsidRPr="00135B55" w:rsidRDefault="00135B55" w:rsidP="00135B55">
      <w:pPr>
        <w:pStyle w:val="10"/>
        <w:tabs>
          <w:tab w:val="right" w:leader="dot" w:pos="8550"/>
        </w:tabs>
        <w:spacing w:line="360" w:lineRule="auto"/>
        <w:rPr>
          <w:rFonts w:ascii="宋体" w:hAnsi="宋体" w:cstheme="minorBidi"/>
          <w:noProof/>
          <w:sz w:val="24"/>
        </w:rPr>
      </w:pPr>
      <w:hyperlink w:anchor="_Toc228463658" w:history="1">
        <w:r w:rsidRPr="00135B55">
          <w:rPr>
            <w:rStyle w:val="aa"/>
            <w:rFonts w:ascii="宋体" w:hAnsi="宋体" w:hint="eastAsia"/>
            <w:noProof/>
            <w:sz w:val="24"/>
          </w:rPr>
          <w:t>十九、风险揭示</w:t>
        </w:r>
        <w:r w:rsidRPr="00135B55">
          <w:rPr>
            <w:rFonts w:ascii="宋体" w:hAnsi="宋体"/>
            <w:noProof/>
            <w:sz w:val="24"/>
          </w:rPr>
          <w:tab/>
        </w:r>
        <w:r w:rsidRPr="00135B55">
          <w:rPr>
            <w:rFonts w:ascii="宋体" w:hAnsi="宋体"/>
            <w:noProof/>
            <w:sz w:val="24"/>
          </w:rPr>
          <w:fldChar w:fldCharType="begin"/>
        </w:r>
        <w:r w:rsidRPr="00135B55">
          <w:rPr>
            <w:rFonts w:ascii="宋体" w:hAnsi="宋体"/>
            <w:noProof/>
            <w:sz w:val="24"/>
          </w:rPr>
          <w:instrText xml:space="preserve"> PAGEREF _Toc228463658 \h </w:instrText>
        </w:r>
        <w:r w:rsidRPr="00135B55">
          <w:rPr>
            <w:rFonts w:ascii="宋体" w:hAnsi="宋体"/>
            <w:noProof/>
            <w:sz w:val="24"/>
          </w:rPr>
        </w:r>
        <w:r w:rsidRPr="00135B55">
          <w:rPr>
            <w:rFonts w:ascii="宋体" w:hAnsi="宋体"/>
            <w:noProof/>
            <w:sz w:val="24"/>
          </w:rPr>
          <w:fldChar w:fldCharType="separate"/>
        </w:r>
        <w:r w:rsidRPr="00135B55">
          <w:rPr>
            <w:rFonts w:ascii="宋体" w:hAnsi="宋体"/>
            <w:noProof/>
            <w:sz w:val="24"/>
          </w:rPr>
          <w:t>111</w:t>
        </w:r>
        <w:r w:rsidRPr="00135B55">
          <w:rPr>
            <w:rFonts w:ascii="宋体" w:hAnsi="宋体"/>
            <w:noProof/>
            <w:sz w:val="24"/>
          </w:rPr>
          <w:fldChar w:fldCharType="end"/>
        </w:r>
      </w:hyperlink>
    </w:p>
    <w:p w:rsidR="00135B55" w:rsidRPr="00135B55" w:rsidRDefault="00135B55" w:rsidP="00135B55">
      <w:pPr>
        <w:pStyle w:val="10"/>
        <w:tabs>
          <w:tab w:val="right" w:leader="dot" w:pos="8550"/>
        </w:tabs>
        <w:spacing w:line="360" w:lineRule="auto"/>
        <w:rPr>
          <w:rFonts w:ascii="宋体" w:hAnsi="宋体" w:cstheme="minorBidi"/>
          <w:noProof/>
          <w:sz w:val="24"/>
        </w:rPr>
      </w:pPr>
      <w:hyperlink w:anchor="_Toc228463659" w:history="1">
        <w:r w:rsidRPr="00135B55">
          <w:rPr>
            <w:rStyle w:val="aa"/>
            <w:rFonts w:ascii="宋体" w:hAnsi="宋体" w:hint="eastAsia"/>
            <w:noProof/>
            <w:sz w:val="24"/>
          </w:rPr>
          <w:t>二十、基金合同的变更、终止与基金财产的清算</w:t>
        </w:r>
        <w:r w:rsidRPr="00135B55">
          <w:rPr>
            <w:rFonts w:ascii="宋体" w:hAnsi="宋体"/>
            <w:noProof/>
            <w:sz w:val="24"/>
          </w:rPr>
          <w:tab/>
        </w:r>
        <w:r w:rsidRPr="00135B55">
          <w:rPr>
            <w:rFonts w:ascii="宋体" w:hAnsi="宋体"/>
            <w:noProof/>
            <w:sz w:val="24"/>
          </w:rPr>
          <w:fldChar w:fldCharType="begin"/>
        </w:r>
        <w:r w:rsidRPr="00135B55">
          <w:rPr>
            <w:rFonts w:ascii="宋体" w:hAnsi="宋体"/>
            <w:noProof/>
            <w:sz w:val="24"/>
          </w:rPr>
          <w:instrText xml:space="preserve"> PAGEREF _Toc228463659 \h </w:instrText>
        </w:r>
        <w:r w:rsidRPr="00135B55">
          <w:rPr>
            <w:rFonts w:ascii="宋体" w:hAnsi="宋体"/>
            <w:noProof/>
            <w:sz w:val="24"/>
          </w:rPr>
        </w:r>
        <w:r w:rsidRPr="00135B55">
          <w:rPr>
            <w:rFonts w:ascii="宋体" w:hAnsi="宋体"/>
            <w:noProof/>
            <w:sz w:val="24"/>
          </w:rPr>
          <w:fldChar w:fldCharType="separate"/>
        </w:r>
        <w:r w:rsidRPr="00135B55">
          <w:rPr>
            <w:rFonts w:ascii="宋体" w:hAnsi="宋体"/>
            <w:noProof/>
            <w:sz w:val="24"/>
          </w:rPr>
          <w:t>119</w:t>
        </w:r>
        <w:r w:rsidRPr="00135B55">
          <w:rPr>
            <w:rFonts w:ascii="宋体" w:hAnsi="宋体"/>
            <w:noProof/>
            <w:sz w:val="24"/>
          </w:rPr>
          <w:fldChar w:fldCharType="end"/>
        </w:r>
      </w:hyperlink>
    </w:p>
    <w:p w:rsidR="00135B55" w:rsidRPr="00135B55" w:rsidRDefault="00135B55" w:rsidP="00135B55">
      <w:pPr>
        <w:pStyle w:val="10"/>
        <w:tabs>
          <w:tab w:val="right" w:leader="dot" w:pos="8550"/>
        </w:tabs>
        <w:spacing w:line="360" w:lineRule="auto"/>
        <w:rPr>
          <w:rFonts w:ascii="宋体" w:hAnsi="宋体" w:cstheme="minorBidi"/>
          <w:noProof/>
          <w:sz w:val="24"/>
        </w:rPr>
      </w:pPr>
      <w:hyperlink w:anchor="_Toc228463660" w:history="1">
        <w:r w:rsidRPr="00135B55">
          <w:rPr>
            <w:rStyle w:val="aa"/>
            <w:rFonts w:ascii="宋体" w:hAnsi="宋体" w:hint="eastAsia"/>
            <w:noProof/>
            <w:sz w:val="24"/>
          </w:rPr>
          <w:t>二十一、基金合同内容摘要</w:t>
        </w:r>
        <w:r w:rsidRPr="00135B55">
          <w:rPr>
            <w:rFonts w:ascii="宋体" w:hAnsi="宋体"/>
            <w:noProof/>
            <w:sz w:val="24"/>
          </w:rPr>
          <w:tab/>
        </w:r>
        <w:r w:rsidRPr="00135B55">
          <w:rPr>
            <w:rFonts w:ascii="宋体" w:hAnsi="宋体"/>
            <w:noProof/>
            <w:sz w:val="24"/>
          </w:rPr>
          <w:fldChar w:fldCharType="begin"/>
        </w:r>
        <w:r w:rsidRPr="00135B55">
          <w:rPr>
            <w:rFonts w:ascii="宋体" w:hAnsi="宋体"/>
            <w:noProof/>
            <w:sz w:val="24"/>
          </w:rPr>
          <w:instrText xml:space="preserve"> PAGEREF _Toc228463660 \h </w:instrText>
        </w:r>
        <w:r w:rsidRPr="00135B55">
          <w:rPr>
            <w:rFonts w:ascii="宋体" w:hAnsi="宋体"/>
            <w:noProof/>
            <w:sz w:val="24"/>
          </w:rPr>
        </w:r>
        <w:r w:rsidRPr="00135B55">
          <w:rPr>
            <w:rFonts w:ascii="宋体" w:hAnsi="宋体"/>
            <w:noProof/>
            <w:sz w:val="24"/>
          </w:rPr>
          <w:fldChar w:fldCharType="separate"/>
        </w:r>
        <w:r w:rsidRPr="00135B55">
          <w:rPr>
            <w:rFonts w:ascii="宋体" w:hAnsi="宋体"/>
            <w:noProof/>
            <w:sz w:val="24"/>
          </w:rPr>
          <w:t>121</w:t>
        </w:r>
        <w:r w:rsidRPr="00135B55">
          <w:rPr>
            <w:rFonts w:ascii="宋体" w:hAnsi="宋体"/>
            <w:noProof/>
            <w:sz w:val="24"/>
          </w:rPr>
          <w:fldChar w:fldCharType="end"/>
        </w:r>
      </w:hyperlink>
    </w:p>
    <w:p w:rsidR="00135B55" w:rsidRPr="00135B55" w:rsidRDefault="00135B55" w:rsidP="00135B55">
      <w:pPr>
        <w:pStyle w:val="10"/>
        <w:tabs>
          <w:tab w:val="right" w:leader="dot" w:pos="8550"/>
        </w:tabs>
        <w:spacing w:line="360" w:lineRule="auto"/>
        <w:rPr>
          <w:rFonts w:ascii="宋体" w:hAnsi="宋体" w:cstheme="minorBidi"/>
          <w:noProof/>
          <w:sz w:val="24"/>
        </w:rPr>
      </w:pPr>
      <w:hyperlink w:anchor="_Toc228463661" w:history="1">
        <w:r w:rsidRPr="00135B55">
          <w:rPr>
            <w:rStyle w:val="aa"/>
            <w:rFonts w:ascii="宋体" w:hAnsi="宋体" w:hint="eastAsia"/>
            <w:noProof/>
            <w:sz w:val="24"/>
          </w:rPr>
          <w:t>二十二、托管协议的内容摘要</w:t>
        </w:r>
        <w:r w:rsidRPr="00135B55">
          <w:rPr>
            <w:rFonts w:ascii="宋体" w:hAnsi="宋体"/>
            <w:noProof/>
            <w:sz w:val="24"/>
          </w:rPr>
          <w:tab/>
        </w:r>
        <w:r w:rsidRPr="00135B55">
          <w:rPr>
            <w:rFonts w:ascii="宋体" w:hAnsi="宋体"/>
            <w:noProof/>
            <w:sz w:val="24"/>
          </w:rPr>
          <w:fldChar w:fldCharType="begin"/>
        </w:r>
        <w:r w:rsidRPr="00135B55">
          <w:rPr>
            <w:rFonts w:ascii="宋体" w:hAnsi="宋体"/>
            <w:noProof/>
            <w:sz w:val="24"/>
          </w:rPr>
          <w:instrText xml:space="preserve"> PAGEREF _Toc228463661 \h </w:instrText>
        </w:r>
        <w:r w:rsidRPr="00135B55">
          <w:rPr>
            <w:rFonts w:ascii="宋体" w:hAnsi="宋体"/>
            <w:noProof/>
            <w:sz w:val="24"/>
          </w:rPr>
        </w:r>
        <w:r w:rsidRPr="00135B55">
          <w:rPr>
            <w:rFonts w:ascii="宋体" w:hAnsi="宋体"/>
            <w:noProof/>
            <w:sz w:val="24"/>
          </w:rPr>
          <w:fldChar w:fldCharType="separate"/>
        </w:r>
        <w:r w:rsidRPr="00135B55">
          <w:rPr>
            <w:rFonts w:ascii="宋体" w:hAnsi="宋体"/>
            <w:noProof/>
            <w:sz w:val="24"/>
          </w:rPr>
          <w:t>138</w:t>
        </w:r>
        <w:r w:rsidRPr="00135B55">
          <w:rPr>
            <w:rFonts w:ascii="宋体" w:hAnsi="宋体"/>
            <w:noProof/>
            <w:sz w:val="24"/>
          </w:rPr>
          <w:fldChar w:fldCharType="end"/>
        </w:r>
      </w:hyperlink>
    </w:p>
    <w:p w:rsidR="00135B55" w:rsidRPr="00135B55" w:rsidRDefault="00135B55" w:rsidP="00135B55">
      <w:pPr>
        <w:pStyle w:val="10"/>
        <w:tabs>
          <w:tab w:val="right" w:leader="dot" w:pos="8550"/>
        </w:tabs>
        <w:spacing w:line="360" w:lineRule="auto"/>
        <w:rPr>
          <w:rFonts w:ascii="宋体" w:hAnsi="宋体" w:cstheme="minorBidi"/>
          <w:noProof/>
          <w:sz w:val="24"/>
        </w:rPr>
      </w:pPr>
      <w:hyperlink w:anchor="_Toc228463662" w:history="1">
        <w:r w:rsidRPr="00135B55">
          <w:rPr>
            <w:rStyle w:val="aa"/>
            <w:rFonts w:ascii="宋体" w:hAnsi="宋体" w:hint="eastAsia"/>
            <w:noProof/>
            <w:sz w:val="24"/>
          </w:rPr>
          <w:t>二十三、对基金份额持有人的服务</w:t>
        </w:r>
        <w:r w:rsidRPr="00135B55">
          <w:rPr>
            <w:rFonts w:ascii="宋体" w:hAnsi="宋体"/>
            <w:noProof/>
            <w:sz w:val="24"/>
          </w:rPr>
          <w:tab/>
        </w:r>
        <w:r w:rsidRPr="00135B55">
          <w:rPr>
            <w:rFonts w:ascii="宋体" w:hAnsi="宋体"/>
            <w:noProof/>
            <w:sz w:val="24"/>
          </w:rPr>
          <w:fldChar w:fldCharType="begin"/>
        </w:r>
        <w:r w:rsidRPr="00135B55">
          <w:rPr>
            <w:rFonts w:ascii="宋体" w:hAnsi="宋体"/>
            <w:noProof/>
            <w:sz w:val="24"/>
          </w:rPr>
          <w:instrText xml:space="preserve"> PAGEREF _Toc228463662 \h </w:instrText>
        </w:r>
        <w:r w:rsidRPr="00135B55">
          <w:rPr>
            <w:rFonts w:ascii="宋体" w:hAnsi="宋体"/>
            <w:noProof/>
            <w:sz w:val="24"/>
          </w:rPr>
        </w:r>
        <w:r w:rsidRPr="00135B55">
          <w:rPr>
            <w:rFonts w:ascii="宋体" w:hAnsi="宋体"/>
            <w:noProof/>
            <w:sz w:val="24"/>
          </w:rPr>
          <w:fldChar w:fldCharType="separate"/>
        </w:r>
        <w:r w:rsidRPr="00135B55">
          <w:rPr>
            <w:rFonts w:ascii="宋体" w:hAnsi="宋体"/>
            <w:noProof/>
            <w:sz w:val="24"/>
          </w:rPr>
          <w:t>155</w:t>
        </w:r>
        <w:r w:rsidRPr="00135B55">
          <w:rPr>
            <w:rFonts w:ascii="宋体" w:hAnsi="宋体"/>
            <w:noProof/>
            <w:sz w:val="24"/>
          </w:rPr>
          <w:fldChar w:fldCharType="end"/>
        </w:r>
      </w:hyperlink>
    </w:p>
    <w:p w:rsidR="00135B55" w:rsidRPr="00135B55" w:rsidRDefault="00135B55" w:rsidP="00135B55">
      <w:pPr>
        <w:pStyle w:val="10"/>
        <w:tabs>
          <w:tab w:val="right" w:leader="dot" w:pos="8550"/>
        </w:tabs>
        <w:spacing w:line="360" w:lineRule="auto"/>
        <w:rPr>
          <w:rFonts w:ascii="宋体" w:hAnsi="宋体" w:cstheme="minorBidi"/>
          <w:noProof/>
          <w:sz w:val="24"/>
        </w:rPr>
      </w:pPr>
      <w:hyperlink w:anchor="_Toc228463663" w:history="1">
        <w:r w:rsidRPr="00135B55">
          <w:rPr>
            <w:rStyle w:val="aa"/>
            <w:rFonts w:ascii="宋体" w:hAnsi="宋体" w:hint="eastAsia"/>
            <w:noProof/>
            <w:sz w:val="24"/>
          </w:rPr>
          <w:t>二十四、其他应披露事项</w:t>
        </w:r>
        <w:r w:rsidRPr="00135B55">
          <w:rPr>
            <w:rFonts w:ascii="宋体" w:hAnsi="宋体"/>
            <w:noProof/>
            <w:sz w:val="24"/>
          </w:rPr>
          <w:tab/>
        </w:r>
        <w:r w:rsidRPr="00135B55">
          <w:rPr>
            <w:rFonts w:ascii="宋体" w:hAnsi="宋体"/>
            <w:noProof/>
            <w:sz w:val="24"/>
          </w:rPr>
          <w:fldChar w:fldCharType="begin"/>
        </w:r>
        <w:r w:rsidRPr="00135B55">
          <w:rPr>
            <w:rFonts w:ascii="宋体" w:hAnsi="宋体"/>
            <w:noProof/>
            <w:sz w:val="24"/>
          </w:rPr>
          <w:instrText xml:space="preserve"> PAGEREF _Toc228463663 \h </w:instrText>
        </w:r>
        <w:r w:rsidRPr="00135B55">
          <w:rPr>
            <w:rFonts w:ascii="宋体" w:hAnsi="宋体"/>
            <w:noProof/>
            <w:sz w:val="24"/>
          </w:rPr>
        </w:r>
        <w:r w:rsidRPr="00135B55">
          <w:rPr>
            <w:rFonts w:ascii="宋体" w:hAnsi="宋体"/>
            <w:noProof/>
            <w:sz w:val="24"/>
          </w:rPr>
          <w:fldChar w:fldCharType="separate"/>
        </w:r>
        <w:r w:rsidRPr="00135B55">
          <w:rPr>
            <w:rFonts w:ascii="宋体" w:hAnsi="宋体"/>
            <w:noProof/>
            <w:sz w:val="24"/>
          </w:rPr>
          <w:t>157</w:t>
        </w:r>
        <w:r w:rsidRPr="00135B55">
          <w:rPr>
            <w:rFonts w:ascii="宋体" w:hAnsi="宋体"/>
            <w:noProof/>
            <w:sz w:val="24"/>
          </w:rPr>
          <w:fldChar w:fldCharType="end"/>
        </w:r>
      </w:hyperlink>
    </w:p>
    <w:p w:rsidR="00135B55" w:rsidRPr="00135B55" w:rsidRDefault="00135B55" w:rsidP="00135B55">
      <w:pPr>
        <w:pStyle w:val="10"/>
        <w:tabs>
          <w:tab w:val="right" w:leader="dot" w:pos="8550"/>
        </w:tabs>
        <w:spacing w:line="360" w:lineRule="auto"/>
        <w:rPr>
          <w:rFonts w:ascii="宋体" w:hAnsi="宋体" w:cstheme="minorBidi"/>
          <w:noProof/>
          <w:sz w:val="24"/>
        </w:rPr>
      </w:pPr>
      <w:hyperlink w:anchor="_Toc228463664" w:history="1">
        <w:r w:rsidRPr="00135B55">
          <w:rPr>
            <w:rStyle w:val="aa"/>
            <w:rFonts w:ascii="宋体" w:hAnsi="宋体" w:hint="eastAsia"/>
            <w:noProof/>
            <w:sz w:val="24"/>
          </w:rPr>
          <w:t>二十五、招募说明书的存放及查阅方式</w:t>
        </w:r>
        <w:r w:rsidRPr="00135B55">
          <w:rPr>
            <w:rFonts w:ascii="宋体" w:hAnsi="宋体"/>
            <w:noProof/>
            <w:sz w:val="24"/>
          </w:rPr>
          <w:tab/>
        </w:r>
        <w:r w:rsidRPr="00135B55">
          <w:rPr>
            <w:rFonts w:ascii="宋体" w:hAnsi="宋体"/>
            <w:noProof/>
            <w:sz w:val="24"/>
          </w:rPr>
          <w:fldChar w:fldCharType="begin"/>
        </w:r>
        <w:r w:rsidRPr="00135B55">
          <w:rPr>
            <w:rFonts w:ascii="宋体" w:hAnsi="宋体"/>
            <w:noProof/>
            <w:sz w:val="24"/>
          </w:rPr>
          <w:instrText xml:space="preserve"> PAGEREF _Toc228463664 \h </w:instrText>
        </w:r>
        <w:r w:rsidRPr="00135B55">
          <w:rPr>
            <w:rFonts w:ascii="宋体" w:hAnsi="宋体"/>
            <w:noProof/>
            <w:sz w:val="24"/>
          </w:rPr>
        </w:r>
        <w:r w:rsidRPr="00135B55">
          <w:rPr>
            <w:rFonts w:ascii="宋体" w:hAnsi="宋体"/>
            <w:noProof/>
            <w:sz w:val="24"/>
          </w:rPr>
          <w:fldChar w:fldCharType="separate"/>
        </w:r>
        <w:r w:rsidRPr="00135B55">
          <w:rPr>
            <w:rFonts w:ascii="宋体" w:hAnsi="宋体"/>
            <w:noProof/>
            <w:sz w:val="24"/>
          </w:rPr>
          <w:t>159</w:t>
        </w:r>
        <w:r w:rsidRPr="00135B55">
          <w:rPr>
            <w:rFonts w:ascii="宋体" w:hAnsi="宋体"/>
            <w:noProof/>
            <w:sz w:val="24"/>
          </w:rPr>
          <w:fldChar w:fldCharType="end"/>
        </w:r>
      </w:hyperlink>
    </w:p>
    <w:p w:rsidR="00135B55" w:rsidRPr="00135B55" w:rsidRDefault="00135B55" w:rsidP="00135B55">
      <w:pPr>
        <w:pStyle w:val="10"/>
        <w:tabs>
          <w:tab w:val="right" w:leader="dot" w:pos="8550"/>
        </w:tabs>
        <w:spacing w:line="360" w:lineRule="auto"/>
        <w:rPr>
          <w:rFonts w:ascii="宋体" w:hAnsi="宋体" w:cstheme="minorBidi"/>
          <w:noProof/>
          <w:sz w:val="24"/>
        </w:rPr>
      </w:pPr>
      <w:hyperlink w:anchor="_Toc228463665" w:history="1">
        <w:r w:rsidRPr="00135B55">
          <w:rPr>
            <w:rStyle w:val="aa"/>
            <w:rFonts w:ascii="宋体" w:hAnsi="宋体" w:hint="eastAsia"/>
            <w:noProof/>
            <w:sz w:val="24"/>
          </w:rPr>
          <w:t>二十六、备查文件</w:t>
        </w:r>
        <w:r w:rsidRPr="00135B55">
          <w:rPr>
            <w:rFonts w:ascii="宋体" w:hAnsi="宋体"/>
            <w:noProof/>
            <w:sz w:val="24"/>
          </w:rPr>
          <w:tab/>
        </w:r>
        <w:r w:rsidRPr="00135B55">
          <w:rPr>
            <w:rFonts w:ascii="宋体" w:hAnsi="宋体"/>
            <w:noProof/>
            <w:sz w:val="24"/>
          </w:rPr>
          <w:fldChar w:fldCharType="begin"/>
        </w:r>
        <w:r w:rsidRPr="00135B55">
          <w:rPr>
            <w:rFonts w:ascii="宋体" w:hAnsi="宋体"/>
            <w:noProof/>
            <w:sz w:val="24"/>
          </w:rPr>
          <w:instrText xml:space="preserve"> PAGEREF _Toc228463665 \h </w:instrText>
        </w:r>
        <w:r w:rsidRPr="00135B55">
          <w:rPr>
            <w:rFonts w:ascii="宋体" w:hAnsi="宋体"/>
            <w:noProof/>
            <w:sz w:val="24"/>
          </w:rPr>
        </w:r>
        <w:r w:rsidRPr="00135B55">
          <w:rPr>
            <w:rFonts w:ascii="宋体" w:hAnsi="宋体"/>
            <w:noProof/>
            <w:sz w:val="24"/>
          </w:rPr>
          <w:fldChar w:fldCharType="separate"/>
        </w:r>
        <w:r w:rsidRPr="00135B55">
          <w:rPr>
            <w:rFonts w:ascii="宋体" w:hAnsi="宋体"/>
            <w:noProof/>
            <w:sz w:val="24"/>
          </w:rPr>
          <w:t>160</w:t>
        </w:r>
        <w:r w:rsidRPr="00135B55">
          <w:rPr>
            <w:rFonts w:ascii="宋体" w:hAnsi="宋体"/>
            <w:noProof/>
            <w:sz w:val="24"/>
          </w:rPr>
          <w:fldChar w:fldCharType="end"/>
        </w:r>
      </w:hyperlink>
    </w:p>
    <w:p w:rsidR="00E0473C" w:rsidRPr="00135B55" w:rsidRDefault="00135B55" w:rsidP="00135B55">
      <w:pPr>
        <w:pStyle w:val="ad"/>
        <w:snapToGrid w:val="0"/>
        <w:spacing w:after="240" w:line="360" w:lineRule="auto"/>
        <w:jc w:val="center"/>
        <w:rPr>
          <w:rFonts w:ascii="宋体" w:hAnsi="宋体"/>
          <w:color w:val="000000"/>
          <w:sz w:val="24"/>
        </w:rPr>
      </w:pPr>
      <w:r w:rsidRPr="00135B55">
        <w:rPr>
          <w:rFonts w:ascii="宋体" w:hAnsi="宋体"/>
          <w:color w:val="000000"/>
          <w:position w:val="-4"/>
          <w:sz w:val="24"/>
          <w:szCs w:val="30"/>
        </w:rPr>
        <w:fldChar w:fldCharType="end"/>
      </w:r>
      <w:bookmarkStart w:id="3" w:name="_GoBack"/>
      <w:bookmarkEnd w:id="3"/>
    </w:p>
    <w:p w:rsidR="00E0473C" w:rsidRDefault="00E0473C">
      <w:pPr>
        <w:autoSpaceDE w:val="0"/>
        <w:autoSpaceDN w:val="0"/>
        <w:adjustRightInd w:val="0"/>
        <w:snapToGrid w:val="0"/>
        <w:spacing w:line="360" w:lineRule="auto"/>
        <w:ind w:left="120" w:rightChars="6" w:right="13"/>
        <w:rPr>
          <w:rFonts w:ascii="宋体" w:hAnsi="宋体"/>
          <w:kern w:val="0"/>
          <w:szCs w:val="24"/>
        </w:rPr>
        <w:sectPr w:rsidR="00E0473C">
          <w:pgSz w:w="11920" w:h="16840"/>
          <w:pgMar w:top="1480" w:right="1680" w:bottom="280" w:left="1680" w:header="0" w:footer="1073" w:gutter="0"/>
          <w:cols w:space="720"/>
        </w:sectPr>
      </w:pPr>
    </w:p>
    <w:p w:rsidR="00E0473C" w:rsidRDefault="0037355A">
      <w:pPr>
        <w:pStyle w:val="1"/>
        <w:snapToGrid w:val="0"/>
        <w:spacing w:beforeLines="0" w:before="240" w:after="240"/>
        <w:rPr>
          <w:rFonts w:ascii="宋体" w:hAnsi="宋体"/>
          <w:szCs w:val="30"/>
        </w:rPr>
      </w:pPr>
      <w:bookmarkStart w:id="4" w:name="_Toc228463640"/>
      <w:r>
        <w:rPr>
          <w:rFonts w:ascii="Times New Roman" w:hAnsi="Times New Roman"/>
          <w:sz w:val="30"/>
        </w:rPr>
        <w:lastRenderedPageBreak/>
        <w:t>一、绪言</w:t>
      </w:r>
      <w:bookmarkEnd w:id="4"/>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科技创新灵活配置混合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和其他相关法律法规的规定以及《交银施罗德科技创新灵活配置混合型证券投资基金基金合同》（以下简称“基金合同”）编写。</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3735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0473C" w:rsidRDefault="0037355A">
      <w:pPr>
        <w:pStyle w:val="1"/>
        <w:snapToGrid w:val="0"/>
        <w:spacing w:beforeLines="0" w:before="240" w:after="240"/>
        <w:rPr>
          <w:rFonts w:ascii="宋体" w:hAnsi="宋体"/>
          <w:szCs w:val="30"/>
        </w:rPr>
      </w:pPr>
      <w:bookmarkStart w:id="5" w:name="_Toc228463641"/>
      <w:r>
        <w:rPr>
          <w:rFonts w:ascii="Times New Roman" w:hAnsi="Times New Roman"/>
          <w:sz w:val="30"/>
        </w:rPr>
        <w:lastRenderedPageBreak/>
        <w:t>二、释义</w:t>
      </w:r>
      <w:bookmarkEnd w:id="5"/>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1、基金或本基金：指交银施罗德科技创新灵活配置混合型证券投资基金</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3、基金托管人或本基金托管人：指中国工商银行股份有限公司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4、《基金合同》或基金合同：指《交银施罗德科技创新灵活配置混合型证券投资基金基金合同》及对基金合同的任何有效修订和补充</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5、托管协议：指基金管理人与基金托管人就本基金签订之《交银施罗德科技创新灵活配置混合型证券投资基金托管协议》及对该托管协议的任何有效修订和补充</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6、招募说明书或《招募说明书》或本招募说明书：指《交银施罗德科技创新灵活配置混合型证券投资基金招募说明书》及其更新</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7、基金份额发售公告：指《交银施罗德科技创新灵活配置混合型证券投资基金基金份额发售公告》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8、基金产品资料概要：指《交银施罗德科技创新灵活配置混合型证券投资基金基金产品资料概要》及其更新</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11、《销售办法》：指《证券投资基金销售管理办法》及颁布机关对其不时做出的修订</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14、《流动性规定》：指中国证监会2017年8月31日颁布、同年10月1日实施的《公开募集开放式证券投资基金流动性风险管理规定》及颁布机关对其不时做出的修订</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15、中国证监会：指中国证券监督管理委员会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16、银行业监督管理机构：指中国人民银行和/或中国银行业监督管理委员会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21、人民币合格境外机构投资者：指按照《人民币合格境外机构投资者境内证券投资试点办法》及相关法律法规规定，运用来自境外的人民币资金进行中国境内证券投资的境外机构投资者</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22、投资人或投资者：指个人投资者、机构投资者、合格境外机构投资者和人民币合格境外机构投资者以及法律法规或中国证监会允许购买证券投资基金的其他投资人的合称</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23、基金份额持有人：指依基金合同和招募说明书合法取得基金份额的投资人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25、销售机构：指交银施罗德基金管理有限公司以及符合《销售办法》和中国证监会规定的其他条件，取得基金销售业务资格并与基金管理人签订了基金销售服务协议，办理基金销售业务的机构</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27、登记机构：指办理登记业务的机构。基金的登记机构为交银施罗德基金管理有限公司或接受交银施罗德基金管理有限公司委托办理登记业务的机构</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28、基金账户：指登记机构为投资人开立的、记录其持有的、基金管理人所管理的基金份额余额及其变动情况的账户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29、基金交易账户：指销售机构为投资人开立的、记录投资人通过该销售机构办理认购、申购、赎回、转换及转托管等业务而引起的基金份额变动及结余情况的账户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30、基金合同生效日：指基金募集达到法律法规规定及基金合同规定的条件，基金管理人向中国证监会办理基金备案手续完毕，并获得中国证监会书面确认的日期</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31、基金合同终止日：指基金合同规定的基金合同终止事由出现后，基金财产清算完毕，清算结果报中国证监会备案并予以公告的日期</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32、基金募集期：指自基金份额发售之日起至发售结束之日止的期间，最长不得超过3个月</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33、存续期：指基金合同生效至终止之间的不定期期限</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34、工作日：指上海证券交易所、深圳证券交易所的正常交易日</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35、T日：指销售机构在规定时间受理投资人申购、赎回或其他业务申请的开放日</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36、T+n日：指自T日起第n个工作日(不包含T日)</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37、开放日：指为投资人办理基金份额申购、赎回或其他业务的工作日</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38、开放时间：指开放日基金接受申购、赎回或其他交易的时间段</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业务规则》：指《中国证券登记结算有限责任公司开放式证券投资基金及证券公司集合资产管理计划份额登记及资金结算业务指南》及其后修订，是规范基金管理人所管理的开放式证券投资基金登记方面的业务规则，由基金管理人和投资人共同遵守</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40、认购：指在基金募集期内，投资人根据基金合同和招募说明书的规定申请购买基金份额的行为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41、申购：指基金合同生效后，投资人根据基金合同和招募说明书的规定申请购买基金份额的行为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42、赎回：指基金合同生效后，基金份额持有人按基金合同和招募说明书规定的条件要求将基金份额兑换为现金的行为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基金转换：指基金份额持有人按照基金合同和基金管理人届时有效公告规定的条件，申请将其持有基金管理人管理的、某一基金的基金份额转换为该基金其他份额（如有）或基金管理人管理的其他基金基金份额的行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44、转托管：指基金份额持有人在本基金的不同销售机构之间实施的变更所持基金份额销售机构的操作</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47、元：指人民币元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48、基金收益：指基金投资所得红利、股息、债券利息、买卖证券价差、银行存款利息、已实现的其他合法收入及因运用基金财产带来的成本和费用的节约</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49、基金资产总值：指基金拥有的各类有价证券、股指期货合约、银行存款本息、基金应收申购款及其他资产的价值总和</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50、基金资产净值：指基金资产总值减去基金负债后的价值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51、基金份额净值：指计算日基金资产净值除以计算日基金份额总数</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52、基金资产估值：指计算评估基金资产和负债的价值，以确定基金资产净值和基金份额净值的过程</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53、销售服务费：指从基金财产中计提的，用于本基金市场推广、销售以及基金份额持有人服务的费用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54、A类基金份额：指在投资人申购时收取申购费用且不从本类别基金资产中计提销售服务费的基金份额</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55、C类基金份额：指在投资人申购时不收取申购费用，并从本类别基金资产中计提销售服务费的基金份额</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57、指定媒介：指中国证监会指定的用以进行信息披露的全国性报刊及指定互联网网站（包括基金管理人网站、基金托管人网站、中国证监会基金电子披露网</w:t>
      </w:r>
      <w:r>
        <w:rPr>
          <w:rFonts w:ascii="宋体" w:hAnsi="宋体"/>
          <w:sz w:val="24"/>
        </w:rPr>
        <w:lastRenderedPageBreak/>
        <w:t>站）等媒介</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60、不可抗力：指基金合同当事人不能预见、不能避免且不能克服的客观事件</w:t>
      </w:r>
    </w:p>
    <w:p w:rsidR="00B439CC" w:rsidRDefault="003735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0473C" w:rsidRDefault="0037355A">
      <w:pPr>
        <w:pStyle w:val="1"/>
        <w:snapToGrid w:val="0"/>
        <w:spacing w:beforeLines="0" w:before="240" w:after="240"/>
        <w:rPr>
          <w:rFonts w:ascii="宋体" w:hAnsi="宋体"/>
          <w:szCs w:val="30"/>
        </w:rPr>
      </w:pPr>
      <w:bookmarkStart w:id="6" w:name="_Toc228463642"/>
      <w:r>
        <w:rPr>
          <w:rFonts w:ascii="Times New Roman" w:hAnsi="Times New Roman"/>
          <w:sz w:val="30"/>
        </w:rPr>
        <w:lastRenderedPageBreak/>
        <w:t>三、基金管理人</w:t>
      </w:r>
      <w:bookmarkEnd w:id="6"/>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芮晨先生:基金经理。内蒙古科技大学工学士。19年证券投资行业从业经验。2007年至2009年任深圳尚诚资产管理有限公司研究员、研究副总监，2009年至2013年任国联安基金管理有限公司行业研究员、投资经理，2013年至2014年任浙商证券资产管理有限公司投资主办。2015年加入交银施罗德基金管理有限公司，现任权益部基金经理。曾任交银施罗德先锋混合型证券投资基金(2015年05月18日至2020年07月14日)、交银施罗德数据产业灵活配置混合型证券投资基金(2016年08月16日至2019年05月29日)的基金经理。现任交银施罗德科技创新灵活配置混合型证券投资基金(2016年05月05日至今)、交银施罗德启衡混合型证券投资基金(2022年11月30日至今)、交银施罗德稳健配置混合型证券投资基金(2025年03月25日至今)的基金经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委员：袁庆伟（总经理）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马俊（副总经理）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上述人员之间无近亲属关系。</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6、编制季度报告、中期报告和年度报告；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（6）泄露因职务便利获取的未公开信息、利用该信息从事或者明示、暗示他人从事相关的交易活动；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（7）玩忽职守，不按照规定履行职责；</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（8）法律、行政法规和中国证监会禁止的其他行为。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w:t>
      </w:r>
      <w:r>
        <w:rPr>
          <w:rFonts w:ascii="宋体" w:hAnsi="宋体"/>
          <w:sz w:val="24"/>
        </w:rPr>
        <w:lastRenderedPageBreak/>
        <w:t>谋取最大利益；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（1）建立内控体系，完善内控制度</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3735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0473C" w:rsidRDefault="0037355A">
      <w:pPr>
        <w:pStyle w:val="1"/>
        <w:snapToGrid w:val="0"/>
        <w:spacing w:beforeLines="0" w:before="240" w:after="240"/>
        <w:rPr>
          <w:rFonts w:ascii="宋体" w:hAnsi="宋体"/>
          <w:szCs w:val="30"/>
        </w:rPr>
      </w:pPr>
      <w:bookmarkStart w:id="7" w:name="_Toc228463643"/>
      <w:r>
        <w:rPr>
          <w:rFonts w:ascii="Times New Roman" w:hAnsi="Times New Roman"/>
          <w:sz w:val="30"/>
        </w:rPr>
        <w:lastRenderedPageBreak/>
        <w:t>四、基金托管人</w:t>
      </w:r>
      <w:bookmarkEnd w:id="7"/>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（一）基金托管人基本情况</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名称：中国工商银行股份有限公司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注册地址：北京市西城区复兴门内大街55号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成立时间：1984年1月1日</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法定代表人：廖林</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注册资本：人民币35,640,625.7089万元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联系电话：010-66105799</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联系人：郭明</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截至2025年12月，中国工商银行资产托管部共有员工209人，平均年龄38岁，99%以上员工拥有大学本科以上学历，高管人员均拥有研究生以上学历或高级技术职称。</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中国大陆托管服务的先行者，中国工商银行自1998年在国内首家提供托管服务以来，秉承“诚实信用、勤勉尽责”的宗旨，依靠严密科学的风险管理和内部控制体系、规范的管理模式、先进的营运系统和专业的服务团队，严格履行资产托管人职责，为境内外广大投资者、金融资产管理机构和企业客户提供安全、高效、专业的托管服务，展现优异的市场形象和影响力。建立了国内托管银行中最丰富、最成熟的产品线。拥有包括证券投资基金、信托资产、保险资产、社会保障基金、基本养老保险、企业年金基金、QFI资产、QDII资产、股权投资基金、证券公司集合资产管理计划、证券公司定向资产管理计划、商业银行信贷资产证券化、基金公司特定客户资产管理、QDII专户资产、ESCROW等门类齐全的托管产品体系，同时在国内率先开展绩效评估、风险管理等增值服务，可以为各类客户提供个性化的托管服务。截至2025年12月，中国工商银行共托管证券投资基金1549只。自2003年以来，本行连续二十二年获得香港《亚洲货币》、英国《全球托管人》、香港《财资》、美国《环球金融》、内地《证券时报》、《上海证券报》等境内外权威财经媒体评选的111项最佳托管银行大奖；是获得奖项最多的国内托管银行，优良的服务品质获得国内外金融领域的持续认可和广泛好评。</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（四）基金托管人的内部控制情况</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工商银行资产托管部在风险管理的实操过程中根据国际公认的内部控制COSO准则从控制环境、风险评估、控制活动、信息与沟通、内部监督五个方面构建起了托管业务内部风险控制体系，并纳入统一的风险管理体系。</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工商银行资产托管部从成立之日起始终秉持规范运作的原则，将建立系统、高效的风险防范和控制体系视为工作重点。随着市场环境的变化和托管业务的快速发展，新问题新情况的不断出现，资产托管部自始至终将风险管理置于与业务发展同等重要的位置，视风险防范和控制为托管业务生存与发展的生命线。资产托管部实施全员风险管理，将风险控制责任落实到具体业务部门和相关业务岗位，每位员工均有义务对自己岗位职责范围内的风险负责。从2005年至今，中国工商银行资产托管部共十九次顺利通过评估组织内部控制和安全措施最权威的ISAE3402审阅，全部获得无保留意见的控制及有效性报告，充分表明独立第三方对中国工商银行托管服务在风险管理、内部控制方面的健全性和有效性的全面认可，也证明中国工商银行托管服务的风险控制能力已经与国际大型托管银行接轨，达到国际先进水平。</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（1）资产托管业务经营管理合法合规；</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（2）促进实现资产托管业务发展战略和经营目标；</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（3）资产托管业务风险管理的有效性和资产安全；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（4）提高资产托管经营效率和效果；</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（5）业务记录、会计信息和其他经营管理相关信息的真实、准确、完整、及时。</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2.内部控制的原则</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（1）全面性原则。资产托管业务内部控制应贯穿决策、执行和监督全过程，覆盖资产托管业务各项业务流程和管理活动，覆盖所有机构、部门和从业人员。</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（2）重要性原则。资产托管业务内部控制应在全面控制基础上，关注重要业务事项、重点业务环节和高风险领域。</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（3）制衡性原则。资产托管业务内部控制应在机构设置、权责分配及业务流程等方面形成相互制约、相互监督的机制，同时兼顾运营效率。</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（4）适应性原则。资产托管业务内部控制应当与经营规模、业务范围和风险</w:t>
      </w:r>
      <w:r>
        <w:rPr>
          <w:rFonts w:ascii="宋体" w:hAnsi="宋体"/>
          <w:sz w:val="24"/>
        </w:rPr>
        <w:lastRenderedPageBreak/>
        <w:t>特点相适应，并进行动态调整，以合理成本实现内部控制目标。</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（5）审慎性原则。资产托管业务内部控制应坚持风险为本、审慎经营的理念，设立机构或开展各项经营管理活动均应坚持内控优先。</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（6）成本效益原则。资产托管业务内部控制应权衡实施成本与预期效益，以合理成本实现有效控制。</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3.内部控制组织结构</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资产托管业务内部控制纳入全行统一的内部控制体系。</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总行资产托管部根据内部控制基本规定建立健全资产托管业务内部控制体系，作为全行托管业务的牵头管理部门，根据行内内部控制基本规定建立健全内部控制体系，建立与托管业务条线相适应的内部控制运行机制，确定各项业务活动的风险控制点，制定标准统一的业务制度；采取适当的控制措施，合理保证托管业务流程的经营效率和效果，组织开展资产托管业务内部控制措施的执行、监督和检查，督促各机构落实控制措施。</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（2）总行内控合规部负责托管业务的内控管理工作再监督，根据年度工作重点，定期或不定期在全行开展相关业务监督检查，将托管业务检查项目整合到全行业务监督检查工作中。</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（3）总行内部审计局负责对资产托管业务的审计与评价工作。</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（4）一级（直属）分行资产托管业务部门作为内部控制的执行机构，负责组织开展本机构内部控制的日常运行及自查工作，及时整改、纠正、处理存在的问题。</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4.内部控制措施</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工商银行资产托管部重视内部控制制度的建设，坚持把风险防范和控制的理念和方法融入岗位职责、制度建设和工作流程中，建立了一整套内部控制制度体系，包括《资产托管业务管理规定》、《资产托管业务内部控制管理办法》、《资产托管业务全面风险管理办法》、《资产托管业务营运管理办法》、《资产托管业务合同管理办法》、《资产托管业务档案管理办法》、《资产托管业务系统管理办法》、《资产托管业务重大突发事件应急预案》、《资产托管业务从业人员管理办法》等，在制度、流程、岗位、系统、授权审批、新机构、新客户、新业务及新产品、合同、印章、利益冲突、反洗钱、业务连续性等全方面执行内部控制措施。</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5.风险控制</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资产托管业务切实履行风险管理第一道防线的主体职责，按照“主动防、智能控、全面管”的管理思路，主动将资产托管业务的风险管理纳入全行全面风险管理体系，以“管住人、管住钱、管好防线、管好底线”为管理重点，搭建适应资产托管业务特点的风险管理架构，通过推进托管业务体制机制与完善集约化营运改革、建立资产托管风险管理与内部控制委员会机制、完善资产托管业务制度体系、加强资产托管业务队伍建设、科技赋能、建立健全应急灾备体系、建立审计发现问题整改台账、加强人员管理等措施，有效控制操作风险、合规风险、声誉风险、信息科技风险、次生风险和道德风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6.业务连续性保障</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工商银行制订了完善的资产托管业务连续性工作计划和应急预案，具备行之有效的灾备恢复方案、充足的移动办公设备、同城异城相结合的备份办公场所、必要的工作人员、科学清晰的AB岗位设置及定期演练机制。在重大突发事件发生后，可根据突发事件的对托管业务连续性营运影响程度的评估，适时选择或依次启动“原场所现场+居家”、“部分同城异地+居家”、“部分异城异地+居家”、“异地全部切换”四种方案，由“总部+总行级营运中心+托管分部+境外营运机构”形成全球、全天候营运网络，向客户提供连续性服务，确保托管产品日常交易的及时清算和交割。</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基金合同、托管协议和有关基金法规的规定，基金托管人对基金的投资范围和投资对象、基金投融资比例、基金投资禁止行为、基金参与银行间债券市场、基金资产净值的计算、基金份额净值计算、应收资金到账、基金费用开支及收入确定、基金收益分配、相关信息披露、基金宣传推介材料中登载基金业绩表现数据等进行监督和核查，其中对基金的投资比例的监督和核查自基金合同生效之后六个月开始。</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违反《基金法》、基金合同、基金托管协议或有关基金法律法规规定的行为，应及时以书面形式通知基金管理人限期纠正，基金管理人收到通知后应及时核对，并以书面形式对基金托管人发出回函确认。在限期内，基金托管人有权随时对通知事项进行复查，督促基金管理人改正。基金管理人对基金托管人通知的违规事项未能在限期内纠正的，基金托管人应报告中国证监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基金托管人发现基金管理人有重大违规行为，应立即报告中国证监会，同时通</w:t>
      </w:r>
      <w:r>
        <w:rPr>
          <w:rFonts w:ascii="宋体" w:hAnsi="宋体"/>
          <w:sz w:val="24"/>
        </w:rPr>
        <w:lastRenderedPageBreak/>
        <w:t>知基金管理人限期纠正。</w:t>
      </w:r>
    </w:p>
    <w:p w:rsidR="00B439CC" w:rsidRDefault="003735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0473C" w:rsidRDefault="0037355A">
      <w:pPr>
        <w:pStyle w:val="1"/>
        <w:snapToGrid w:val="0"/>
        <w:spacing w:beforeLines="0" w:before="240" w:after="240"/>
        <w:rPr>
          <w:rFonts w:ascii="宋体" w:hAnsi="宋体"/>
          <w:szCs w:val="30"/>
        </w:rPr>
      </w:pPr>
      <w:bookmarkStart w:id="8" w:name="_Toc228463644"/>
      <w:r>
        <w:rPr>
          <w:rFonts w:ascii="Times New Roman" w:hAnsi="Times New Roman"/>
          <w:sz w:val="30"/>
        </w:rPr>
        <w:lastRenderedPageBreak/>
        <w:t>五、相关服务机构</w:t>
      </w:r>
      <w:bookmarkEnd w:id="8"/>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本基金直销机构为基金管理人以及基金管理人的网上直销交易平台（网站及手机APP，下同）。</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（2）名称：上海浦东发展银行股份有限公司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住所：上海市中山东一路12 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（3）名称：中国工商银行股份有限公司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注册地址：北京市西城区复兴门内大街55号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办公地址：北京市西城区复兴门内大街55号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法定代表人：廖林</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网址：www.icbc.com.cn</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（4）名称：招商银行股份有限公司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（5）名称：中信银行股份有限公司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客户服务电话：95558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（6）名称：中国光大银行股份有限公司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（7）名称：宁波银行股份有限公司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（8）名称：平安银行股份有限公司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（9）名称：中国邮政储蓄银行股份有限公司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办公地址：北京市西城区金融大街3号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（10）名称：兴业银行股份有限公司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注册地址：福建省福州市台江区江滨中大道398号兴业银行大厦</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办公地址：上海市浦东新区银城路 167 号兴业银行大厦</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联系人：蔡宣铭</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联系电话：021-52629999</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客服热线：95561</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网址：www.cib.com.cn</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（11）名称：中国银河证券股份有限公司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（12）名称：天风证券股份有限公司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注册地址：湖北省武汉市东湖新技术开发区关东园路2号高科大厦4楼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办公地址：武汉市武昌区中南路99号保利广场A座37楼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法定代表人：余磊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联系电话：027-87107535</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传真：027-87618863</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联系人：王雅薇</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客户服务电话：95391 / 400-800-5000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网址：www.tfzq.com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（13）名称：国联民生证券股份有限公司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办公地址：江苏省无锡市金融一街8号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联系电话：0510-82832051</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（14）名称：开源证券股份有限公司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注册地址：陕西省西安市高新区锦业路一号都市之门B座5层</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办公地址：陕西省西安市高新区锦业路一号都市之门B座5层</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电话：13709210036</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联系人：赵东会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网址：www.kysec.cn</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（15）名称：西部证券股份有限公司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（16）名称：国投证券股份有限公司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传真：（0755）82558355</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（17）名称：中信建投证券股份有限公司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（18）名称：东方财富证券股份有限公司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（19）名称：兴业证券股份有限公司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（20）名称：华龙证券股份有限公司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办公地址：兰州市城关区东岗西路638号财富中心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（21）名称：大同证券有限责任公司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（22）名称：第一创业证券股份有限公司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（23）名称：华西证券股份有限公司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传真：（028）86150400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（24）名称：西南证券股份有限公司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住所：重庆市江北区桥北苑8号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办公地址：重庆市江北区桥北苑8号西南证券大厦</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电话：（023）63786141</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传真：（023）63786212</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联系人：张煜</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客户服务电话：95355、400-809-6096</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网址：www.swsc.com.cn</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（25）名称：信达证券股份有限公司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（26）名称：中国国际金融股份有限公司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（27）名称：中泰证券股份有限公司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法定代表人：王洪</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（28）名称：申万宏源西部证券有限公司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（29）名称：申万宏源证券有限公司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（30）名称：国都证券股份有限公司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客户服务电话：400-818-8118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（31）名称：平安证券股份有限公司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（32）名称：渤海证券股份有限公司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住所：天津经济技术开发区第二大街42号写字楼101室</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办公地址：天津市南开区宾水西道8号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法定代表人：安志勇</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电话：（022）28451991</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传真：（022）28451892</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956066</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网址：www.ewww.com.cn</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（33）名称：南京证券股份有限公司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住所：南京市江东中路389号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办公地址：南京市江东中路389号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法定代表人：李剑锋</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电话：（025）58519529</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传真：（025）83369725</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联系人：曹梦媛</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客户服务电话：95386</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网址：www.nizq.com.cn</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（34）名称：山西证券股份有限公司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住所：山西省太原市府西街69号山西国际贸易中心东塔楼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（35）名称：国金证券股份有限公司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（36）名称：万联证券股份有限公司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注册地址：广州市天河区珠江东路11号18、19楼全层</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办公地址：广东省广州市天河区珠江东路13号高德置地广场E座12层</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法定代表人：王达</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 系 人：丁思</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联系方式：020-83988334</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客服电话：95322</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公司官网：www.wlzq.cn</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（37）名称：东莞证券股份有限公司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客户服务电话：95328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（38）名称：中国中金财富证券有限公司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（39）名称：华泰证券股份有限公司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（40）名称：中信证券（山东）有限责任公司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（41）名称：中信证券股份有限公司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住所：广东省深圳市福田区中心三路8号卓越时代广场（二期）北座</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（42）名称：中信证券华南股份有限公司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（43）名称：海通证券股份有限公司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（44）名称：上海中欧财富基金销售有限公司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 刘弘义</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（45）名称：济安财富（北京）基金销售有限公司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（46）名称：博时财富基金销售有限公司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（47）名称：大连网金基金销售有限公司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（48）名称：阳光人寿保险股份有限公司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（49）名称：玄元保险代理有限公司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（50）名称：京东肯特瑞基金销售有限公司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（51）名称：上海大智慧基金销售有限公司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法定代表人：申健</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（52）名称：和耕传承基金销售有限公司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（53）名称：腾安基金销售（深圳）有限公司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（54）名称：珠海盈米基金销售有限公司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传真：（020）89629011</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（55）名称：上海华夏财富投资管理有限公司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（56）名称：北京度小满基金销售有限公司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（57）名称：南京苏宁基金销售有限公司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网址：www.snjijin.com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（58）名称：嘉实财富管理有限公司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（59）名称：北京汇成基金销售有限公司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（60）名称：上海利得基金销售有限公司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（61）名称：北京虹点基金销售有限公司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办公地址：北京市朝阳区工人体育场北路甲2号裙房2层222单元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（62）名称：上海挖财基金销售有限公司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（63）名称：万家财富基金销售（天津）有限公司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（64）名称：上海万得基金销售有限公司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电话：021-50712782</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（65）名称：格上富信投资顾问有限公司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（66）名称：深圳市金斧子基金销售有限公司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（67）名称：北京雪球基金销售有限公司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客户服务电话：400-1599-288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（68）名称：北京新浪仓石基金销售有限公司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（69）名称：中证金牛（北京）基金销售有限公司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（70）名称：上海证达通基金销售有限公司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（71）名称：北京创金启富基金销售有限公司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（72）名称：奕丰基金销售有限公司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（73）名称：上海天天基金销售有限公司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（74）名称：和讯信息科技有限公司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办公地址：北京市朝阳区朝外大街22号泛利大厦10层</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（75）名称：诺亚正行基金销售有限公司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（76）名称：上海好买基金销售有限公司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（77）名称：上海长量基金销售有限公司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联系人：单丙烨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（78）名称：深圳众禄基金销售股份有限公司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（79）名称：北京广源达信基金销售有限公司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注册地址：北京市西城区新街口外大街28号C座六层605室</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办公地址：北京市顺义区天祥路6号院北京东航中心T1A-304B室</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法定代表人：齐剑辉</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电话：400-616-7531</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联系人：赵明锦</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客户服务电话：400-616-7531</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网址：https://www.niuniufund.com/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（80）名称：深圳市新兰德证券投资咨询有限公司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（81）名称：北京展恒基金销售股份有限公司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（82）名称：泛华普益基金销售有限公司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（83）名称：中国人寿保险股份有限公司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（84）名称：上海联泰基金销售有限公司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联系人：兰敏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（85）名称：宜信普泽（北京）基金销售有限公司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（86）名称：浙江同花顺基金销售有限公司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（87）名称：上海基煜基金销售有限公司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网址：www.fofund.com.cn</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（88）名称：天相投资顾问有限公司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住所：北京市西城区金融街19号富凯大厦B座701</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办公地址：北京市西城区新街口外大街28号C座5层</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法定代表人：林义相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电话：（010）66045529</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传真：（010）66045518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联系人：尹伶</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客户服务电话：（010）66045678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网址：http://www.txsec.com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（89）名称：深圳前海微众银行股份有限公司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（90）名称：上海陆金所基金销售有限公司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（91）名称：中信期货有限公司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住所：深圳市福田区中心三路8号卓越时代广场（二期）北座13层1301-1305室、14层</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（92）名称：蚂蚁（杭州）基金销售有限公司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基金管理人可根据有关法律法规的要求，选择其它符合要求的机构销售本基金，并在管理人网站公示。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名称：上海市通力律师事务所</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名称：毕马威华振会计师事务所(特殊普通合伙)</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住所：北京市东城区东长安街1号东方广场2座办公楼8层</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办公地址：中国上海南京西路1266号恒隆广场2期25楼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执行事务合伙人：邹俊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电话：+86 (21) 2212 2888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传真：+86 (21) 6288 1889</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联系人：侯雯</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经办注册会计师：王国蓓、侯雯</w:t>
      </w:r>
    </w:p>
    <w:p w:rsidR="00B439CC" w:rsidRDefault="003735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0473C" w:rsidRDefault="0037355A">
      <w:pPr>
        <w:pStyle w:val="1"/>
        <w:snapToGrid w:val="0"/>
        <w:spacing w:beforeLines="0" w:before="240" w:after="240"/>
        <w:rPr>
          <w:rFonts w:ascii="宋体" w:hAnsi="宋体"/>
          <w:szCs w:val="30"/>
        </w:rPr>
      </w:pPr>
      <w:bookmarkStart w:id="9" w:name="_Toc228463645"/>
      <w:r>
        <w:rPr>
          <w:rFonts w:ascii="Times New Roman" w:hAnsi="Times New Roman"/>
          <w:sz w:val="30"/>
        </w:rPr>
        <w:lastRenderedPageBreak/>
        <w:t>六、基金的募集</w:t>
      </w:r>
      <w:bookmarkEnd w:id="9"/>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本基金由基金管理人依照《基金法》、《运作办法》、《销售办法》、基金合同及其他有关规定，并经中国证监会2016年1月28日证监许可[2016]199号文准予募集注册。</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本基金为契约型开放式混合型基金。基金存续期间为不定期。</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本基金自2016年4月11日至2016年 4月29日进行发售，本基金设立募集期共募集580,877,371.05份基金份额，有效认购户数为4,628户。</w:t>
      </w:r>
    </w:p>
    <w:p w:rsidR="00B439CC" w:rsidRDefault="003735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0473C" w:rsidRDefault="0037355A">
      <w:pPr>
        <w:pStyle w:val="1"/>
        <w:snapToGrid w:val="0"/>
        <w:spacing w:beforeLines="0" w:before="240" w:after="240"/>
        <w:rPr>
          <w:rFonts w:ascii="宋体" w:hAnsi="宋体"/>
          <w:szCs w:val="30"/>
        </w:rPr>
      </w:pPr>
      <w:bookmarkStart w:id="10" w:name="_Toc228463646"/>
      <w:r>
        <w:rPr>
          <w:rFonts w:ascii="Times New Roman" w:hAnsi="Times New Roman"/>
          <w:sz w:val="30"/>
        </w:rPr>
        <w:lastRenderedPageBreak/>
        <w:t>七、基金合同的生效</w:t>
      </w:r>
      <w:bookmarkEnd w:id="10"/>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根据有关规定，本基金满足基金合同生效条件，基金合同已于2016年5月5日正式生效。自基金合同生效之日起，本基金管理人正式开始管理本基金。</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60个工作日出现前述情形的，基金管理人应当向中国证监会报告并提出解决方案，如转换运作方式、与其他基金合并或者终止基金合同等，并召开基金份额持有人大会进行表决。</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3735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0473C" w:rsidRDefault="0037355A">
      <w:pPr>
        <w:pStyle w:val="1"/>
        <w:snapToGrid w:val="0"/>
        <w:spacing w:beforeLines="0" w:before="240" w:after="240"/>
        <w:rPr>
          <w:rFonts w:ascii="宋体" w:hAnsi="宋体"/>
          <w:szCs w:val="30"/>
        </w:rPr>
      </w:pPr>
      <w:bookmarkStart w:id="11" w:name="_Toc228463647"/>
      <w:r>
        <w:rPr>
          <w:rFonts w:ascii="Times New Roman" w:hAnsi="Times New Roman"/>
          <w:sz w:val="30"/>
        </w:rPr>
        <w:lastRenderedPageBreak/>
        <w:t>八、基金份额的申购与赎回</w:t>
      </w:r>
      <w:bookmarkEnd w:id="11"/>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（一）申购和赎回的场所</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本基金直销机构为基金管理人以及基金管理人的网上直销交易平台。</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个人投资者可以通过基金管理人网上直销交易平台办理开户、本基金A类基金份额和C类基金份额的申购、赎回、定期定额投资、转换等业务，具体交易细则请参阅基金管理人网站。</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2、除基金管理人之外其他销售机构</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（二）申购和赎回的开放日及时间</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w:t>
      </w:r>
      <w:r>
        <w:rPr>
          <w:rFonts w:ascii="宋体" w:hAnsi="宋体"/>
          <w:sz w:val="24"/>
        </w:rPr>
        <w:lastRenderedPageBreak/>
        <w:t>证监会的要求或基金合同的规定公告暂停申购、赎回时除外。</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出现新的证券/期货交易市场、证券/期货交易所交易时间变更或其他特殊情况，基金管理人将视情况对前述开放日及开放时间进行相应的调整，但应在实施日前依照《信息披露办法》的有关规定在指定媒介上公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本基金A类基金份额已于2016年6月6日起开放申购、赎回业务。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本基金C类基金份额已于2022年3月16日起开放申购、赎回业务。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（三）申购与赎回的原则</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（四）申购和赎回的数额限定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w:t>
      </w:r>
      <w:r>
        <w:rPr>
          <w:rFonts w:ascii="宋体" w:hAnsi="宋体"/>
          <w:sz w:val="24"/>
        </w:rPr>
        <w:lastRenderedPageBreak/>
        <w:t>受申购申请的最低金额为单笔1元，如果销售机构业务规则规定的最低单笔申购金额高于1元，以该销售机构的规定为准。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申购的金额和赎回的份额以及最低基金份额保留余额的数量限制，基金管理人必须在调整实施前依照《信息披露办法》的有关规定在指定媒介上刊登公告并报中国证监会备案。</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（五）申购和赎回的程序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内支付赎回款项。在发生巨额赎回时，款项的支付办法参照基金合同有关条款处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退还给投资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（六）基金的申购费和赎回费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本基金基金份额分为A类基金份额和C类基金份额。投资人申购A类基金份额在申购时支付申购费用；申购C类基金份额不支付申购费用，并从该类别基金资产中计提销售服务费。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本基金A类基金份额的申购费用由申购A类基金份额的申购人承担，不列入基金财产，主要用于本基金的市场推广、销售、登记等各项费用。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E0473C">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w:t>
            </w:r>
            <w:r>
              <w:rPr>
                <w:rFonts w:ascii="Times New Roman" w:hAnsi="Times New Roman"/>
                <w:color w:val="000000"/>
                <w:kern w:val="0"/>
                <w:sz w:val="25"/>
                <w:szCs w:val="24"/>
              </w:rPr>
              <w:lastRenderedPageBreak/>
              <w:t>份额的申购费率</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E0473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E0473C" w:rsidRDefault="00E0473C">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E0473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E0473C" w:rsidRDefault="00E0473C">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E0473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E0473C" w:rsidRDefault="00E0473C">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E0473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E0473C" w:rsidRDefault="00E0473C">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本基金对通过基金管理人直销柜台申购本基金A类基金份额的养老金客户实施特定申购费率。</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企业年金理事会委托的特定客户资产管理计划、企业年金养老金产品。如将来出现经养老基金监管部门认可的新的养老基金类型，基金管理人可在招募说明书更新或发布临时公告将其纳入养老金客户范围，并按规定向中国证监会备案。</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E0473C">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类基金份额的申购费率</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E0473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E0473C" w:rsidRDefault="00E0473C">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E0473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E0473C" w:rsidRDefault="00E0473C">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w:t>
            </w:r>
          </w:p>
        </w:tc>
      </w:tr>
      <w:tr w:rsidR="00E0473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E0473C" w:rsidRDefault="00E0473C">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rsidR="00E0473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E0473C" w:rsidRDefault="00E0473C">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（1）本基金A类基金份额的赎回费率</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用由赎回A类基金份额的基金份额持有人承担，在基金份额持有人赎回A类基金份额时收取，对持续持有期少于7日的投资人收取1.5%的赎回费，对持续持有期大于等于7日但少于30日的投资人收取0.75%的赎回费，并将上述赎回费全额计入基金财产；对持续持有期大于等于30日但少于3个月的投资人收取0.5%的赎回费，并将赎回费总额的75%计入基金财产；对持续持有期大于等于3个月但少于6个月的投资人收取0.5%的赎回费，并将赎回费总额的50%计入基金</w:t>
      </w:r>
      <w:r>
        <w:rPr>
          <w:rFonts w:ascii="宋体" w:hAnsi="宋体"/>
          <w:sz w:val="24"/>
        </w:rPr>
        <w:lastRenderedPageBreak/>
        <w:t>财产；对持续持有期大于等于6个月的投资人，应当将赎回费总额的25%计入基金财产。上述“月”指的是30个自然日。未归入基金财产的部分用于支付登记费和其他必要的手续费。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E0473C">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类基金份额赎回费率</w:t>
            </w:r>
          </w:p>
        </w:tc>
      </w:tr>
      <w:tr w:rsidR="00E0473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E0473C" w:rsidRDefault="00E0473C">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E0473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E0473C" w:rsidRDefault="00E0473C">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rsidR="00E0473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E0473C" w:rsidRDefault="00E0473C">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E0473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E0473C" w:rsidRDefault="00E0473C">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年（含）</w:t>
            </w:r>
            <w:r>
              <w:rPr>
                <w:rFonts w:ascii="Times New Roman" w:hAnsi="Times New Roman"/>
                <w:color w:val="000000"/>
                <w:kern w:val="0"/>
                <w:sz w:val="25"/>
                <w:szCs w:val="24"/>
              </w:rPr>
              <w:t>—2</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0.25%</w:t>
            </w:r>
          </w:p>
        </w:tc>
      </w:tr>
      <w:tr w:rsidR="00E0473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E0473C" w:rsidRDefault="00E0473C">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年以上（含）</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E0473C">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类基金份额赎回费率</w:t>
            </w:r>
          </w:p>
        </w:tc>
      </w:tr>
      <w:tr w:rsidR="00E0473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E0473C" w:rsidRDefault="00E0473C">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E0473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E0473C" w:rsidRDefault="00E0473C">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E0473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E0473C" w:rsidRDefault="00E0473C">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本基金C类基金份额的赎回费用由赎回C类基金份额的基金份额持有人承担，在基金份额持有人赎回C类基金份额时收取，对C类基金份额持有人收取的赎回费全额计入基金财产。</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申购费率、赎回费率和转换费率。</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（七）申购和赎回的数额和价格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A类基金份额或C类基金份额有效赎回份额乘以当日该类基金份额的基金份额净值并扣除相应的费用（如有），赎回金额单位为元。赎回金额计算结果按四舍五入方法，保留到小数点后2位，由此产生的收益或损失由基金财产承担。</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2、申购份额的计算</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T日A类基金份额净值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例一：某投资者（非养老金客户）投资40,000元申购本基金A类基金份额，假设申购当日A类基金份额净值为1.0400元，申购费率为1.5%，则其可得到的申购份额为：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净申购金额=40,000/（1+1.5%）=39,408.87元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申购费用=40,000-39,408.87=591.13元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申购份额=（40,000-591.13）/1.0400=37,893.14份</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即：某投资者（非养老金客户）投资40,000元申购本基金A类基金份额，假设申购当日A类基金份额净值为1.0400元，则其可得到37,893.14份A类基金份额。</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例二：某养老金客户投资100,000元通过基金管理人的直销柜台申购本基金A类基金份额，假设申购当日A类基金份额净值为1.0400元，申购费率为0.6%，则其可得到的申购份额为：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净申购金额=100,000/（1+0.6%）=99,403.58元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申购费用=100,000-99,403.58=596.42元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申购份额=（100,000-596.42）/1.0400=95,580.37份</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即：该养老金客户投资100,000元通过基金管理人的直销柜台申购本基金A类基金份额，假设申购当日A类基金份额净值为1.0400元，则其可得到95,580.37份A类基金份额。</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申购总金额=申请总金额</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例三：某投资者投资100,000元申购本基金的C类基金份额，假设申购当日C类基金份额净值为1.0400元，则其可得到的申购份额为：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赎回金额为按实际确认的A类基金份额或C类基金份额有效赎回份额乘以当日该类基金份额净值并扣除相应的费用（如有），赎回金额单位为元，计算结果保留到小数点后两位，第三位四舍五入。</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投资者赎回A类基金份额，赎回金额的计算方法如下：</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例四：某投资者赎回持有的10,000份A类基金份额，持有期限为30日，对应的赎回费率为0.5%，假设赎回当日A类基金份额净值是1.0160元，则其可得到的赎回金额为：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10,000×1.0160×0.5% ＝ 50.80元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10,000×1.0160-50.80 ＝ 10,109.20元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即：投资者赎回本基金10,000份A类基金份额，对应的赎回费率为0.5%，假设赎回当日A类基金份额净值是1.0160元，则其可得到的赎回金额为10,109.20元。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例五：某投资者赎回10,000份C类基金份额，持有期限为20日，对应的赎回费率为0.5%，假设赎回当日C类基金份额净值是1.0160元，则其可得到的赎回金额为：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赎回费用=10,000×1.0160×0.5%＝50.80元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赎回金额=10,000×1.0160-50.80＝10,109.20元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即：投资者赎回10,000份C类基金份额，持有期限为20日，对应的赎回费率为0.5%，假设赎回当日C类基金份额净值是1.0160元，则其可得到的赎回金额为10,109.20元。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中国证监会同意，可以适当延迟计算或公告。本基金A类基金份额和C类基金份额的基金份额净值的计算，均保留到小数点后4位，小数点后第5位四舍五入，由此误差产生的收益或损失由基金财产承担。</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（八）拒绝或暂停申购的情形</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5、基金资产规模过大，使基金管理人无法找到合适的投资品种，或其他可能对基金业绩产生负面影响，或出现其他损害现有基金份额持有人利益的情形。</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7、基金管理人接受某笔或者某些申购申请有可能导致单一投资者持有基金份额的比例超过50%，或者变相规避50%集中度的情形。出现上述情形时，基金管理人有权将上述申购申请全部或部分确认失败。</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8、基金合同约定、法律法规规定或中国证监会认定的其他情形。</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发生上述第1、2、3、5、6、8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（九）暂停赎回或延缓支付赎回款项的情形</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5、继续接受赎回申请将损害现有基金份额持有人利益的情形时，可暂停接受投资人的赎回申请。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7、基金合同约定、法律法规规定或中国证监会认定的其他情形。</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（十）巨额赎回的情形及处理方式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w:t>
      </w:r>
      <w:r>
        <w:rPr>
          <w:rFonts w:ascii="宋体" w:hAnsi="宋体"/>
          <w:sz w:val="24"/>
        </w:rPr>
        <w:lastRenderedPageBreak/>
        <w:t>的余额)超过前一开放日的基金总份额的10%，即认为是发生了巨额赎回。</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当发生上述延期赎回并延期办理时，基金管理人应当通过邮寄、传真、刊登公告或者通知销售机构代为告知等方式在3个交易日内通知基金份额持有人，说明有关处理方法，并在2日内在指定媒介上刊登公告。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（十一）暂停申购或赎回的公告和重新开放申购或赎回的公告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各类基金份额的基金份额净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（十二）基金的非交易过户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（十三）基金的转托管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（十四）定期定额投资计划</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2016年6月3日刊登公告自2016年6月6日起开通A类基金份额的定期定额投资计划业务，本基金2022年3月14日刊登公告自2022年3月16日起增设C类基金份额并开通C类基金份额的定期定额投资计划业务，具体开通销售机构名单和业务规则参见相关公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（十五）定时不定额投资计划</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自2017年1月12日起，投资者可通过中国工商银行股份有限公司的“基智定投”办理本基金A类基金份额的定时不定额投资业务。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基智定投业务是中国工商银行股份有限公司普通基金定投业务的升级业务，基智定投分为定时不定额和定时定额两种投资方式。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中国工商银行股份有限公司办理本公司旗下基金的基智定投业务，相关流程和业务规则遵循中国工商银行股份有限公司的有关规定。详情请咨询当地中国工商银行股份有限公司的代销网点或中国工商银行股份有限公司客户服务电话（95588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（十六）基金份额的冻结和解冻</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（十七）基金上市交易和场内申购赎回业务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未来系统条件允许的情况下，基金管理人可以根据相关证券交易所上市交易规则安排本基金上市交易和/或开通场内申购赎回业务事宜。具体上市交易和/或开通场内申购赎回的安排由基金管理人届时提前发布公告，并告知基金托管人与相关机构。场内申购赎回业务按照证券交易所及登记机构的相关业务规则办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（十八）基金份额的转让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且在对现有基金份额持有人利益无实质性不利影响的前提下，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（十九）实施侧袋机制期间本基金的申购与赎回</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（二十）其他业务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37355A"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E0473C" w:rsidRDefault="0037355A">
      <w:pPr>
        <w:pStyle w:val="1"/>
        <w:snapToGrid w:val="0"/>
        <w:spacing w:beforeLines="0" w:before="240" w:after="240"/>
        <w:rPr>
          <w:rFonts w:ascii="宋体" w:hAnsi="宋体"/>
          <w:szCs w:val="30"/>
        </w:rPr>
      </w:pPr>
      <w:bookmarkStart w:id="12" w:name="_Toc228463648"/>
      <w:r>
        <w:rPr>
          <w:rFonts w:ascii="Times New Roman" w:hAnsi="Times New Roman"/>
          <w:sz w:val="30"/>
        </w:rPr>
        <w:lastRenderedPageBreak/>
        <w:t>九、基金的转换</w:t>
      </w:r>
      <w:bookmarkEnd w:id="12"/>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（一）基金转换</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该基金其他份额（如有）或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（二）转换业务办理时间</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2017年1月9日刊登公告自2017年1月12日起开放A类基金份额的日常转换业务。本基金2022年3月14日刊登公告自2022年3月16日起增设C类基金份额并开通C类基金份额的日常转换业务。本基金2025年8月26日刊登公告自2025年8月26日起开放开通同一基金不同类别基金份额转换业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（三）基金转换的程序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正常情况下，T日规定时间受理的申请，基金注册登记机构在T＋1日内为投资人对该交易的有效性进行确认，在T＋2日后（包括该日）投资人可向销售机构查询转换的确认情况。</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在T＋1日为投资人T日的基金转换业务申请进行有效性确认，办理转出基金的权益扣除以及转入基金的权益登记，在T＋2日后（包含该</w:t>
      </w:r>
      <w:r>
        <w:rPr>
          <w:rFonts w:ascii="宋体" w:hAnsi="宋体"/>
          <w:sz w:val="24"/>
        </w:rPr>
        <w:lastRenderedPageBreak/>
        <w:t>日）投资人可向销售机构查询转换业务的成交情况，并有权转换或赎回该部分基金份额。</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（四）基金转换的数额限制</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投资人在单个交易账户最低保留余额的规定，每个工作日投资人在单个交易账户保留的基金份额余额少于最低保留余额时，若当日该账户同时有份额减少类业务（如赎回、转换出等）被确认，基金管理人有权将投资人在该账户保留的基金份额一次性全部赎回。因此，如果某笔转换申请确认后转出基金的单个交易账户的基金份额余额少于最低保留余额时，则转出基金在该账户剩余的基金份额将被全部赎回。如果某笔转换申请确认后转入基金的单个交易账户的基金份额余额少于最低保留余额且该账户当日有份额减少类业务被确认，则转入基金在该账户剩余的基金份额（包括该部分转换入确认份额）将随即被强制赎回。</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（五）基金转换费用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3、转出与转入基金的申购补差费用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4、网上直销的申购补差费率优惠</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5、本基金管理人可以根据法律法规及基金合同的规定对上述转换费用收费方式和费率进行调整，并应于调整后的收费方式和费率在实施前依照《信息披露办法》的有关规定在中国证监会指定媒介上公告。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（六）基金转换份额的计算公式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转出确认金额=100,000×1.0100=101,000元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转出与转入基金的申购补差费=100,000×0.8%/（1+0.8%）=793.65元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转入确认金额=125,000-250=124,750元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（七）业务规则</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代理的同一基金管理人管理的、在同一注册登记机构处注册登记的基金。投资人办理基金转换业务时，转出方的基金必须处于可赎回状态，转入方的基金必须处于可申购状态。</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3、基金转换采取未知价法，即基金的转换价格以申请受理当日各转出、转入基金的基金份额净值为基础进行计算。（货币市场基金的基金份额净值为固定价1.00元）。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申请将其账户内交银货币的基金份额转换为其他基金份额时，注册登记机构将自动结转该转出份额对应的待支付收益，该收益将一并计入转出金额并折算为转入基金的基金份额，但收益部分不收取转换费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（八）暂停基金转换</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rsidR="00B439CC" w:rsidRDefault="003735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0473C" w:rsidRDefault="0037355A">
      <w:pPr>
        <w:pStyle w:val="1"/>
        <w:snapToGrid w:val="0"/>
        <w:spacing w:beforeLines="0" w:before="240" w:after="240"/>
        <w:rPr>
          <w:rFonts w:ascii="宋体" w:hAnsi="宋体"/>
          <w:szCs w:val="30"/>
        </w:rPr>
      </w:pPr>
      <w:bookmarkStart w:id="13" w:name="_Toc228463649"/>
      <w:r>
        <w:rPr>
          <w:rFonts w:ascii="Times New Roman" w:hAnsi="Times New Roman"/>
          <w:sz w:val="30"/>
        </w:rPr>
        <w:lastRenderedPageBreak/>
        <w:t>十、基金的投资</w:t>
      </w:r>
      <w:bookmarkEnd w:id="13"/>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本基金重点关注以科技为创新驱动力、在产业竞争中掌握核心竞争优势的优质上市公司，在控制风险并保持基金资产良好的流动性的前提下，力争实现基金资产的长期稳定增值。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中期票据、货币市场工具、权证、资产支持证券、股指期货以及法律法规或中国证监会允许基金投资的其他金融工具（但须符合中国证监会相关规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资产（含存托凭证）占基金资产的0%-95%；本基金投资受益于科技创新相关上市公司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和应收申购款等。</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综合考虑国家经济政策、经济周期、各行业的相对估值水平和行业竞争格局等因素，进行大类资产在各行业间的配置。本基金聚焦于具有科技创新优势的行业和企业，深度挖掘依附于科技创新背后的新商业模式，重点关注以科技为创新驱动力、在产业竞争中掌握核心竞争优势的优质上市公司，致力于占领科技创新进程中的制高点。 其中，本基金股票投资重点关注直接受益于科技创新红利、或在新科技、新技术推动下盈利水平长期显著提升的其他上市公司。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1、资产配置</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本基金利用经交银施罗德研究团队修正后的投资时钟分析框架，通过“自上而下”的定性分析和定量分析相结合形成对不同资产市场表现的预测和判断，确定基</w:t>
      </w:r>
      <w:r>
        <w:rPr>
          <w:rFonts w:ascii="宋体" w:hAnsi="宋体"/>
          <w:sz w:val="24"/>
        </w:rPr>
        <w:lastRenderedPageBreak/>
        <w:t>金资产在股票、债券及货币市场工具等各类别资产间的分配比例，并随着各类证券风险收益特征的相对变化，在基金合同约定的范围内动态调整组合中各类资产的比例，以规避或控制市场风险，提高基金收益率。</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2、行业配置</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不同行业受宏观经济周期、行业自身生命周期以及相关结构性因素的影响在不同时期表现往往具有明显差异。基金管理人采用多因素的定性与定量相结合的分析和预测方法，确定宏观及行业经济变量的变动对不同行业的潜在影响，得出各行业的相对投资价值与投资时机。本基金管理人认为科技改造人类生活，历史上科技的发明，无数次的以跨跃的方式改变了人类的现有生存状态。本基金将密切跟踪科技创新带来的投资新机遇，并积极把握以科技为创新驱动力、具备核心竞争优势的相关行业带来的投资机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3、股票投资</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本基金将充分发挥研究团队自下而上的选股能力，基于对个股深入的基本面研究和细致的实地调研，精选股票构建股票投资组合。</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本基金管理人的股票投资具体分以下几个层次进行：</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（1）品质筛选</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筛选出在公司治理、财务及管理品质上符合基本品质要求的公司，构建备选股票池。主要筛选指标包括：</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盈利能力指标（如P/E、P/Cash Flow、P/FCF、P/S、P/EBIT等）</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经营效率指标（如ROE、ROA、Return on operating assets等）</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财务状况指标（如D/A、流动比率等）</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（2）价值评估</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公司备选股票池基础上，本基金将进一步通过对备选上市公司详实的案头分析和深入的实地调研，以定性与定量相结合的方法对公司价值进行综合评估，构建股票组合。其中，本基金重点关注以科技为创新驱动力、在产业竞争中掌握核心竞争优势的上市公司，包括：</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所处的细分子行业未来有大幅的成长空间的上市公司；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利用技术手段颠覆传统行业，迅速提高市场集中度的上市公司；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管理层优秀、可以前瞻性的预判科技的更新换代所带来的行业变革并坚决投入，从而掌握行业制高点和供给稀缺性的上市公司；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管理层善于学习，可以在科技进步产业转型中，很好的把科技进步和企业的固有资源禀赋结合的上市公司；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利用新技术创造性的发展出新型商业模式的上市公司；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其他受益于新兴产业或传统产业的科技改造，并在行业中具备竞争优势的上市公司。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本基金管理人将对所关注的重点上市公司进行内在价值的评估和成长性跟踪研究，在明确的价值评估基础上精选优秀质地的投资标的构建股票组合。</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（3）存托凭证的投资策略</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4、债券投资</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获取债券市场的长期稳定收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5、权证投资</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权证投资以权证的市场价值分析为基础，配以权证定价模型寻求其合理估值水平，以主动式的科学投资管理为手段，充分考虑权证资产的收益性、流动性及风险性特征，通过资产配置、品种与类属选择，追求基金资产稳定的当期收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6、资产支持证券投资</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资产支持证券将综合运用久期管理、收益率曲线、个券选择和把握市场交易机会等积极策略，在严格控制风险的情况下，通过信用研究和流动性管理，选择风险调整后的收益高的品种进行投资，以期获得长期稳定收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7、股指期货投资</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w:t>
      </w:r>
      <w:r>
        <w:rPr>
          <w:rFonts w:ascii="宋体" w:hAnsi="宋体"/>
          <w:sz w:val="24"/>
        </w:rPr>
        <w:lastRenderedPageBreak/>
        <w:t>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（1）股票资产（含存托凭证）占基金资产的0%-95%；本基金投资受益于科技创新相关上市公司证券的比例不低于非现金基金资产的80%；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（2）每个交易日日终在扣除股指期货合约需缴纳的交易保证金后，保持不低于基金资产净值5％的现金或者到期日在一年以内的政府债券，其中现金不包括结算备付金、存出保证金和应收申购款等；</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（6）本基金管理人管理的全部基金持有的同一权证，不得超过该权证的 10%；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（12）本基金应投资于信用级别评级为BBB以上(含BBB)的资产支持证券。基金持有资产支持证券期间，如果其信用等级下降、不再符合投资标准，应在评级报告发布之日起3个月内予以全部卖出；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（14）本基金进入全国银行间同业市场进行债券回购的资金余额不得超过基金资产净值的40%，本基金在全国银行间同业市场中的债券回购最长期限为1年，债券回购到期后不得展期；</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（15）本基金若投资股指期货，则：</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3）本基金在任何交易日日终，持有的卖出期货合约价值不得超过基金持有的股票总市值的20%；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6）本基金每个交易日日终在扣除股指期货合约需缴纳的交易保证金后，应当保持不低于基金资产净值5%的现金或到期日在一年以内的政府债券，其中现金不包括结算备付金、存出保证金和应收申购款等；</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（16）本基金的基金资产总值不得超过基金资产净值的140%；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投资流通受限证券，基金管理人应事先根据中国证监会相关规定，与基金托管人在基金托管协议中明确基金投资流通受限证券的比例，根据比例进行投资。基金管理人应制订严格的投资决策流程和风险控制制度，防范流动性风险、法律风险和操作风险等各种风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（18）本基金管理人管理的全部开放式基金（包括开放式基金以及处于开放期</w:t>
      </w:r>
      <w:r>
        <w:rPr>
          <w:rFonts w:ascii="宋体" w:hAnsi="宋体"/>
          <w:sz w:val="24"/>
        </w:rPr>
        <w:lastRenderedPageBreak/>
        <w:t>的定期开放基金）持有一家上市公司发行的可流通股票，不得超过该上市公司可流通股票的15%；本基金管理人管理的全部投资组合持有一家上市公司发行的可流通股票，不得超过该上市公司可流通股票的30%；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（20）本基金与私募类证券资管产品及中国证监会认定的其他主体为交易对手开展逆回购交易的，可接受质押品的资质要求应当与基金合同约定的投资范围保持一致；</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（21）本基金投资存托凭证的比例限制依照境内上市交易的股票执行；</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（22）法律法规及中国证监会规定的和《基金合同》约定的其他投资限制。</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12）、（15）项第6）目、（19）、（20）项以外，因证券、期货市场波动、证券发行人合并或基金规模变动等基金管理人之外的因素致使基金投资比例不符合上述规定投资比例的，基金管理人应当在10个交易日内进行调整，但中国证监会规定的特殊情形除外。法律法规另有规定的，从其规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（7）法律、行政法规和中国证监会规定禁止的其他活动。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60%×沪深300指数+40%×中证综合债券指数</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是沪深证券交易所第一次联合发布的反映A股市场整体走势的指数，由中证指数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权益类资产投资的业绩比较基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综合债券指数是综合反映银行间债券市场和沪深交易所债券市场国债、金融债、企业债、央行票据及短期融资券整体走势的跨市场债券指数，该指数旨在更全面地反映我国债券市场的整体价格变动趋势，具有较强的市场代表性。根据本基金的投资范围和投资比例，选用上述业绩比较基准能够客观、合理地反映本基金的风险收益特征。</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后，调整或变更本基金的业绩比较基准并及时公告，无需召开基金份额持有人大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本基金是一只混合型基金，其风险和预期收益高于债券型基金和货币市场基</w:t>
      </w:r>
      <w:r>
        <w:rPr>
          <w:rFonts w:ascii="宋体" w:hAnsi="宋体"/>
          <w:sz w:val="24"/>
        </w:rPr>
        <w:lastRenderedPageBreak/>
        <w:t>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（七）基金管理人代表基金行使股东及债权人权利的处理原则及方法</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1、基金管理人按照国家有关规定代表基金独立行使股东及债权人权利，保护基金份额持有人的利益；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（八）侧袋机制的实施和投资运作安排</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（九）基金投资组合报告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基金托管人中国工商银行股份有限公司根据本基金合同规定，于2026年04月20日复核了本报告中的财务指标、净值表现和投资组合报告等内容，保证复核内容不存在虚假记载、误导性陈述或者重大遗漏。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本报告期为2026年01月01日至03月31日。本报告财务资料未经审计师审计。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386,530,775.56</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90.51</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386,530,775.56</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90.51</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4,992,754.47</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1.17</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4,992,754.47</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1.17</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34,998,959.27</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8.20</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532,413.35</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0.12</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427,054,902.65</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46,871,560.08</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11.02</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275,192,185.82</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64.73</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7,005,432.00</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1.65</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26,884.64</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2,076,555.80</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0.49</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49,752,724.68</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11.70</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60,403.52</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5,544,612.00</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1.30</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O</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417.02</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386,530,775.56</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90.91</w:t>
            </w:r>
          </w:p>
        </w:tc>
      </w:tr>
    </w:tbl>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603119</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浙江荣泰</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407,720</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29,657,552.80</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6.98</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688777</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中控技术</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403,094</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25,979,408.30</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6.11</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601689</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拓普集团</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374,300</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21,260,240.00</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5.00</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002050</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三花智控</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498,667</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21,208,307.51</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4.99</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002594</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比亚迪</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200,100</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21,060,525.00</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4.95</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603009</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北特科技</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468,400</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20,656,440.00</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4.86</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002709</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天赐材料</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387,300</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17,815,800.00</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4.19</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603737</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三棵树</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324,794</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16,467,055.80</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3.87</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688521</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芯原股份</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79,861</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16,155,880.30</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3.80</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001203</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大中矿业</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394,900</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15,768,357.00</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3.71</w:t>
            </w:r>
          </w:p>
        </w:tc>
      </w:tr>
    </w:tbl>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3,331,381.64</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0.78</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1,661,372.83</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0.39</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10</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4,992,754.47</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1.17</w:t>
            </w:r>
          </w:p>
        </w:tc>
      </w:tr>
    </w:tbl>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019785</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33,000</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3,331,381.64</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0.78</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113650</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博</w:t>
            </w:r>
            <w:r>
              <w:rPr>
                <w:rFonts w:ascii="Times New Roman" w:hAnsi="Times New Roman"/>
                <w:color w:val="000000"/>
                <w:kern w:val="0"/>
                <w:sz w:val="25"/>
                <w:szCs w:val="24"/>
              </w:rPr>
              <w:t>22</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13,320</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1,653,688.95</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0.39</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113059</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福莱转债</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50</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6,094.95</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123154</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火星转债</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1,588.93</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bl>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报告期内本基金投资的前十名证券的发行主体未被监管部门立案调查，在本报告编制日前一年内本基金投资的前十名证券的发行主体未受到公开谴责和处罚。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347,923.05</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184,490.30</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532,413.35</w:t>
            </w:r>
          </w:p>
        </w:tc>
      </w:tr>
    </w:tbl>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tbl>
      <w:tblPr>
        <w:tblW w:w="5000" w:type="pct"/>
        <w:tblCellMar>
          <w:left w:w="0" w:type="dxa"/>
          <w:right w:w="0" w:type="dxa"/>
        </w:tblCellMar>
        <w:tblLook w:val="0000" w:firstRow="0" w:lastRow="0" w:firstColumn="0" w:lastColumn="0" w:noHBand="0" w:noVBand="0"/>
      </w:tblPr>
      <w:tblGrid>
        <w:gridCol w:w="667"/>
        <w:gridCol w:w="2000"/>
        <w:gridCol w:w="2001"/>
        <w:gridCol w:w="2001"/>
        <w:gridCol w:w="2001"/>
      </w:tblGrid>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113650</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博</w:t>
            </w:r>
            <w:r>
              <w:rPr>
                <w:rFonts w:ascii="Times New Roman" w:hAnsi="Times New Roman"/>
                <w:color w:val="000000"/>
                <w:kern w:val="0"/>
                <w:sz w:val="25"/>
                <w:szCs w:val="24"/>
              </w:rPr>
              <w:t>22</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1,653,688.95</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0.39</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113059</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福莱转债</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6,094.95</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123154</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火星转债</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1,588.93</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bl>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3735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0473C" w:rsidRDefault="0037355A">
      <w:pPr>
        <w:pStyle w:val="1"/>
        <w:snapToGrid w:val="0"/>
        <w:spacing w:beforeLines="0" w:before="240" w:after="240"/>
        <w:rPr>
          <w:rFonts w:ascii="宋体" w:hAnsi="宋体"/>
          <w:szCs w:val="30"/>
        </w:rPr>
      </w:pPr>
      <w:bookmarkStart w:id="14" w:name="_Toc228463650"/>
      <w:r>
        <w:rPr>
          <w:rFonts w:ascii="Times New Roman" w:hAnsi="Times New Roman"/>
          <w:sz w:val="30"/>
        </w:rPr>
        <w:lastRenderedPageBreak/>
        <w:t>十一、基金的业绩</w:t>
      </w:r>
      <w:bookmarkEnd w:id="14"/>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（1）交银科技创新灵活配置A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E0473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E0473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-14.23%</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1.69%</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-1.97%</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-12.26%</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1.11%</w:t>
            </w:r>
          </w:p>
        </w:tc>
      </w:tr>
      <w:tr w:rsidR="00E0473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35.11%</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1.98%</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10.89%</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24.22%</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1.42%</w:t>
            </w:r>
          </w:p>
        </w:tc>
      </w:tr>
      <w:tr w:rsidR="00E0473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9.38%</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2.06%</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12.52%</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-3.14%</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1.26%</w:t>
            </w:r>
          </w:p>
        </w:tc>
      </w:tr>
      <w:tr w:rsidR="00E0473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-10.24%</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0.90%</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-5.02%</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-5.22%</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r>
      <w:tr w:rsidR="00E0473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-16.41%</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1.38%</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-12.04%</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0.77%</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-4.37%</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0.61%</w:t>
            </w:r>
          </w:p>
        </w:tc>
      </w:tr>
      <w:tr w:rsidR="00E0473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26.54%</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1.71%</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27.30%</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1.01%</w:t>
            </w:r>
          </w:p>
        </w:tc>
      </w:tr>
      <w:tr w:rsidR="00E0473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62.14%</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1.75%</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17.63%</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44.51%</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0.90%</w:t>
            </w:r>
          </w:p>
        </w:tc>
      </w:tr>
      <w:tr w:rsidR="00E0473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50.90%</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1.59%</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23.09%</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0.74%</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27.81%</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r>
      <w:tr w:rsidR="00E0473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-4.84%</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2.01%</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-12.93%</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8.09%</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1.21%</w:t>
            </w:r>
          </w:p>
        </w:tc>
      </w:tr>
      <w:tr w:rsidR="00E0473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-10.41%</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1.07%</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12.81%</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-23.22%</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0.69%</w:t>
            </w:r>
          </w:p>
        </w:tc>
      </w:tr>
      <w:tr w:rsidR="00E0473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年度（自基金合同生效日起至至</w:t>
            </w:r>
            <w:r>
              <w:rPr>
                <w:rFonts w:ascii="Times New Roman" w:hAnsi="Times New Roman"/>
                <w:color w:val="000000"/>
                <w:kern w:val="0"/>
                <w:sz w:val="25"/>
                <w:szCs w:val="24"/>
              </w:rPr>
              <w:t>2016</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4.70%</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1.50%</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2.59%</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2.11%</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0.99%</w:t>
            </w:r>
          </w:p>
        </w:tc>
      </w:tr>
    </w:tbl>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（2）交银科技创新灵活配置C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E0473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E0473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-14.36%</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1.69%</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-1.97%</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-12.39%</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1.11%</w:t>
            </w:r>
          </w:p>
        </w:tc>
      </w:tr>
      <w:tr w:rsidR="00E0473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34.32%</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1.98%</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10.89%</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23.43%</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1.42%</w:t>
            </w:r>
          </w:p>
        </w:tc>
      </w:tr>
      <w:tr w:rsidR="00E0473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8.73%</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2.06%</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12.52%</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-3.79%</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1.26%</w:t>
            </w:r>
          </w:p>
        </w:tc>
      </w:tr>
      <w:tr w:rsidR="00E0473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-10.77%</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0.90%</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-5.02%</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-5.75%</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r>
      <w:tr w:rsidR="00E0473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年度（自基金份额类别首次确认起至</w:t>
            </w:r>
            <w:r>
              <w:rPr>
                <w:rFonts w:ascii="Times New Roman" w:hAnsi="Times New Roman"/>
                <w:color w:val="000000"/>
                <w:kern w:val="0"/>
                <w:sz w:val="25"/>
                <w:szCs w:val="24"/>
              </w:rPr>
              <w:t>2022</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-1.89%</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1.29%</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-2.77%</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0.73%</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0.88%</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r>
    </w:tbl>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注：本基金业绩比较基准为60%×沪深300指数+40%×中证综合债券指数，每日进行再平衡过程。</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E0473C" w:rsidRDefault="0037355A">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交银施罗德科技创新灵活配置混合型证券投资基金</w:t>
      </w:r>
    </w:p>
    <w:p w:rsidR="00E0473C" w:rsidRDefault="0037355A">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E0473C" w:rsidRDefault="0037355A">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（2016年5月5日至2026年03月31日）</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（1）交银科技创新灵活配置A</w:t>
      </w:r>
    </w:p>
    <w:p w:rsidR="00E0473C" w:rsidRDefault="00135B55">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（2）交银科技创新灵活配置C</w:t>
      </w:r>
    </w:p>
    <w:p w:rsidR="00E0473C" w:rsidRDefault="00135B55">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268.5pt">
            <v:imagedata r:id="rId16" o:title="1521256610242020828"/>
          </v:shape>
        </w:pic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2、本基金自2022年3月16日起，开始销售C类份额，投资者提交的申购申请于2022年3月17日被确认并将有效份额登记在册。</w:t>
      </w:r>
    </w:p>
    <w:p w:rsidR="00B439CC" w:rsidRDefault="003735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0473C" w:rsidRDefault="0037355A">
      <w:pPr>
        <w:pStyle w:val="1"/>
        <w:snapToGrid w:val="0"/>
        <w:spacing w:beforeLines="0" w:before="240" w:after="240"/>
        <w:rPr>
          <w:rFonts w:ascii="宋体" w:hAnsi="宋体"/>
          <w:szCs w:val="30"/>
        </w:rPr>
      </w:pPr>
      <w:bookmarkStart w:id="15" w:name="_Toc228463651"/>
      <w:r>
        <w:rPr>
          <w:rFonts w:ascii="Times New Roman" w:hAnsi="Times New Roman"/>
          <w:sz w:val="30"/>
        </w:rPr>
        <w:lastRenderedPageBreak/>
        <w:t>十二、基金的财产</w:t>
      </w:r>
      <w:bookmarkEnd w:id="15"/>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基金资产总值是指基金拥有的各类有价证券、股指期货合约、银行存款本息、基金应收申购款及其他资产的价值总和。</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期货账户以及投资所需的其他专用账户。开立的基金专用账户与基金管理人、基金托管人、基金销售机构和基金登记机构自有的财产账户以及其他基金财产账户相独立。</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rsidR="00B439CC" w:rsidRDefault="003735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0473C" w:rsidRDefault="0037355A">
      <w:pPr>
        <w:pStyle w:val="1"/>
        <w:snapToGrid w:val="0"/>
        <w:spacing w:beforeLines="0" w:before="240" w:after="240"/>
        <w:rPr>
          <w:rFonts w:ascii="宋体" w:hAnsi="宋体"/>
          <w:szCs w:val="30"/>
        </w:rPr>
      </w:pPr>
      <w:bookmarkStart w:id="16" w:name="_Toc228463652"/>
      <w:r>
        <w:rPr>
          <w:rFonts w:ascii="Times New Roman" w:hAnsi="Times New Roman"/>
          <w:sz w:val="30"/>
        </w:rPr>
        <w:lastRenderedPageBreak/>
        <w:t>十三、基金资产的估值</w:t>
      </w:r>
      <w:bookmarkEnd w:id="16"/>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基金所拥有的股票、债券、衍生工具和其它投资等持续以公允价值计量的金融资产及负债。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（三）估值方法</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包括股票、权证等，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（2）交易所市场上市交易或挂牌转让的固定收益品种（另有规定的除外），选取第三方估值机构提供的相应品种当日的估值净价进行估值；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（3）交易所市场上市交易的可转换债券，按估值日收盘价减去可转换债券收盘价中所含债券应收利息后得到的净价进行估值；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（4）交易所市场挂牌转让的资产支持证券和私募债券，采用估值技术确定公允价值。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2、证券交易所发行未上市期间的有价证券应区分如下情况处理：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（2）首次公开发行未上市的股票和权证，采用估值技术确定公允价值；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（3）首次公开发行有明确锁定期的股票，同一股票在交易所上市后，按交易所上市的同一股票的估值方法估值；非公开发行有明确锁定期的股票，按监管机构或行业协会有关规定确定公允价值。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（4）交易所市场发行未上市或未挂牌转让的债券，采用估值技术确定公允价</w:t>
      </w:r>
      <w:r>
        <w:rPr>
          <w:rFonts w:ascii="宋体" w:hAnsi="宋体"/>
          <w:sz w:val="24"/>
        </w:rPr>
        <w:lastRenderedPageBreak/>
        <w:t>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3、银行间市场上市交易的固定收益品种，选取第三方估值机构提供的相应品种当日的估值净价进行估值。银行间市场发行未上市的固定收益品种，采用估值技术确定公允价值。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5、如有确凿证据表明按上述方法进行估值不能客观反映其公允价值的，基金管理人可根据具体情况与基金托管人商定后，按最能反映公允价值的方法估值。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6、本基金投资存托凭证的估值核算依照境内上市交易的股票执行。</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7、相关法律法规以及监管部门有强制规定的，从其规定。如有新增事项，按法律法规以及监管部门最新规定估值。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（四）估值程序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1、各类基金份额的基金份额净值是按照每个工作日闭市后，该类基金份额的基金资产净值除以当日该类基金份额的余额数量计算，精确到0.0001元，小数点后第五位四舍五入。国家另有规定的，从其规定。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基金管理人于每个工作日计算各类基金份额的基金资产净值及基金份额净值，并按规定公告。如遇特殊情况，经中国证监会同意，可以适当延迟计算或公告。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（五）估值错误的处理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基金管理人和基金托管人将采取必要、适当、合理的措施确保基金资产估值的准确性、及时性。当基金份额净值小数点后第4位以内（含第4位) 发生估值错误时，视为基金份额净值错误。</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一方当事人提供的信息错误，另一方当事人在采取了必要合理的措施后仍不能发现该错误，进而导致基金资产净值计算错误造成投资人或基金的损失，以及由此造成以后交易日基金资产净值计算顺延错误而引起的投资人或基金的损失，由提供错误信息的当事人一方负责赔偿。</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 的直接损失按下述“估值错误处理原则”给予赔偿，承担赔偿责任。</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w:t>
      </w:r>
      <w:r>
        <w:rPr>
          <w:rFonts w:ascii="宋体" w:hAnsi="宋体"/>
          <w:sz w:val="24"/>
        </w:rPr>
        <w:lastRenderedPageBreak/>
        <w:t>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w:t>
      </w:r>
      <w:r>
        <w:rPr>
          <w:rFonts w:ascii="宋体" w:hAnsi="宋体"/>
          <w:sz w:val="24"/>
        </w:rPr>
        <w:lastRenderedPageBreak/>
        <w:t>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（六）暂停估值的情形</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3、占基金相当比例的投资品种的估值出现重大转变，而基金管理人为保障基金份额持有人的利益，决定延迟估值；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5、中国证监会和基金合同认定的其它情形。</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（七）基金净值的确认</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各类基金份额的基金资产净值和基金份额净值由基金管理人负责计算，基金托管人负责进行复核。基金管理人应于每个开放日交易结束后计算当日各类基金份额的基金资产净值和基金份额净值并发送给基金托管人。基金托管人对净值计算结果复核确认后发送给基金管理人，由基金管理人依据基金合同和相关法律法规的规定对基金净值予以公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（八）特殊情形的处理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1、基金管理人或基金托管人按估值方法的第5项进行估值时，所造成的误差不作为基金资产估值错误处理。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（九）实施侧袋机制期间的基金资产估值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3735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0473C" w:rsidRDefault="0037355A">
      <w:pPr>
        <w:pStyle w:val="1"/>
        <w:snapToGrid w:val="0"/>
        <w:spacing w:beforeLines="0" w:before="240" w:after="240"/>
        <w:rPr>
          <w:rFonts w:ascii="宋体" w:hAnsi="宋体"/>
          <w:szCs w:val="30"/>
        </w:rPr>
      </w:pPr>
      <w:bookmarkStart w:id="17" w:name="_Toc228463653"/>
      <w:r>
        <w:rPr>
          <w:rFonts w:ascii="Times New Roman" w:hAnsi="Times New Roman"/>
          <w:sz w:val="30"/>
        </w:rPr>
        <w:lastRenderedPageBreak/>
        <w:t>十四、基金收益与分配</w:t>
      </w:r>
      <w:bookmarkEnd w:id="17"/>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（一）基金利润的构成</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（二）基金可供分配利润</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（三）基金收益分配原则</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1、若《基金合同》生效不满3个月可不进行收益分配；</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3、基金收益分配后任一类基金份额净值不能低于面值，即基金收益分配基准日的任一类基金份额净值减去每单位该类基金份额收益分配金额后不能低于面值；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4、由于本基金A类基金份额不收取销售服务费，C类基金份额收取销售服务费，各基金份额类别对应的可供分配利润将有所不同；本基金同一基金份额类别的每一基金份额享有同等分配权；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（五）收益分配方案的确定、公告与实施</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基金红利发放日距离收益分配基准日（即可供分配利润计算截止日）的时间不得超过15个工作日。</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（六）基金收益分配中发生的费用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收益分配时所发生的银行转账或其他手续费用由投资者自行承担。当投资者的现金红利小于一定金额，不足以支付银行转账或其他手续费用时，登记机构可将基金份额持有人的现金红利自动转为相应类别的基金份额。红利再投资的计算方法，依照《业务规则》执行。</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（七）收益分配方式的修改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3735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0473C" w:rsidRDefault="0037355A">
      <w:pPr>
        <w:pStyle w:val="1"/>
        <w:snapToGrid w:val="0"/>
        <w:spacing w:beforeLines="0" w:before="240" w:after="240"/>
        <w:rPr>
          <w:rFonts w:ascii="宋体" w:hAnsi="宋体"/>
          <w:szCs w:val="30"/>
        </w:rPr>
      </w:pPr>
      <w:bookmarkStart w:id="18" w:name="_Toc228463654"/>
      <w:r>
        <w:rPr>
          <w:rFonts w:ascii="Times New Roman" w:hAnsi="Times New Roman"/>
          <w:sz w:val="30"/>
        </w:rPr>
        <w:lastRenderedPageBreak/>
        <w:t>十五、基金的费用与税收</w:t>
      </w:r>
      <w:bookmarkEnd w:id="18"/>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4、《基金合同》生效后与基金相关的会计师费、律师费和诉讼费；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基金管理费按基金资产净值的1.2%年费率计提。</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在通常情况下，基金管理费按前一日基金资产净值1.2%年费率计提。计算方法如下：</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H＝E×1.2%÷当年天数</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基金管理费每日计提，按月支付。由基金管理人向基金托管人发送基金管理费划付指令，经基金托管人复核后于次月首日起3个工作日内从基金资产中一次性支付给基金管理人。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基金托管费按基金资产净值的 0.2%年费率计提。</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在通常情况下，基金托管费按前一日基金资产净值的0.2%年费率计提。计算方法如下：</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H＝E×0.2%÷当年天数</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基金托管费每日计提，按月支付。由基金管理人向基金托管人发送基金托管费划付指令，经基金托管人复核后于次月首日起3个工作日内从基金资产中一次性支付给基金托管人。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本基金A类基金份额不收取销售服务费，C类基金份额的销售服务费按前一日C类基金资产净值的0.6%年费率计提。计算方法如下：</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H＝E×0.6%÷当年天数</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按月支付。由基金管理人向基金托管人发送销售服务费划款指令，经基金托管人复核后于次月首日起5个工作日内从基金财产中一次性支付给基金管理人，由基金管理人代付给销售机构。若遇法定节假日、休息日或不可抗力致使无法按时支付的，顺延至最近可支付日支付。</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C类基金份额的销售服务费将专门用于本基金的市场推广、销售与基金份额持有人服务。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（4）上述“（一）基金费用的种类”中第3－8项、第10项费用，根据有关法规及相应协议规定，按费用实际支出金额列入当期费用，由基金托管人从基金财产中支付。</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本基金赎回费的费率水平、计算公式和收取方式详见“基金份额的申购与赎回”一章。</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本基金转换费的费率水平、计算公式和收取方式详见“基金的转换”一章。</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（三）不列入基金费用的项目</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本基金实施侧袋机制的，与侧袋账户有关的费用可以从侧袋账户中列支，但应待侧袋账户资产变现后方可列支，有关费用可酌情收取或减免，但不得收取管理费，详见招募说明书“侧袋机制”部分的规定。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管理人和基金托管人可根据基金发展情况调整基金管理费率、基金托管费率、销售服务费率等相关费率。降低基金管理费率、基金托管费率、销售服务费率，无须召开基金份额持有人大会。基金管理人必须依照有关规定于新的费率实施日前在指定媒介上刊登公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（六）基金税收</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B439CC" w:rsidRDefault="003735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0473C" w:rsidRDefault="0037355A">
      <w:pPr>
        <w:pStyle w:val="1"/>
        <w:snapToGrid w:val="0"/>
        <w:spacing w:beforeLines="0" w:before="240" w:after="240"/>
        <w:rPr>
          <w:rFonts w:ascii="宋体" w:hAnsi="宋体"/>
          <w:szCs w:val="30"/>
        </w:rPr>
      </w:pPr>
      <w:bookmarkStart w:id="19" w:name="_Toc228463655"/>
      <w:r>
        <w:rPr>
          <w:rFonts w:ascii="Times New Roman" w:hAnsi="Times New Roman"/>
          <w:sz w:val="30"/>
        </w:rPr>
        <w:lastRenderedPageBreak/>
        <w:t>十六、基金的会计与审计</w:t>
      </w:r>
      <w:bookmarkEnd w:id="19"/>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1、基金管理人聘请与基金管理人、基金托管人相互独立的具有证券、期货相关业务资格的会计师事务所及其注册会计师对本基金的年度财务报表进行审计。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3、基金管理人认为有充足理由更换会计师事务所，须通报基金托管人。更换会计师事务所需依照《信息披露办法》的有关规定在指定媒介公告。</w:t>
      </w:r>
    </w:p>
    <w:p w:rsidR="00B439CC" w:rsidRDefault="003735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0473C" w:rsidRDefault="0037355A">
      <w:pPr>
        <w:pStyle w:val="1"/>
        <w:snapToGrid w:val="0"/>
        <w:spacing w:beforeLines="0" w:before="240" w:after="240"/>
        <w:rPr>
          <w:rFonts w:ascii="宋体" w:hAnsi="宋体"/>
          <w:szCs w:val="30"/>
        </w:rPr>
      </w:pPr>
      <w:bookmarkStart w:id="20" w:name="_Toc228463656"/>
      <w:r>
        <w:rPr>
          <w:rFonts w:ascii="Times New Roman" w:hAnsi="Times New Roman"/>
          <w:sz w:val="30"/>
        </w:rPr>
        <w:lastRenderedPageBreak/>
        <w:t>十七、基金的信息披露</w:t>
      </w:r>
      <w:bookmarkEnd w:id="20"/>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（一）本基金的信息披露应符合《基金法》、《运作办法》、《信息披露办法》、《流动性风险管理规定》、《基金合同》及其他有关规定。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（二）信息披露义务人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（三）本基金信息披露义务人承诺公开披露的基金信息，不得有下列行为：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（四）本基金公开披露的信息应采用中文文本。同时采用外文文本的，基金信息披露义务人应保证不同文本的内容一致。不同文本之间发生歧义的，以中文文本为准。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（五）公开披露的基金信息</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《基金合同》生效后，在开始办理基金份额申购或者赎回前，基金管理人应当至少每周在指定网站分别披露一次A类基金份额和C类基金份额所对应的基金份额净值和基金份额累计净值。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在开始办理基金份额申购或者赎回后，基金管理人应当在不晚于每个开放日的次日，通过指定网站、基金销售机构网站或者营业网点分别披露开放日A类基金份额和C类基金份额所对应的基金份额净值和基金份额累计净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基金管理人应当在不晚于半年度和年度最后一日的次日，在指定网站披露半年度和年度最后一日A类基金份额和C类基金份额所对应的基金份额净值和基金份额累计净值。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w:t>
      </w:r>
      <w:r>
        <w:rPr>
          <w:rFonts w:ascii="宋体" w:hAnsi="宋体"/>
          <w:sz w:val="24"/>
        </w:rPr>
        <w:lastRenderedPageBreak/>
        <w:t>重大影响的下列事件：</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（19）本基金连续发生巨额赎回并暂停接受赎回申请或延缓支付赎回款项；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（22）本基金增加或调整基金份额类别；</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（23）基金信息披露义务人认为可能对基金份额持有人权益或者基金份额的价格产生重大影响的其他事项或中国证监会规定的其他事项。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w:t>
      </w:r>
      <w:r>
        <w:rPr>
          <w:rFonts w:ascii="宋体" w:hAnsi="宋体"/>
          <w:sz w:val="24"/>
        </w:rPr>
        <w:lastRenderedPageBreak/>
        <w:t>比例大小排序的前10名资产支持证券明细。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13、实施侧袋机制期间的信息披露</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本基金实施侧袋机制的，相关信息披露义务人应当根据法律法规、基金合同和招募说明书的规定进行信息披露，详见招募说明书“侧袋机制”部分的规定。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14、中国证监会规定的其他信息。</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（六）信息披露事务管理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基金信息披露义务人公开披露基金信息，应当符合中国证监会相关基金信息披露内容与格式准则等法律法规规定。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（七）信息披露文件的存放与查阅</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（八）本基金信息披露事项以法律法规规定及本章节约定的内容为准。</w:t>
      </w:r>
    </w:p>
    <w:p w:rsidR="00B439CC" w:rsidRDefault="003735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0473C" w:rsidRDefault="0037355A">
      <w:pPr>
        <w:pStyle w:val="1"/>
        <w:snapToGrid w:val="0"/>
        <w:spacing w:beforeLines="0" w:before="240" w:after="240"/>
        <w:rPr>
          <w:rFonts w:ascii="宋体" w:hAnsi="宋体"/>
          <w:szCs w:val="30"/>
        </w:rPr>
      </w:pPr>
      <w:bookmarkStart w:id="21" w:name="_Toc228463657"/>
      <w:r>
        <w:rPr>
          <w:rFonts w:ascii="Times New Roman" w:hAnsi="Times New Roman"/>
          <w:sz w:val="30"/>
        </w:rPr>
        <w:lastRenderedPageBreak/>
        <w:t>十八、侧袋机制</w:t>
      </w:r>
      <w:bookmarkEnd w:id="21"/>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37355A"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E0473C" w:rsidRDefault="0037355A">
      <w:pPr>
        <w:pStyle w:val="1"/>
        <w:snapToGrid w:val="0"/>
        <w:spacing w:beforeLines="0" w:before="240" w:after="240"/>
        <w:rPr>
          <w:rFonts w:ascii="宋体" w:hAnsi="宋体"/>
          <w:szCs w:val="30"/>
        </w:rPr>
      </w:pPr>
      <w:bookmarkStart w:id="22" w:name="_Toc228463658"/>
      <w:r>
        <w:rPr>
          <w:rFonts w:ascii="Times New Roman" w:hAnsi="Times New Roman"/>
          <w:sz w:val="30"/>
        </w:rPr>
        <w:lastRenderedPageBreak/>
        <w:t>十九、风险揭示</w:t>
      </w:r>
      <w:bookmarkEnd w:id="22"/>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基金总份额的百分之十时，投资人将可能无法及时赎回持有的全部基金份额。</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w:t>
      </w:r>
      <w:r>
        <w:rPr>
          <w:rFonts w:ascii="宋体" w:hAnsi="宋体"/>
          <w:sz w:val="24"/>
        </w:rPr>
        <w:lastRenderedPageBreak/>
        <w:t>担。</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（一）市场风险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（二）管理风险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（三）流动性风险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w:t>
      </w:r>
      <w:r>
        <w:rPr>
          <w:rFonts w:ascii="宋体" w:hAnsi="宋体"/>
          <w:sz w:val="24"/>
        </w:rPr>
        <w:lastRenderedPageBreak/>
        <w:t>资产变现能力差，可能会产生基金仓位调整的困难，导致流动性风险，可能影响基金份额净值。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w:t>
      </w:r>
      <w:r>
        <w:rPr>
          <w:rFonts w:ascii="宋体" w:hAnsi="宋体"/>
          <w:sz w:val="24"/>
        </w:rPr>
        <w:lastRenderedPageBreak/>
        <w:t>赎回处理。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基金管理人将根据主袋账户运作情况合理确定申购政策, 因此实施侧袋机制后主袋账户份额存在暂停申购的可能。</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（四）信用风险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基金在交易过程发生交收违约，或者基金所投资债券之发行人出现违约、拒绝支付到期本息，都可能导致基金资产损失和收益变化，从而产生风险。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（五）本基金投资策略所特有的风险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本基金可投资创业板股票，创业板个股上市后的前五个交易日不设价格涨跌幅限制，第六个交易日开始涨跌幅限制比例为20%。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（六）投资股指期货的特定风险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w:t>
      </w:r>
      <w:r>
        <w:rPr>
          <w:rFonts w:ascii="宋体" w:hAnsi="宋体"/>
          <w:sz w:val="24"/>
        </w:rPr>
        <w:lastRenderedPageBreak/>
        <w:t>者系统出现故障等原因造成损失的风险。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（七）投资资产支持证券的特定风险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支持证券具有一定的价格波动风险、流动性风险、信用风险等风险，本公司将本着谨慎和控制风险的原则进行资产支持证券投资，请基金份额持有人关注包括投资资产支持证券可能导致的基金净值波动在内的各项风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（八）投资科创板股票的特定风险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（4）系统性风险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（九）投资存托凭证的特定风险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（十）本基金法律文件风险收益特征表述与销售机构基金风险评价可能不一致的风险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（十一）其他风险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2、因基金业务快速发展，在制度建设、人员配备、内控制度建立等方面的不完善产生的风险；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3735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0473C" w:rsidRDefault="0037355A">
      <w:pPr>
        <w:pStyle w:val="1"/>
        <w:snapToGrid w:val="0"/>
        <w:spacing w:beforeLines="0" w:before="240" w:after="240"/>
        <w:rPr>
          <w:rFonts w:ascii="宋体" w:hAnsi="宋体"/>
          <w:szCs w:val="30"/>
        </w:rPr>
      </w:pPr>
      <w:bookmarkStart w:id="23" w:name="_Toc228463659"/>
      <w:r>
        <w:rPr>
          <w:rFonts w:ascii="Times New Roman" w:hAnsi="Times New Roman"/>
          <w:sz w:val="30"/>
        </w:rPr>
        <w:lastRenderedPageBreak/>
        <w:t>二十、基金合同的变更、终止与基金财产的清算</w:t>
      </w:r>
      <w:bookmarkEnd w:id="23"/>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（5）聘请会计师事务所对清算报告进行外部审计，聘请律师事务所对清算报告出具法律意见书；</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3735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0473C" w:rsidRDefault="0037355A">
      <w:pPr>
        <w:pStyle w:val="1"/>
        <w:snapToGrid w:val="0"/>
        <w:spacing w:beforeLines="0" w:before="240" w:after="240"/>
        <w:rPr>
          <w:rFonts w:ascii="宋体" w:hAnsi="宋体"/>
          <w:szCs w:val="30"/>
        </w:rPr>
      </w:pPr>
      <w:bookmarkStart w:id="24" w:name="_Toc228463660"/>
      <w:r>
        <w:rPr>
          <w:rFonts w:ascii="Times New Roman" w:hAnsi="Times New Roman"/>
          <w:sz w:val="30"/>
        </w:rPr>
        <w:lastRenderedPageBreak/>
        <w:t>二十一、基金合同内容摘要</w:t>
      </w:r>
      <w:bookmarkEnd w:id="24"/>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（一）基金份额持有人、基金管理人和基金托管人的权利与义务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（16）在符合有关法律、法规的前提下，制定和调整有关基金认购、申购、赎回、转换等的业务规则；</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（1）依法募集资金，办理或者委托经中国证监会认定的其他机构代为办理基金份额的发售、申购、赎回和登记事宜；</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（14）按规定受理申购与赎回申请，及时、足额支付赎回款项；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根据《基金法》、《运作办法》及其他有关规定，基金托管人的权利包括但不限于：</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（1）自《基金合同》生效之日起，依法律法规和《基金合同》的规定安全保管基金财产；</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（4）根据相关市场规则，为基金开设资金账户、证券账户等投资所需账户、协助开立股指期货业务相关账户及交易编码、为基金办理证券、期货交易资金清算；</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（6）按规定开设基金财产的资金账户和证券账户等投资所需账户，协助开立股指期货业务相关账户及交易编码，按照《基金合同》的约定，根据基金管理人的投资指令，及时办理清算、交割事宜；</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（8）复核、审查基金管理人计算的基金资产净值、各类基金份额净值、基金份额申购、赎回价格；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w:t>
      </w:r>
      <w:r>
        <w:rPr>
          <w:rFonts w:ascii="宋体" w:hAnsi="宋体"/>
          <w:sz w:val="24"/>
        </w:rPr>
        <w:lastRenderedPageBreak/>
        <w:t>为《基金合同》当事人并不以在《基金合同》上书面签章或签字为必要条件。</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同一类别的每份基金份额具有同等的合法权益。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（3）依法并按照基金合同和招募说明书的规定申请赎回或转让其持有的基金份额；</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（4）缴纳基金认购、申购款项及法律法规和《基金合同》所规定的费用；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（10）提供基金管理人和监管机构依法要求提供的信息，以及不时的更新和补充，并保证其真实性；</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（二）基金份额持有人大会召集、议事及表决的程序和规则</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5）提高基金管理人、基金托管人的报酬标准或提高销售服务费率；</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不违反法律法规、《基金合同》及中国证监会规定的前提下，且在对现有基金份额持有人利益无实质性不利影响的前提下，以下情况可由基金管理人和基金托管人协商后修改，不需召开基金份额持有人大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1）调低基金管理费、基金托管费和其他应由本基金或基金份额持有人承担的费用；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3）在法律法规和《基金合同》规定的范围内，且在对现有基金份额持有人利益无实质性不利影响的前提下调整本基金的申购费率、调低赎回费率及销售服务费率、变更或增加收费方式；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4）因相应的法律法规、登记机构的相关业务规则发生变动而应当对《基金合同》进行修改；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9）按照法律法规和《基金合同》规定不需召开基金份额持有人大会的以外的其他情形。</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60日内召开；基金管理人决定不召集，基金托管人仍认为有必要召开的，应当由基金托管人自行召集，并自出具书面决定之日起60日内召开并告知基金管理人，基金管理人应当配合；</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w:t>
      </w:r>
      <w:r>
        <w:rPr>
          <w:rFonts w:ascii="宋体" w:hAnsi="宋体"/>
          <w:sz w:val="24"/>
        </w:rPr>
        <w:lastRenderedPageBreak/>
        <w:t>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w:t>
      </w:r>
      <w:r>
        <w:rPr>
          <w:rFonts w:ascii="宋体" w:hAnsi="宋体"/>
          <w:sz w:val="24"/>
        </w:rPr>
        <w:lastRenderedPageBreak/>
        <w:t>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（2）通讯开会。通讯开会系指基金份额持有人将其对表决事项的投票以书面形式在表决截至日以前送达至召集人指定的地址。通讯开会应以书面方式进行表决。</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2）召集人按基金合同约定通知基金托管人（如果基金托管人为召集人，则为基金管理人）到指定地点对书面表决意见的计票进行监督。会议召集人在基金托管</w:t>
      </w:r>
      <w:r>
        <w:rPr>
          <w:rFonts w:ascii="宋体" w:hAnsi="宋体"/>
          <w:sz w:val="24"/>
        </w:rPr>
        <w:lastRenderedPageBreak/>
        <w:t>人（如果基金托管人为召集人，则为基金管理人）和公证机关的监督下按照会议通知规定的方式收取基金份额持有人的书面表决意见；基金托管人或基金管理人经通知不参加收取书面表决意见的，不影响表决效力；</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书面意见或授权他人代表出具书面意见的，基金份额持有人所持有的基金份额不小于在权益登记日基金总份额的二分之一（含二分之一）；若本人直接出具书面意见或授权他人代表出具书面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书面意见或授权他人代表出具书面意见；</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1）现场开会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w:t>
      </w:r>
      <w:r>
        <w:rPr>
          <w:rFonts w:ascii="宋体" w:hAnsi="宋体"/>
          <w:sz w:val="24"/>
        </w:rPr>
        <w:lastRenderedPageBreak/>
        <w:t>表决，但应当计入出具表决意见的基金份额持有人所代表的基金份额总数。</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基金份额持有人大会的决定的事项自表决通过之日起生效，召集人应当自通过之日起5日内报中国证监会备案。</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基金管理人、基金托管人和基金份额持有人应当执行生效的基金份额持有人大会的决议。生效的基金份额持有人大会决议对全体基金份额持有人、基金管理人、基金托管人均有约束力。</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10、本部分对基金份额持有人大会召开事由、召开条件、议事程序、表决条件等规定，凡是直接引用法律法规的部分，如将来法律法规修改导致相关内容被取消</w:t>
      </w:r>
      <w:r>
        <w:rPr>
          <w:rFonts w:ascii="宋体" w:hAnsi="宋体"/>
          <w:sz w:val="24"/>
        </w:rPr>
        <w:lastRenderedPageBreak/>
        <w:t>或变更的，基金管理人提前公告后，可直接对本部分内容进行修改和调整，无需召开基金份额持有人大会审议。</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（三）基金合同解除和终止的事由、程序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4）制作清算报告；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（四）争议解决方式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用由败诉方承担。</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（五）基金合同存放及投资者取得基金合同的方式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《基金合同》可印制成册，供投资者在基金管理人、基金托管人、销售机构的办公场所和营业场所查阅，但应以《基金合同》正本为准。</w:t>
      </w:r>
    </w:p>
    <w:p w:rsidR="00B439CC" w:rsidRDefault="003735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0473C" w:rsidRDefault="0037355A">
      <w:pPr>
        <w:pStyle w:val="1"/>
        <w:snapToGrid w:val="0"/>
        <w:spacing w:beforeLines="0" w:before="240" w:after="240"/>
        <w:rPr>
          <w:rFonts w:ascii="宋体" w:hAnsi="宋体"/>
          <w:szCs w:val="30"/>
        </w:rPr>
      </w:pPr>
      <w:bookmarkStart w:id="25" w:name="_Toc228463661"/>
      <w:r>
        <w:rPr>
          <w:rFonts w:ascii="Times New Roman" w:hAnsi="Times New Roman"/>
          <w:sz w:val="30"/>
        </w:rPr>
        <w:lastRenderedPageBreak/>
        <w:t>二十二、托管协议的内容摘要</w:t>
      </w:r>
      <w:bookmarkEnd w:id="25"/>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批准设立机关及批准设立文号：证监基金字[2005]128号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 2亿元人民币</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 有限责任公司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 （021）61055034</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联系人：郭佳敏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名称：中国工商银行股份有限公司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住所：北京市西城区复兴门内大街55号（100032）</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法定代表人：廖林</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电话：（010）66105799</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传真：（010）66105798</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联系人：洪渊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成立时间：1984年1月1日</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注册资本：人民币35,640,625.71万元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批准设立机关和设立文号：国务院《关于中国人民银行专门行使中央银行职能的决定》（国发[1983]146号）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经营范围：办理人民币存款、贷款、同业拆借业务；国内外结算；办理票据承</w:t>
      </w:r>
      <w:r>
        <w:rPr>
          <w:rFonts w:ascii="宋体" w:hAnsi="宋体"/>
          <w:sz w:val="24"/>
        </w:rPr>
        <w:lastRenderedPageBreak/>
        <w:t>兑、贴现、转贴现、各类汇兑业务；代理资金清算；提供信用证服务及担保；代理销售业务；代理发行、代理承销、代理兑付政府债券；代收代付业务；代理证券投资基金清算业务（银证转账）；保险代理业务；代理政策性银行、外国政府和国际金融机构贷款业务；保管箱服务；发行金融债券；买卖政府债券、金融债券；证券投资基金、企业年金托管业务；企业年金受托管理服务；年金账户管理服务；开放式基金的注册登记、认购、申购和赎回业务；资信调查、咨询、见证业务；贷款承诺；企业、个人财务顾问服务；组织或参加银团贷款；外汇存款；外汇贷款；外币兑换；出口托收及进口代收；外汇票据承兑和贴现；外汇借款；外汇担保；发行、代理发行、买卖或代理买卖股票以外的外币有价证券；自营、代客外汇买卖；外汇金融衍生业务；银行卡业务；电话银行、网上银行、手机银行业务；办理结汇、售汇业务；经国务院银行业监督管理机构批准的其他业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1、基金托管人对基金管理人的投资行为行使监督权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（1）基金托管人根据有关法律法规的规定和《基金合同》的约定，对下述基金投资范围、投资对象进行监督。</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本基金将投资于以下金融工具：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中期票据、货币市场工具、权证、资产支持证券、股指期货以及法律法规或中国证监会允许基金投资的其他金融工具（但须符合中国证监会相关规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如法律法规或监管机构以后允许基金投资其他品种，基金管理人在履行适当程序后，可以将其纳入投资范围。本基金不得投资于相关法律、法规、部门规章及《基金合同》禁止投资的投资工具。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（2）基金托管人根据有关法律法规的规定及《基金合同》的约定对下述基金投融资比例进行监督：</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按法律法规的规定及《基金合同》的约定，本基金的投资资产配置比例为：股票资产（含存托凭证）占基金资产的0%-95%；本基金投资受益于科技创新相关上市公司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w:t>
      </w:r>
      <w:r>
        <w:rPr>
          <w:rFonts w:ascii="宋体" w:hAnsi="宋体"/>
          <w:sz w:val="24"/>
        </w:rPr>
        <w:lastRenderedPageBreak/>
        <w:t>金和应收申购款等。如果法律法规或中国证监会变更投资品种的投资比例限制，基金管理人在履行适当程序后，可以调整上述投资品种的投资比例。</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将拟投资的科技创新相关的证券库提供给基金托管人，基金管理人可以根据实际情况的变化，对上述证券库予以调整和更新，并通知基金托管人，基金托管人根据上述范围对基金的投资比例进行监督。</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如法律法规或监管机构以后允许本基金投资其他品种，基金管理人在履行适当程序后，可以将其纳入投资范围，并可依据届时有效的法律法规适时合理地调整投资范围。</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2）根据法律法规的规定及《基金合同》的约定，本基金投资组合遵循以下投资限制：</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a、股票资产（含存托凭证）占基金资产的0%-95%；本基金投资受益于科技创新相关上市公司证券的比例不低于非现金基金资产的80%；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b、每个交易日日终在扣除股指期货合约需缴纳的交易保证金后，保持不低于基金资产净值5％的现金或者到期日在一年以内的政府债券，其中现金不包括结算备付金、存出保证金和应收申购款等；</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c、本基金持有一家公司发行的证券，其市值不超过基金资产净值的10%；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d、本基金管理人管理并由本托管人托管的全部基金持有一家公司发行的证券，不超过该证券的10%；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e、本基金持有的全部权证，其市值不得超过基金资产净值的3%；</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f、本基金管理人管理并由本托管人托管的全部基金持有的同一权证，不得超过该权证的10%；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g、本基金在任何交易日买入权证的总金额，不得超过上一交易日基金资产净值的0.5%；</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h、本基金投资于同一原始权益人的各类资产支持证券的比例，不得超过基金资产净值的10%；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i、本基金持有的全部资产支持证券，其市值不得超过基金资产净值的20%；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j、本基金持有的同一(指同一信用级别)资产支持证券的比例，不得超过该资产支持证券规模的10%；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k、本基金管理人管理并由本托管人托管的全部基金投资于同一原始权益人的各类资产支持证券，不得超过其各类资产支持证券合计规模的10%；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l、本基金应投资于信用级别评级为BBB以上(含BBB)的资产支持证券。基金持有资产支持证券期间，如果其信用等级下降、不再符合投资标准，应在评级报告发布之日起3个月内予以全部卖出；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m、基金财产参与股票发行申购，本基金所申报的金额不超过本基金的总资产，本基金所申报的股票数量不超过拟发行股票公司本次发行股票的总量；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n、本基金进入全国银行间同业市场进行债券回购的资金余额不得超过基金资产净值的40%，本基金在全国银行间同业市场中的债券回购最长期限为1年，债券回购到期后不得展期；</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o、本基金若投资股指期货，则：</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本基金在任何交易日日终，持有的买入股指期货合约价值，不得超过基金资产净值的10%；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本基金在任何交易日日终，持有的卖出期货合约价值不得超过基金持有的股票总市值的20%；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本基金所持有的股票市值和买入、卖出股指期货合约价值，合计（轧差计算）应当符合基金合同关于股票投资比例的有关约定；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本基金在任何交易日内交易（不包括平仓）的股指期货合约的成交金额不得超过上一交易日基金资产净值的20%；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本基金每个交易日日终在扣除股指期货合约需缴纳的交易保证金后，应当保持不低于基金资产净值5%的现金或到期日在一年以内的政府债券，其中现金不包括结算备付金、存出保证金和应收申购款等。</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p、本基金的基金资产总值不得超过基金资产净值的140%；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q、本基金持有的所有流通受限证券，其公允价值不得超过基金资产净值的15%；本基金持有的同一流通受限证券，其公允价值不得超过基金资产净值的10%；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r、本基金管理人管理并由本托管人托管的全部开放式基金（包括开放式基金以及处于开放期的定期开放基金）持有一家上市公司发行的可流通股票，不得超过该上市公司可流通股票的15%；本基金管理人管理并由本托管人托管的全部投资组</w:t>
      </w:r>
      <w:r>
        <w:rPr>
          <w:rFonts w:ascii="宋体" w:hAnsi="宋体"/>
          <w:sz w:val="24"/>
        </w:rPr>
        <w:lastRenderedPageBreak/>
        <w:t>合持有一家上市公司发行的可流通股票，不得超过该上市公司可流通股票的30%；</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s、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t、本基金与私募类证券资管产品及中国证监会认定的其他主体为交易对手开展逆回购交易的，可接受质押品的资质要求应当与基金合同约定的投资范围保持一致；</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u、本基金投资存托凭证的比例限制依照境内上市交易的股票执行。</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法律法规对上述投资组合比例限制进行变更的，以变更后的规定为准。《基金法》及其他有关法律法规或监管部门取消上述限制的，如适用于本基金，基金管理人在履行适当程序后，基金不受上述限制。</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3）法规允许的基金投资比例调整期限</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b、l、o项第vi目、s、t项以外，由于证券、期货市场波动、证券发行人合并或基金规模变动等基金管理人之外的原因导致的投资组合不符合上述约定的比例，不在限制之内，但基金管理人应在10个交易日内进行调整，以达到规定的投资比例限制要求，但中国证监会规定的特殊情形除外。法律法规另有规定的从其规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应当符合基金合同的约定。基金管理人应在出现可预见资产规模大幅变动的情况下，至少提前2个工作日正式向基金托管人发函说明基金可能变动规模和公司应对措施，便于托管人实施交易监督。</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4）本基金可以按照国家的有关规定进行融资。</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基金托管人对基金投资的监督和检查自《基金合同》生效之日起开始。</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（3）基金托管人根据有关法律法规的规定及《基金合同》的约定对下述基金投资禁止行为进行监督：</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根据法律法规的规定及《基金合同》的约定，本基金禁止从事下列行为：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2）违反规定向他人贷款或提供担保；</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3）从事承担无限责任的投资；</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4）买卖其他基金份额，但中国证监会另有规定的除外；</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（4）基金托管人依据有关法律法规的规定和《基金合同》的约定对基金管理人参与银行间债券市场进行监督。</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1）基金托管人按以下方式对基金管理人参与银行间市场交易的交易对手资信风险控制措施进行监督。</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向基金托管人提供符合法律法规及行业标准的银行间市场交易对手的名单，并按照审慎的风险控制原则在该名单中约定各交易对手所适用的交易结算方式。基金托管人在收到名单后2个工作日内回函确认收到该名单。基金管理人应定期或不定期对银行间市场现券及回购交易对手的名单进行更新，名单中增加或减少银行间市场交易对手时须提前书面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协议进行结算。</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托管人发现基金管理人与不在名单内的银行间市场交易对手进行交易，应及时提醒基金管理人撤销交易，经提醒后基金管理人仍执行交易并造成基金资产损失的，基金托管人不承担责任，发生此种情形时，托管人有权报告中国证监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2）基金托管人对于基金管理人参与银行间市场交易的交易方式的控制</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银行间市场进行现券买卖和回购交易时，需按交易对手名单中约定的该交易对手所适用的交易结算方式进行交易。如果基金托管人发现基金管理人没有按照事先约定的交易方式进行交易时，基金托管人应及时提醒基金管理人与交易对手重新确定交易方式，经提醒后仍未改正时造成基金财产损失的，基金托管人不承担责任。</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参与银行间市场交易的核心交易对手为中国工商银行、中国银行、中国建设银行、中国农业银行和交通银行，基金管理人在通知基金托管人后，可以根据当时的市场情况调整核心交易对手名单。基金管理人有责任建立完善的内</w:t>
      </w:r>
      <w:r>
        <w:rPr>
          <w:rFonts w:ascii="宋体" w:hAnsi="宋体"/>
          <w:sz w:val="24"/>
        </w:rPr>
        <w:lastRenderedPageBreak/>
        <w:t>部流程防范交易对手的资信风险，在与核心交易对手以外的交易对手进行交易时，由于交易对手资信风险引起的损失不由托管人承担。基金托管人的监督责任仅限于根据已提供的名单，审核交易对手是否在名单内列明。</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（5）基金托管人对基金管理人选择存款银行进行监督。</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的信用风险主要包括存款银行的信用等级、存款银行的支付能力等涉及到存款银行选择方面的风险。本基金核心存款银行名单为中国工商银行、中国银行、中国建设银行、中国农业银行和交通银行，本基金投资除核心存款银行以外的银行存款出现由于存款银行信用风险而造成的损失时，该损失不由托管人承担。基金管理人在通知基金托管人后，可以根据当时的市场情况对于核心存款银行名单进行调整。基金托管人的监督责任仅限于根据已提供的名单，审核核心存款银行是否在名单内列明。</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（6）基金托管人对基金投资流通受限证券的监督</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1）基金投资流通受限证券，应遵守《关于基金投资非公开发行股票等流通受限证券有关问题的通知》等有关法律法规规定。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资比例控制情况。</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投资流通受限证券前，基金管理人应向基金托管人提供符合法律法规要求的有关书面信息，包括但不限于拟发行证券主体的中国证监会批准文件、发行证券数量、发行价格、锁定期，基金拟认购的数量、价格、总成本、总成本占基金资产净值的比例、已持有流通受限证券市值占基金资产净值的比例、资金划付时间</w:t>
      </w:r>
      <w:r>
        <w:rPr>
          <w:rFonts w:ascii="宋体" w:hAnsi="宋体"/>
          <w:sz w:val="24"/>
        </w:rPr>
        <w:lastRenderedPageBreak/>
        <w:t>等。基金管理人应保证上述信息的真实、完整，并应至少于拟执行投资指令前两个工作日将上述信息书面发至基金托管人，保证基金托管人有足够的时间进行审核。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应按照《关于基金投资非公开发行股票等流通受限证券有关问题的通知》等有关法律法规规定，对基金管理人是否遵守法律法规进行监督，并审核基金管理人提供的有关书面信息。基金托管人认为上述资料可能导致基金出现风险的，有权要求基金管理人在投资流通受限证券前就该风险的消除或防范措施进行补充书面说明，并保留查看基金管理人风险管理部门就基金投资流通受限证券出具的风险评估报告等备查资料的权利。否则，基金托管人有权拒绝执行有关指令。因拒绝执行该指令造成基金财产损失的，基金托管人不承担任何责任，并有权报告中国证监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和基金托管人无法达成一致，应及时上报中国证监会请求解决。如果基金托管人切实履行监督职责，则不承担任何责任。如果基金托管人没有切实履行监督职责，导致基金出现风险，基金托管人应承担连带责任。</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发现基金管理人的投资运作及其他运作违反《基金法》、《基金合同》、基金托管协议及其他有关规定时，应及时以书面形式通知基金管理人限期纠正，基金管理人收到通知后应在下一个工作日及时核对，并以书面形式向基金托管人发出回函，进行解释或举证。</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限期内，基金托管人有权随时对通知事项进行复查，督促基金管理人改正。基金管理人对基金托管人通知的违规事项未能在限期内纠正的，基金托管人应报告中国证监会。基金托管人有义务要求基金管理人赔偿因其违反《基金合同》而致使投资者遭受的损失。</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依据交易程序尚未成交的且基金托管人在交易前能够监控的投资指令，基金托管人发现该投资指令违反关法律法规规定或者违反《基金合同》约定的，应当拒绝执行，立即通知基金管理人，并向中国证监会报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对于必须于估值完成后方可获知的监控指标或依据交易程序已经成交的投资指令，基金托管人发现该投资指令违反法律法规或者违反《基金合同》约定的，应当</w:t>
      </w:r>
      <w:r>
        <w:rPr>
          <w:rFonts w:ascii="宋体" w:hAnsi="宋体"/>
          <w:sz w:val="24"/>
        </w:rPr>
        <w:lastRenderedPageBreak/>
        <w:t>立即通知基金管理人，并报告中国证监会。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积极配合和协助基金托管人的监督和核查，必须在规定时间内答复基金托管人并改正，就基金托管人的疑义进行解释或举证，对基金托管人按照法律法规要求需向中国证监会报送基金监督报告的，基金管理人应积极配合提供相关数据资料和制度等。</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基金托管人发现基金管理人有重大违规行为，应立即报告中国证监会，同时通知基金管理人限期纠正。</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无正当理由，拒绝、阻挠基金托管人根据本协议规定行使监督权，或采取拖延、欺诈等手段妨碍基金托管人进行有效监督，情节严重或经基金托管人提出警告仍不改正的，基金托管人应报告中国证监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基金托管人履行托管职责情况进行核查，核查事项包括但不限于基金托管人安全保管基金财产、开设基金财产的资金账户、证券账户、协助开立股指期货业务相关账户及交易编码、复核基金管理人计算的基金资产净值和各类基金份额净值、根据基金管理人指令办理清算交收、相关信息披露和监督基金投资运作等行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擅自挪用基金财产、未对基金财产实行分账管理、无故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的，基金管理人应报告中国证监会。基金管理人有义务要求基金托管人赔偿基金因此所遭受的损失。</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基金管理人发现基金托管人有重大违规行为，应立即报告中国证监会和银行业监督管理机构，同时通知基金托管人限期纠正。</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基金托管人应积极配合基金管理人的核查行为，包括但不限于：提交相关资料以供基金管理人核查托管财产的完整性和真实性，在规定时间内答复基金管理人并改正。</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基金托管人无正当理由，拒绝、阻挠基金管理人根据本协议规定行使监督权，</w:t>
      </w:r>
      <w:r>
        <w:rPr>
          <w:rFonts w:ascii="宋体" w:hAnsi="宋体"/>
          <w:sz w:val="24"/>
        </w:rPr>
        <w:lastRenderedPageBreak/>
        <w:t>或采取拖延、欺诈等手段妨碍基金管理人进行有效监督，情节严重或经基金管理人提出警告仍不改正的，基金管理人应报告中国证监会。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（四）基金财产保管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（2）基金托管人应安全保管基金财产。未经基金管理人的正当指令，不得自行运用、处分、分配基金的任何财产。</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（3）基金托管人按照规定开设基金财产的资金账户、证券账户，协助开立股指期货业务相关账户及交易编码。</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于因基金认（申）购、基金投资过程中产生的应收财产，应由基金管理人负责与有关当事人确定到账日期并通知基金托管人，到账日基金财产没有到达基金托管人处的，基金托管人应及时通知基金管理人采取措施进行催收。由此给基金造成损失的，基金管理人应负责向有关当事人追偿基金的损失，基金托管人对此不承担责任。</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（6）除依据法律法规和基金合同的规定外，基金托管人不得委托第三人托管基金财产。</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2、募集资金的验证</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募集期内销售机构按基金销售服务协议的约定，将认购资金划入基金管理人在具有托管资格的商业银行开设的交银施罗德基金管理有限公司基金认购专户。该账户由基金管理人开立并管理。基金募集期满，募集的基金份额总额、基金募集金额、基金份额持有人人数符合《基金法》、《运作办法》等有关规定后，由基金管理人聘请具有从事证券业务资格的会计师事务所进行验资，出具验资报告，出具的验资报告应由参加验资的2名以上（含2名）中国注册会计师签字有效。验资完成，基金管理人应将募集的属于本基金财产的全部资金划入基金托管人为基金开立的资产托管专户中，基金托管人在收到资金当日出具确认文件。</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若基金募集期限届满，未能达到《基金合同》生效的条件，由基金管理人按规定办理退款事宜。</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3、基金的银行账户的开立和管理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基金托管人以基金托管人的名义在其营业机构开设资产托管专户，保管基金的银行存款。该账户的开设和管理由基金托管人承担。本基金的一切货币收支活动，均需通过基金托管人的资产托管专户进行。</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资产托管专户的开立和使用，限于满足开展本基金业务的需要。基金托管人和基金管理人不得假借本基金的名义开立其他任何银行账户；亦不得使用基金的任何银行账户进行本基金业务以外的活动。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资产托管专户的管理应符合《人民币银行结算账户管理办法》、《现金管理暂行条例》、《人民币利率管理规定》、《利率管理暂行规定》、《支付结算办法》以及银行业监督管理机构的其他规定。</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4、基金证券账户与证券交易资金账户的开设和管理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基金托管人以基金托管人和本基金联名的方式在中国证券登记结算有限责任公司上海分公司/深圳分公司开设证券账户。</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基金托管人以基金托管人的名义在中国证券登记结算有限责任公司上海分公司/深圳分公司开立基金证券交易资金账户，用于证券清算。</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基金证券账户的开立和使用，限于满足开展本基金业务的需要。基金托管人和基金管理人不得出借和未经对方同意擅自转让基金的任何证券账户；亦不得使用基金的任何账户进行本基金业务以外的活动。</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5、债券托管账户的开立和管理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基金管理人负责以基金的名义申请并取得进入全国银行间同业拆借市场的交易资格，并代表基金进行交易；基金托管人负责以基金的名义在中央国债登记结算有限责任公司开设银行间债券市场债券托管自营账户，并由基金托管人负责基金的债券的后台匹配及资金的清算。</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2）基金管理人和基金托管人应一起负责为基金对外签订全国银行间债券市场回购主协议，正本由基金托管人保管，基金管理人保存副本。</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6、其他账户的开设和管理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托管协议订立日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7、基金财产投资的有关实物证券、银行定期存款存单等有价凭证的保管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财产投资的有关实物证券由基金托管人存放于基金托管人的保管库；其中实物证券也可存入中央国债登记结算有限责任公司或中国证券登记结算有限责任公司上海分公司/深圳分公司或票据营业中心的代保管库。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或保管的证券不承担保管责任。</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应由基金托管人、基金管理人保管。除本协议另有规定外，基金管理人在代表基金签署与基金有关的重大合同时应保证基金一方持有两份以上的正本，以便基金管理人和基金托管人至少各持有一份正本的原件。基金管理人在合同签署后5个工作日内通过专人送达、挂号邮寄等安全方式将合同原件送达基金托管人处。合同原件应存放于基金管理人和基金托管人各自文件保管部门15年以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（五）基金资产净值计算和会计复核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（1）基金资产净值的计算、复核的时间和程序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负债后的价值。各类基金份额的基金份额净值是指计算日该类基金份额的基金资产净值除以该计算日该类基金份额总份额后的数值。各类基金份额的基金份额净值的计算均保留到小数点后4位，小数点后第5位四舍五入，由此产生的误差计入基金财产。</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每工作日对基金资产估值。估值原则应符合《基金合同》、《证券投资基金会计核算业务指引》及其他法律、法规的规定。用于基金信息披露的各类基金份额的基金资产净值和基金份额净值由基金管理人负责计算，基金托管人复核。基金管理人应于每个工作日交易结束后计算当日各类基金份额的基金份额资产净值和基金份额净值并以双方认可的方式发送给基金托管人。基金托管人对净值计算结果复核后以双方认可的方式发送给基金管理人，由基金管理人对基金净值予以公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基金管理人计算并公告各类基金份额的基金资产净值和基金份额净值，基金托管人复核、审查基金管理人计算的各类基金份额的基金资产净值和基金份额净值。因此，本基金的会计责任方是基金管理人，就与本基金有关的会</w:t>
      </w:r>
      <w:r>
        <w:rPr>
          <w:rFonts w:ascii="宋体" w:hAnsi="宋体"/>
          <w:sz w:val="24"/>
        </w:rPr>
        <w:lastRenderedPageBreak/>
        <w:t>计问题，如经相关各方在平等基础上充分讨论后，仍无法达成一致的意见，按照基金管理人对各类基金份额的基金资产净值和基金份额净值的计算结果对外予以公布。法律法规以及监管部门有强制规定的，从其规定。如有新增事项，按国家最新规定估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基金所拥有的股票、债券、衍生工具和其它投资等持续以公允价值计量的金融资产及负债。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（2）估值方法</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交易所上市的有价证券（包括股票、权证等，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b、交易所市场上市交易或挂牌转让的固定收益品种（另有规定的除外），选取第三方估值机构提供的相应品种当日的估值净价进行估值；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c、交易所市场上市交易的可转换债券，按估值日收盘价减去可转换债券收盘价中所含债券应收利息后得到的净价进行估值；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d、交易所市场挂牌转让的资产支持证券和私募债券，采用估值技术确定公允价值。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2）证券交易所发行未上市期间的有价证券应区分如下情况处理：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a、送股、转增股、配股和公开增发的新股，按估值日在证券交易所挂牌的同一股票的估值方法估值；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b、首次公开发行未上市的股票和权证，采用估值技术确定公允价值；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c、首次公开发行有明确锁定期的股票，同一股票在交易所上市后，按交易所上市的同一股票的估值方法估值；非公开发行有明确锁定期的股票，按监管机构或行业协会有关规定确定公允价值。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d、交易所市场发行未上市或未挂牌转让的债券，采用估值技术确定公允价</w:t>
      </w:r>
      <w:r>
        <w:rPr>
          <w:rFonts w:ascii="宋体" w:hAnsi="宋体"/>
          <w:sz w:val="24"/>
        </w:rPr>
        <w:lastRenderedPageBreak/>
        <w:t>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3）银行间市场上市交易的固定收益品种，选取第三方估值机构提供的相应品种当日的估值净价进行估值。银行间市场发行未上市的固定收益品种，采用估值技术确定公允价值。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5）如有确凿证据表明按上述方法进行估值不能客观反映其公允价值的，基金管理人可根据具体情况与基金托管人商定后，按最能反映公允价值的方法估值。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6）本基金投资存托凭证的估值核算依照境内上市交易的股票执行。</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7）相关法律法规以及监管部门有强制规定的，从其规定。如有新增事项，按法律法规以及监管部门最新规定估值。</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3、估值差错处理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因基金估值错误给投资者造成损失的应先由基金管理人承担，基金管理人对不应由其承担的责任，有权向过错人追偿。</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管理人计算的基金资产净值、基金份额净值已由基金托管人复核确认后公告的，由此造成的投资者或基金的损失，应根据法律法规的规定对投资者或基金支付赔偿金，就实际向投资者或基金支付的赔偿金额，由基金管理人与基金托管人按照管理费率和托管费率的比例各自承担相应的责任。</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一方当事人提供的信息错误，另一方当事人在采取了必要合理的措施后仍不能发现该错误，进而导致基金资产净值、基金份额净值计算错误造成投资者或基金的损失，以及由此造成以后交易日基金资产净值、基金份额净值计算顺延错误而引起的投资者或基金的损失，由提供错误信息的当事人一方负责赔偿。</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由于证券、期货交易所及其登记结算公司发送的数据错误，或由于其他不可抗力原因，基金管理人和基金托管人虽然已经采取必要、适当、合理的措施进行检查，但是未能发现该错误的，由此造成的基金资产估值错误，基金管理人和基金托管人可以免除赔偿责任。但基金管理人和基金托管人应当积极采取必要的措施消除或减轻由此造成的影响。</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管理人计算的基金资产净值与基金托管人的计算结果不一致时，相关各方应本着勤勉尽责的态度重新计算核对，如果最后仍无法达成一致，应以基金管理人的计算结果为准对外公布，由此造成的损失以及因该交易日基金资产净值计算顺延错误而引起的损失由基金管理人承担赔偿责任，基金托管人不负赔偿责任。</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4、基金账册的建立</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对账发现相关各方的账目存在不符的，基金管理人和基金托管人必须及时查明原因并纠正，保证相关各方平行登录的账册记录完全相符。若当日核对不符，暂时无法查找到错账的原因而影响到基金资产净值的计算和公告的，以基金管理人的账册为准。</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5、基金定期报告的编制和复核</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基金财务报表由基金管理人和基金托管人每月分别独立编制。月度报表的编制，应于每月终了后5个工作日内完成。</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生效后，基金招募说明书、基金产品资料概要的信息发生重大变更的，基金管理人应当在三个工作日内，更新基金招募说明书和基金产品资料概要并登载在指定网站上；基金招募说明书、基金产品资料概要其他信息发生变更的，基金管理人至少每年更新一次。基金终止运作的，基金管理人不再更新基金招募说明书、基金产品资料概要。基金管理人在季度结束之日起15个工作日内完成季度报告编制并公告；在上半年终了后两个月内完成中期报告编制并公告；在每年结束后三个月内完成年度报告编制并公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基金管理人在月度报告完成当日，对报告加盖公章后，以加密传真方式将有关报告提供基金托管人复核；基金托管人在3个工作日内进行复核，并将复核结果及</w:t>
      </w:r>
      <w:r>
        <w:rPr>
          <w:rFonts w:ascii="宋体" w:hAnsi="宋体"/>
          <w:sz w:val="24"/>
        </w:rPr>
        <w:lastRenderedPageBreak/>
        <w:t>时书面通知基金管理人。基金管理人在季度报告完成当日，将有关报告提供基金托管人复核，基金托管人在收到后7个工作日内进行复核，并将复核结果书面通知基金管理人。基金管理人在中期报告完成当日，将有关报告提供基金托管人复核，基金托管人在收到后30日内进行复核，并将复核结果书面通知基金管理人。基金管理人在年度报告完成当日，将有关报告提供基金托管人复核，基金托管人在收到后45日内复核，并将复核结果书面通知基金管理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复核过程中，发现相关各方的报表存在不符时，基金管理人和基金托管人应共同查明原因，进行调整，调整以相关各方认可的账务处理方式为准。核对无误后，基金托管人在基金管理人提供的报告上加盖业务印鉴或者出具加盖托管业务部门公章的复核意见书，相关各方各自留存一份。如果基金管理人与基金托管人不能于应当发布公告之日之前就相关报表达成一致，基金管理人有权按照其编制的报表对外发布公告，基金托管人有权就相关情况报证监会备案。</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基金托管人在对财务会计报告、中期报告或年度报告复核完毕后，需盖章确认或出具相应的复核确认书，以备有权机构对相关文件审核时提示。</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（六）基金份额持有人名册的保管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须分别妥善保管的基金份额持有人名册，包括《基金合同》生效日、《基金合同》终止日、基金份额持有人大会权益登记日、每年6月30日、12月31日的基金份额持有人名册。基金份额持有人名册的内容必须包括基金份额持有人的名称和持有的基金份额。</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基金的基金登记机构根据基金管理人的指令编制和保管，基金份额登记机构的保存期限自基金账户销户之日起不得少于20年。基金管理人和基金托管人应按照目前相关规则分别保管基金份额持有人名册。保管方式可以采用电子或文档的形式。保管期限为15年。</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及时向基金托管人提交下列日期的基金份额持有人名册：《基金合同》生效日、《基金合同》终止日、基金份额持有人大会权益登记日、每年6月30日、每年12月31日的基金份额持有人名册。基金份额持有人名册的内容必须包括基金份额持有人的名称和持有的基金份额。其中每年12月31日的基金份额持有人名册应于下月前十个工作日内提交；《基金合同》生效日、《基金合同》终止日等涉及到基金重要事项日期的基金份额持有人名册应于发生日后十个工作日内提交。</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基金托管人以电子版形式妥善保管基金份额持有人名册，并定期刻成光盘备</w:t>
      </w:r>
      <w:r>
        <w:rPr>
          <w:rFonts w:ascii="宋体" w:hAnsi="宋体"/>
          <w:sz w:val="24"/>
        </w:rPr>
        <w:lastRenderedPageBreak/>
        <w:t>份，保存期限为15年。基金托管人不得将所保管的基金份额持有人名册用于基金托管业务以外的其他用途，并应遵守保密义务。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若基金管理人或基金托管人由于自身原因无法妥善保管基金份额持有人名册，应按有关法规规定各自承担相应的责任。</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相关各方当事人同意，因本协议而产生的或与本协议有关的一切争议，除经友好协商可以解决的，应提交中国国际经济贸易仲裁委员会根据该会当时有效的仲裁规则进行仲裁，仲裁的地点在北京，仲裁裁决是终局性的并对相关各方均有约束力，除非仲裁裁决另有规定，仲裁费用、律师费由败诉方承担。</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争议处理期间，相关各方当事人应恪守基金管理人和基金托管人职责，继续忠实、勤勉、尽责地履行《基金合同》和托管协议规定的义务，维护基金份额持有人的合法权益。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本协议受中国法律管辖。</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（八）托管协议的变更与终止</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本协议双方当事人经协商一致，可以对协议的内容进行变更。变更后的托管协议，其内容不得与《基金合同》的规定有任何冲突。基金托管协议的变更报中国证监会备案。</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发生以下情况，本托管协议终止：</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（2）基金托管人解散、依法被撤销、破产或有其他基金托管人接管基金资产；</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（3）基金管理人解散、依法被撤销、破产或有其他基金管理人接管基金管理权；</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（4）发生法律法规、中国证监会或《基金合同》规定的终止事项。</w:t>
      </w:r>
    </w:p>
    <w:p w:rsidR="00B439CC" w:rsidRDefault="003735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0473C" w:rsidRDefault="0037355A">
      <w:pPr>
        <w:pStyle w:val="1"/>
        <w:snapToGrid w:val="0"/>
        <w:spacing w:beforeLines="0" w:before="240" w:after="240"/>
        <w:rPr>
          <w:rFonts w:ascii="宋体" w:hAnsi="宋体"/>
          <w:szCs w:val="30"/>
        </w:rPr>
      </w:pPr>
      <w:bookmarkStart w:id="26" w:name="_Toc228463662"/>
      <w:r>
        <w:rPr>
          <w:rFonts w:ascii="Times New Roman" w:hAnsi="Times New Roman"/>
          <w:sz w:val="30"/>
        </w:rPr>
        <w:lastRenderedPageBreak/>
        <w:t>二十三、对基金份额持有人的服务</w:t>
      </w:r>
      <w:bookmarkEnd w:id="26"/>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1、每次交易结束后，投资人可在T+2个工作日后通过销售机构的网点查询和打印确认单；</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服务，个人投资者可以直接通过本基金管理人的网上直销交易平台办理开户和本基金A类基金份额和C类基金份额的申购、赎回、定期定额投资、转换等业务。通过网上直销交易平台办理本基金A类基金份额申购和定期定额投资业务的个人投资者将享受申购费率的优惠。具体优惠费率请参见公司网站列示的网上直销交易平台申购、定期定额投资及转换费率表或相关公告。基金网上直销交易平台已开通的银行卡及各银行卡交易金额限额请参阅本基金管理人网站。</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（四）基金转换业务</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本基金已开通基金转换业务，具体实施方法请参见相关公告。</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（五）定期定额投资计划</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本基金已开通定期定额投资业务，具体实施方法请参见相关公告。服务联系方式：</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rsidR="00B439CC" w:rsidRDefault="003735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0473C" w:rsidRDefault="0037355A">
      <w:pPr>
        <w:pStyle w:val="1"/>
        <w:snapToGrid w:val="0"/>
        <w:spacing w:beforeLines="0" w:before="240" w:after="240"/>
        <w:rPr>
          <w:rFonts w:ascii="宋体" w:hAnsi="宋体"/>
          <w:szCs w:val="30"/>
        </w:rPr>
      </w:pPr>
      <w:bookmarkStart w:id="27" w:name="_Toc228463663"/>
      <w:r>
        <w:rPr>
          <w:rFonts w:ascii="Times New Roman" w:hAnsi="Times New Roman"/>
          <w:sz w:val="30"/>
        </w:rPr>
        <w:lastRenderedPageBreak/>
        <w:t>二十四、其他应披露事项</w:t>
      </w:r>
      <w:bookmarkEnd w:id="27"/>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交银施罗德科技创新灵活配置混合型证券投资基金招募说明书更新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交银施罗德科技创新灵活配置混合型证券投资基金（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交银施罗德科技创新灵活配置混合型证券投资基金（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交银施罗德基金管理有限公司关于增加中国邮政储蓄银行股份有限公司为旗下基金的销售机构的公告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2025-05-26</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交银施罗德基金管理有限公司关于增加中国邮政储蓄银行股份有限公司为旗下基金的销售机构的公告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2025-05-28</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交银施罗德科技创新灵活配置混合型证券投资基金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交银施罗德基金管理有限公司关于旗下部分基金开通同一基金不同类别基金份额转换业务并修改基金合同的公告</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2025-08-26</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交银施罗德科技创新灵活配置混合型证券投资基金基金合同</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2025-08-26</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交银施罗德科技创新灵活配置混合型证券投资基金托管协议</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2025-08-26</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11</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交银施罗德科技创新灵活配置混合型证券投资基金招募说明书更新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2025-08-26</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交银施罗德科技创新灵活配置混合型证券投资基金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交银施罗德科技创新灵活配置混合型证券投资基金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交银施罗德科技创新灵活配置混合型证券投资基金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交银施罗德科技创新灵活配置混合型证券投资基金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E0473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交银施罗德科技创新灵活配置混合型证券投资基金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0473C" w:rsidRDefault="003735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rsidR="00B439CC" w:rsidRDefault="003735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0473C" w:rsidRDefault="0037355A">
      <w:pPr>
        <w:pStyle w:val="1"/>
        <w:snapToGrid w:val="0"/>
        <w:spacing w:beforeLines="0" w:before="240" w:after="240"/>
        <w:rPr>
          <w:rFonts w:ascii="宋体" w:hAnsi="宋体"/>
          <w:szCs w:val="30"/>
        </w:rPr>
      </w:pPr>
      <w:bookmarkStart w:id="28" w:name="_Toc228463664"/>
      <w:r>
        <w:rPr>
          <w:rFonts w:ascii="Times New Roman" w:hAnsi="Times New Roman"/>
          <w:sz w:val="30"/>
        </w:rPr>
        <w:lastRenderedPageBreak/>
        <w:t>二十五、招募说明书的存放及查阅方式</w:t>
      </w:r>
      <w:bookmarkEnd w:id="28"/>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37355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0473C" w:rsidRDefault="0037355A">
      <w:pPr>
        <w:pStyle w:val="1"/>
        <w:snapToGrid w:val="0"/>
        <w:spacing w:beforeLines="0" w:before="240" w:after="240"/>
        <w:rPr>
          <w:rFonts w:ascii="宋体" w:hAnsi="宋体"/>
          <w:szCs w:val="30"/>
        </w:rPr>
      </w:pPr>
      <w:bookmarkStart w:id="29" w:name="_Toc228463665"/>
      <w:r>
        <w:rPr>
          <w:rFonts w:ascii="Times New Roman" w:hAnsi="Times New Roman"/>
          <w:sz w:val="30"/>
        </w:rPr>
        <w:lastRenderedPageBreak/>
        <w:t>二十六、备查文件</w:t>
      </w:r>
      <w:bookmarkEnd w:id="29"/>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（一）中国证监会准予交银施罗德科技创新灵活配置混合型证券投资基金募集注册的文件</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（二）《交银施罗德科技创新灵活配置混合型证券投资基金基金合同》</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（三）《交银施罗德科技创新灵活配置混合型证券投资基金托管协议》</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E0473C" w:rsidRDefault="0037355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（六）关于申请募集注册交银施罗科技创新灵活配置混合型证券投资基金的法律意见书</w:t>
      </w:r>
    </w:p>
    <w:sectPr w:rsidR="00E0473C">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0045" w:rsidRDefault="0037355A">
      <w:r>
        <w:separator/>
      </w:r>
    </w:p>
  </w:endnote>
  <w:endnote w:type="continuationSeparator" w:id="0">
    <w:p w:rsidR="00510045" w:rsidRDefault="00373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473C" w:rsidRDefault="00E0473C">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473C" w:rsidRDefault="00135B55">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E0473C" w:rsidRDefault="0037355A">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135B55">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473C" w:rsidRDefault="00E0473C">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473C" w:rsidRDefault="00135B55">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E0473C" w:rsidRDefault="0037355A">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135B55">
                  <w:rPr>
                    <w:rFonts w:ascii="Times New Roman" w:hAnsi="Times New Roman"/>
                    <w:noProof/>
                    <w:kern w:val="0"/>
                    <w:sz w:val="18"/>
                    <w:szCs w:val="18"/>
                  </w:rPr>
                  <w:t>160</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0045" w:rsidRDefault="0037355A">
      <w:r>
        <w:separator/>
      </w:r>
    </w:p>
  </w:footnote>
  <w:footnote w:type="continuationSeparator" w:id="0">
    <w:p w:rsidR="00510045" w:rsidRDefault="003735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473C" w:rsidRDefault="00E0473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473C" w:rsidRDefault="0037355A">
    <w:pPr>
      <w:pStyle w:val="a3"/>
      <w:jc w:val="right"/>
      <w:rPr>
        <w:rFonts w:ascii="宋体" w:hAnsi="宋体"/>
      </w:rPr>
    </w:pPr>
    <w:r>
      <w:rPr>
        <w:rFonts w:ascii="宋体" w:hAnsi="宋体" w:hint="eastAsia"/>
      </w:rPr>
      <w:t>交银施罗德科技创新灵活配置混合型证券投资基金招募说明书更新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473C" w:rsidRDefault="00E0473C">
    <w:pPr>
      <w:pStyle w:val="10"/>
      <w:jc w:val="right"/>
    </w:pPr>
  </w:p>
  <w:p w:rsidR="00E0473C" w:rsidRDefault="00E0473C">
    <w:pPr>
      <w:pStyle w:val="10"/>
      <w:jc w:val="right"/>
    </w:pPr>
  </w:p>
  <w:p w:rsidR="00E0473C" w:rsidRDefault="00E0473C">
    <w:pPr>
      <w:pStyle w:val="a3"/>
      <w:jc w:val="right"/>
    </w:pPr>
  </w:p>
  <w:p w:rsidR="00E0473C" w:rsidRDefault="0037355A">
    <w:pPr>
      <w:pStyle w:val="a3"/>
      <w:jc w:val="right"/>
      <w:rPr>
        <w:rFonts w:ascii="宋体" w:hAnsi="宋体"/>
      </w:rPr>
    </w:pPr>
    <w:r>
      <w:rPr>
        <w:rFonts w:ascii="宋体" w:hAnsi="宋体" w:hint="eastAsia"/>
      </w:rPr>
      <w:t>交银施罗德科技创新灵活配置混合型证券投资基金招募说明书更新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473C" w:rsidRDefault="00E0473C">
    <w:pPr>
      <w:pStyle w:val="a3"/>
      <w:jc w:val="right"/>
    </w:pPr>
  </w:p>
  <w:p w:rsidR="00E0473C" w:rsidRDefault="00E0473C">
    <w:pPr>
      <w:pStyle w:val="a3"/>
      <w:jc w:val="right"/>
    </w:pPr>
  </w:p>
  <w:p w:rsidR="00E0473C" w:rsidRDefault="00E0473C">
    <w:pPr>
      <w:pStyle w:val="a3"/>
      <w:jc w:val="right"/>
    </w:pPr>
  </w:p>
  <w:p w:rsidR="00E0473C" w:rsidRDefault="0037355A">
    <w:pPr>
      <w:pStyle w:val="a3"/>
      <w:jc w:val="right"/>
      <w:rPr>
        <w:rFonts w:ascii="宋体" w:hAnsi="宋体"/>
      </w:rPr>
    </w:pPr>
    <w:r>
      <w:rPr>
        <w:rFonts w:ascii="宋体" w:hAnsi="宋体" w:hint="eastAsia"/>
      </w:rPr>
      <w:t>交银施罗德科技创新灵活配置混合型证券投资基金招募说明书更新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5B55"/>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5A"/>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0045"/>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473C"/>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E5691B88-5B52-41A7-82FF-2907BF085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161</Pages>
  <Words>16562</Words>
  <Characters>94406</Characters>
  <Application>Microsoft Office Word</Application>
  <DocSecurity>0</DocSecurity>
  <Lines>786</Lines>
  <Paragraphs>221</Paragraphs>
  <ScaleCrop>false</ScaleCrop>
  <Company>Microsoft</Company>
  <LinksUpToDate>false</LinksUpToDate>
  <CharactersWithSpaces>110747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2026-04-30T09:47:00Z</dcterms:created>
  <dcterms:modified xsi:type="dcterms:W3CDTF">2026-04-30T09:47:00Z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