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交银施罗德安心收益债券型证券投资基金（E类份额）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2026-04-21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2026-05-08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交银安心收益债券E</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019268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中国民生银行股份有限公司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2018-06-02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魏玉敏</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2022-01-27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2012-06-28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交银施罗德安心收益债券型证券投资基金由交银施罗德荣和保本混合型证券投资基金转型而来，上述基金转型于2018年6月2日正式实施，自基金转型实施日起，《交银施罗德荣和保本混合型证券投资基金基金合同》失效且《交银施罗德安心收益债券型证券投资基金基金合同》同时生效，交银施罗德荣和保本混合型证券投资基金正式变更为交银施罗德安心收益债券型证券投资基金。</w:t>
            </w:r>
          </w:p>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向中国证监会报告并提出解决方案，并召开基金份额持有人大会进行表决。</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在严格控制投资风险和保持资产流动性的基础上，力争实现基金资产的长期稳定增值。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交易的国债、金融债、央行票据、地方政府债、企业债、公司债、短期融资券、中期票据、可转换债券及可分离转债、次级债、资产支持证券、债券回购、银行存款、货币市场工具等固定收益类品种，和股票(含中小板、创业板及其他经中国证监会核准上市的股票、存托凭证)、权证等权益类品种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债券的比例不低于基金资产的80%；对股票（含存托凭证）、权证等权益类资产的投资比例不高于基金资产净值的20%；现金或到期日在一年以内的政府债券的投资比例合计不低于基金资产净值的5%，其中现金不包括结算备付金、存出保证金和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严谨、规范化的基本面研究分析与积极主动的投资风格相结合，在分析和判断宏观经济运行状况和金融市场运行趋势的基础上，动态调整债券、股票等大类资产比例。本基金以债券投资为核心，重点关注债券组合久期调整、期限结构配置及债券类属配置，并在严谨深入的信用分析基础上，综合考量信用债券的信用评级，以及各类债券的流动性、供求关系和收益率水平等，同时本基金也通过综合运用骑乘操作、套利操作等策略精选个券，提高投资组合收益。此外，在风险可控的前提下，本基金适度关注股票、权证市场的运行状况与相应风险收益特征，有效把握投资机会，适时增强组合收益。</w:t>
            </w:r>
          </w:p>
          <w:p>
            <w:pPr>
              <w:ind w:firstLine="420"/>
              <w:jc w:val="left"/>
              <w:rPr>
                <w:rFonts w:ascii="仿宋_GB2312" w:eastAsia="仿宋_GB2312"/>
                <w:szCs w:val="21"/>
              </w:rPr>
            </w:pPr>
            <w:r>
              <w:rPr>
                <w:rFonts w:hint="eastAsia" w:ascii="仿宋_GB2312" w:eastAsia="仿宋_GB2312"/>
                <w:szCs w:val="21"/>
              </w:rPr>
              <w:t>1、资产配置策略；2、债券投资策略；3、股票投资策略；4、权证投资策略。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本基金为债券型证券投资基金，其长期平均的预期收益和风险高于货币市场基金，低于混合型基金和股票型基金。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详见《交银施罗德安心收益债券型证券投资基金招募说明书》第九部分“基金的投资”。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2、本基金自2023年8月25日起，开始销售E类份额，基金份额类别首次确认当年净值增长率按实际存续期计算。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4"/>
        <w:gridCol w:w="2824"/>
        <w:gridCol w:w="1757"/>
        <w:gridCol w:w="1993"/>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7天≤N＜31天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31天≤N＜366天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366天≤N＜731天</w:t>
            </w:r>
          </w:p>
        </w:tc>
        <w:tc>
          <w:tcPr>
            <w:tcW w:w="1843" w:type="dxa"/>
            <w:vAlign w:val="center"/>
          </w:tcPr>
          <w:p>
            <w:pPr>
              <w:rPr>
                <w:rFonts w:ascii="仿宋_GB2312" w:eastAsia="仿宋_GB2312"/>
                <w:szCs w:val="21"/>
              </w:rPr>
            </w:pPr>
            <w:r>
              <w:rPr>
                <w:rFonts w:hint="eastAsia" w:ascii="仿宋_GB2312" w:eastAsia="仿宋_GB2312"/>
                <w:szCs w:val="21"/>
              </w:rPr>
              <w:t>0.05%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731天≤N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0.50%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0.40%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60000.00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1.01%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（1）本基金是债券型基金，投资于债券的比例不低于基金资产的80%，因投资债券类资产而面临债券类资产市场的系统性风险和个券风险；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（3）本基金在主要投资于债券类资产的同时也积极关注股票、权证市场的投资机会，会因投资权益类资产而面临的权益类资产市场的系统性风险和个券风险；</w:t>
      </w:r>
    </w:p>
    <w:p>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8、投资存托凭证的特定风险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9、本基金法律文件风险收益特征表述与销售机构基金风险评价可能不一致的风险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10、其他风险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●《交银施罗德安心收益债券型证券投资基金基金合同》、</w:t>
      </w:r>
    </w:p>
    <w:p>
      <w:pPr>
        <w:ind w:firstLine="420"/>
        <w:jc w:val="left"/>
        <w:rPr>
          <w:rFonts w:ascii="仿宋_GB2312" w:eastAsia="仿宋_GB2312"/>
          <w:szCs w:val="21"/>
        </w:rPr>
      </w:pPr>
      <w:r>
        <w:rPr>
          <w:rFonts w:hint="eastAsia" w:ascii="仿宋_GB2312" w:eastAsia="仿宋_GB2312"/>
          <w:szCs w:val="21"/>
        </w:rPr>
        <w:t>《交银施罗德安心收益债券型证券投资基金托管协议》、</w:t>
      </w:r>
    </w:p>
    <w:p>
      <w:pPr>
        <w:ind w:firstLine="420"/>
        <w:jc w:val="left"/>
        <w:rPr>
          <w:rFonts w:ascii="仿宋_GB2312" w:eastAsia="仿宋_GB2312"/>
          <w:szCs w:val="21"/>
        </w:rPr>
      </w:pPr>
      <w:r>
        <w:rPr>
          <w:rFonts w:hint="eastAsia" w:ascii="仿宋_GB2312" w:eastAsia="仿宋_GB2312"/>
          <w:szCs w:val="21"/>
        </w:rPr>
        <w:t>《交银施罗德安心收益债券型证券投资基金招募说明书》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47424"/>
    <w:rsid w:val="00F75715"/>
    <w:rsid w:val="00F811C4"/>
    <w:rsid w:val="00FC2918"/>
    <w:rsid w:val="13885C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714</Words>
  <Characters>4072</Characters>
  <Lines>33</Lines>
  <Paragraphs>9</Paragraphs>
  <TotalTime>18</TotalTime>
  <ScaleCrop>false</ScaleCrop>
  <LinksUpToDate>false</LinksUpToDate>
  <CharactersWithSpaces>4777</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2026-04-24T09:40:00Z</dcterms:created>
  <dc:creator>Cc</dc:creator>
  <cp:lastModifiedBy>haotingting</cp:lastModifiedBy>
  <dcterms:modified xsi:type="dcterms:W3CDTF">2026-04-27T01:29:31Z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119297E0282741A487C9AA9149CE3F02</vt:lpwstr>
  </property>
</Properties>
</file>