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交银施罗德安享稳健养老目标一年持有期混合型基金中基金（FOF）（A类份额）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交银安享稳健养老一年A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006880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2019-05-30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每个开放日开放申购，每份基金份额最短持有期限为一年，一年内不能提出赎回申请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2025-07-12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本基金主要投资于经中国证监会依法核准或注册的公开募集证券投资基金的基金份额，在控制风险并保持基金资产良好的流动性的前提下，力争实现基金资产的长期稳健增值，满足养老资金理财需求。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国内依法发行上市的股票（含中小板、创业板及其他经中国证监会核准上市的股票、存托凭证）、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-30%。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本基金投资于权益类资产（包括股票（含存托凭证）、股票型基金、混合型基金）的战略配置目标比例为25%，投资比例为基金资产的15%-30%。其中混合型基金需符合下列两个条件之一：</w:t>
            </w:r>
          </w:p>
          <w:p>
            <w:pPr>
              <w:ind w:firstLine="420"/>
              <w:jc w:val="left"/>
              <w:rPr>
                <w:rFonts w:ascii="仿宋_GB2312" w:eastAsia="仿宋_GB2312"/>
                <w:szCs w:val="21"/>
              </w:rPr>
            </w:pPr>
            <w:r>
              <w:rPr>
                <w:rFonts w:hint="eastAsia" w:ascii="仿宋_GB2312" w:eastAsia="仿宋_GB2312"/>
                <w:szCs w:val="21"/>
              </w:rPr>
              <w:t>1、基金合同中明确约定股票投资占基金资产的比例为50%以上；</w:t>
            </w:r>
          </w:p>
          <w:p>
            <w:pPr>
              <w:ind w:firstLine="420"/>
              <w:jc w:val="left"/>
              <w:rPr>
                <w:rFonts w:ascii="仿宋_GB2312" w:eastAsia="仿宋_GB2312"/>
                <w:szCs w:val="21"/>
              </w:rPr>
            </w:pPr>
            <w:r>
              <w:rPr>
                <w:rFonts w:hint="eastAsia" w:ascii="仿宋_GB2312" w:eastAsia="仿宋_GB2312"/>
                <w:szCs w:val="21"/>
              </w:rPr>
              <w:t>2、最近4个季度披露的股票投资占基金资产的比例均在50%以上的混合型基金。</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1、大类资产配置；2、基金投资策略；3、股票投资策略；4、债券投资策略；5、权证投资策略；6、资产支持证券投资策略；7、风险控制策略。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80%×中债综合全价指数收益率+20%×沪深300指数收益率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详见《交银施罗德安享稳健养老目标一年持有期混合型基金中基金(FOF)招募说明书》第九部分“基金的投资”。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2、本基金合同于2019年5月30日生效，合同生效当年净值增长率按实际存续期计算。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本基金不收取赎回费。其中，对于不受最短持有期限制的红利再投资所得基金份额，对持续持有期少于7日的投资者收取1.5%的赎回费，并全额计入基金财产。2、本基金管理人对非个人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1、本基金特有的风险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为混合型基金中基金，本基金投资于经中国证监会依法核准或注册的公开募集证券投资基金的基金份额的资产不低于本基金资产的80%，其中投资于股票（含存托凭证）、股票型基金（包括股票指数基金）、混合型基金和商品基金（含商品期货基金和黄金ETF）等品种的比例合计占基金资产的0%-30%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本基金定位为稳健型目标风险策略基金，本基金投资于权益类资产（包括股票（含存托凭证）、股票型基金、混合型基金）的战略配置目标比例为25%，投资比例为基金资产的15%-30%。其中混合型基金需符合下列两个条件之一：1）基金合同中明确约定股票投资占基金资产的比例为50%以上；2）最近4个季度披露的股票投资占基金资产的比例均在50%以上的混合型基金。本基金的预期风险与预期收益高于债券型基金、债券型基金中基金、货币市场基金和货币型基金中基金，低于股票型基金和股票型基金中基金。</w:t>
      </w:r>
    </w:p>
    <w:p>
      <w:pPr>
        <w:ind w:firstLine="420"/>
        <w:jc w:val="left"/>
        <w:rPr>
          <w:rFonts w:ascii="仿宋_GB2312" w:eastAsia="仿宋_GB2312"/>
          <w:szCs w:val="21"/>
        </w:rPr>
      </w:pPr>
      <w:r>
        <w:rPr>
          <w:rFonts w:hint="eastAsia" w:ascii="仿宋_GB2312" w:eastAsia="仿宋_GB2312"/>
          <w:szCs w:val="21"/>
        </w:rPr>
        <w:t>（4）基金份额持有人持有的每份基金份额最短持有期限为一年，在最短持有期限内该份基金份额不可赎回，自最短持有期限的下一工作日起（含该日）可赎回。对于每笔认购的基金份额而言，最短持有期限自基金合同生效之日起（含该日）至一年后的年度对日的前一日；对于每笔申购的基金份额而言，最短持有期限自该笔申购份额确认日（含该日，通常T日提交的有效申购申请于T+3日确认）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5）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6）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7）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8）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（9）本基金可投资创业板股票，创业板个股上市后的前五个交易日不设价格涨跌幅限制，第六个交易日开始涨跌幅限制比例为20%。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2、市场风险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3、管理风险</w:t>
      </w:r>
    </w:p>
    <w:p>
      <w:pPr>
        <w:ind w:firstLine="420"/>
        <w:jc w:val="left"/>
        <w:rPr>
          <w:rFonts w:ascii="仿宋_GB2312" w:eastAsia="仿宋_GB2312"/>
          <w:szCs w:val="21"/>
        </w:rPr>
      </w:pPr>
      <w:r>
        <w:rPr>
          <w:rFonts w:hint="eastAsia" w:ascii="仿宋_GB2312" w:eastAsia="仿宋_GB2312"/>
          <w:szCs w:val="21"/>
        </w:rPr>
        <w:t>4、流动性风险</w:t>
      </w:r>
    </w:p>
    <w:p>
      <w:pPr>
        <w:ind w:firstLine="420"/>
        <w:jc w:val="left"/>
        <w:rPr>
          <w:rFonts w:ascii="仿宋_GB2312" w:eastAsia="仿宋_GB2312"/>
          <w:szCs w:val="21"/>
        </w:rPr>
      </w:pPr>
      <w:r>
        <w:rPr>
          <w:rFonts w:hint="eastAsia" w:ascii="仿宋_GB2312" w:eastAsia="仿宋_GB2312"/>
          <w:szCs w:val="21"/>
        </w:rPr>
        <w:t>5、信用风险</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●《交银施罗德安享稳健养老目标一年持有期混合型基金中基金（FOF）基金合同》、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《交银施罗德安享稳健养老目标一年持有期混合型基金中基金（FOF）基金托管协议》、</w:t>
      </w:r>
    </w:p>
    <w:p>
      <w:pPr>
        <w:ind w:firstLine="420"/>
        <w:jc w:val="left"/>
        <w:rPr>
          <w:rFonts w:ascii="仿宋_GB2312" w:eastAsia="仿宋_GB2312"/>
          <w:szCs w:val="21"/>
        </w:rPr>
      </w:pPr>
      <w:r>
        <w:rPr>
          <w:rFonts w:hint="eastAsia" w:ascii="仿宋_GB2312" w:eastAsia="仿宋_GB2312"/>
          <w:szCs w:val="21"/>
        </w:rPr>
        <w:t>《交银施罗德安享稳健养老目标一年持有期混合型基金中基金（FOF）招募说明书》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9478A"/>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9AB2DED"/>
    <w:rsid w:val="56513D8D"/>
    <w:rsid w:val="62596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941</Words>
  <Characters>5368</Characters>
  <Lines>44</Lines>
  <Paragraphs>12</Paragraphs>
  <TotalTime>22</TotalTime>
  <ScaleCrop>false</ScaleCrop>
  <LinksUpToDate>false</LinksUpToDate>
  <CharactersWithSpaces>6297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2026-04-24T09:12:47Z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44FA325B62FD4B3DB1A4FBFC7F02B99E</vt:lpwstr>
  </property>
</Properties>
</file>