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交银施罗德安心收益债券型证券投资基金（D类份额）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交银安心收益债券D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023808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中国民生银行股份有限公司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安心收益债券型证券投资基金由交银施罗德荣和保本混合型证券投资基金转型而来，上述基金转型于2018年6月2日正式实施，自基金转型实施日起，《交银施罗德荣和保本混合型证券投资基金基金合同》失效且《交银施罗德安心收益债券型证券投资基金基金合同》同时生效，交银施罗德荣和保本混合型证券投资基金正式变更为交银施罗德安心收益债券型证券投资基金。</w:t>
            </w:r>
          </w:p>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在严格控制投资风险和保持资产流动性的基础上，力争实现基金资产的长期稳定增值。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资产支持证券、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本基金为债券型证券投资基金，其长期平均的预期收益和风险高于货币市场基金，低于混合型基金和股票型基金。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详见《交银施罗德安心收益债券型证券投资基金招募说明书》第九部分“基金的投资”。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2、本基金自2025年3月28日起，开始销售D类份额，基金份额类别首次确认当年净值增长率按实际存续期计算。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（1）本基金是债券型基金，投资于债券的比例不低于基金资产的80%，因投资债券类资产而面临债券类资产市场的系统性风险和个券风险；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●《交银施罗德安心收益债券型证券投资基金基金合同》、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《交银施罗德安心收益债券型证券投资基金托管协议》、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《交银施罗德安心收益债券型证券投资基金招募说明书》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233EE"/>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1BF01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725</Words>
  <Characters>4138</Characters>
  <Lines>34</Lines>
  <Paragraphs>9</Paragraphs>
  <TotalTime>0</TotalTime>
  <ScaleCrop>false</ScaleCrop>
  <LinksUpToDate>false</LinksUpToDate>
  <CharactersWithSpaces>4854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2026-04-24T09:33:39Z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D31AAE57C9614DE2889E5879D1399110</vt:lpwstr>
  </property>
</Properties>
</file>