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交银施罗德稳固收益债券型证券投资基金（D类份额）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交银稳固收益债券D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025019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2019-05-31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姜承操</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孙婕衎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2011-05-11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2026-03-17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稳固收益债券型证券投资基金由交银施罗德荣祥保本混合型证券投资基金转型而来，上述基金转型于2019年5月31日正式实施，自基金转型实施日起，《交银施罗德荣祥保本混合型证券投资基金基金合同》失效且《交银施罗德稳固收益债券型证券投资基金基金合同》同时生效，交银施罗德荣祥保本混合型证券投资基金正式变更为交银施罗德稳固收益债券型证券投资基金。</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本基金为二级债基，投资于股票资产（含存托凭证）、可转换债券、可交换公司债券的比例合计不高于基金资产净值的20%，理论上本基金的预期风险水平高于纯债基金。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在合理控制风险并保持基金资产良好流动性的前提下，追求超越业绩比较基准的投资回报，控制波动率，力争实现基金资产的长期稳健增值。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投资于股票资产（含存托凭证）、可转换债券、可交换公司债券的比例合计不高于基金资产净值的20%（其中投资于港股通标的股票的比例占股票资产的0%-50%）；本基金持有的现金或者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1、资产配置策略；2、债券投资策略；3、股票投资策略。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沪深300指数收益率×10%+恒生指数收益率×5%+中证综合债券指数收益率×85%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详见《交银施罗德稳固收益债券型证券投资基金招募说明书》第十部分“基金的投资”。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2、本基金自2025年7月30日起，开始销售D类份额，基金份额类别首次确认当年净值增长率按实际存续期计算。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（1）本基金是债券型基金，投资于债券的比例不低于基金资产的80%，因投资债券类资产而面临债券类资产市场的系统性风险和个券风险；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（6）基金合同提前终止风险。连续50个工作日出现基金份额持有人数量不满200人或者基金资产净值低于5000万元情形的，基金合同终止，不需召开基金份额持有人大会。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●《交银施罗德稳固收益债券型证券投资基金基金合同》、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《交银施罗德稳固收益债券型证券投资基金托管协议》、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《交银施罗德稳固收益债券型证券投资基金招募说明书》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54F20"/>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3454BC5"/>
    <w:rsid w:val="79F76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814</Words>
  <Characters>4645</Characters>
  <Lines>38</Lines>
  <Paragraphs>10</Paragraphs>
  <TotalTime>3</TotalTime>
  <ScaleCrop>false</ScaleCrop>
  <LinksUpToDate>false</LinksUpToDate>
  <CharactersWithSpaces>5449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2026-04-28T08:42:19Z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E5FA1DDFBF0940BB85C29BBB8A7DCFF2</vt:lpwstr>
  </property>
</Properties>
</file>