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交银施罗德安心收益债券型证券投资基金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基金托管人：中国民生银行股份有限公司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二〇二六年四月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27915019"/>
      <w:bookmarkStart w:id="1" w:name="_Toc496884613"/>
      <w:bookmarkStart w:id="2" w:name="_Toc324920538"/>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安心收益债券型证券投资基金（以下简称“本基金”）为根据《交银施罗德荣和保本混合型证券投资基金基金合同》的约定，由交银施罗德荣和保本混合型证券投资基金第一个保本周期到期后转型而来。</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荣和保本混合型证券投资基金经2015年5月11日中国证券监督管理委员会（以下简称“中国证监会”）证监许可【2015】879号文准予募集注册，自2015年5月25日至2015年5月26日进行公开募集，募集结束后基金管理人向中国证监会办理基金备案手续。经中国证监会书面确认，《交银施罗德荣和保本混合型证券投资基金基金合同》于2015年5月29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荣和保本混合型证券投资基金第一个保本周期于2018年5月29日到期。按照《交银施罗德荣和保本混合型证券投资基金基金合同》的约定，该基金保本周期到期后转型为非保本的债券型基金，名称相应变更为“交银施罗德安心收益债券型证券投资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根据本基金的基金合同编写，本基金的基金合同经中国证监会备案，但中国证监会对交银施罗德荣和保本混合型证券投资基金募集的注册以及其转型为本基金的备案，并不表明其对本基金的价值和收益作出实质性判断或保证，也不表明投资于本基金没有风险。中国证监会不对基金的投资价值及市场前景等作出实质性判断或者保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本基金投资策略所特有的风险；投资资产支持证券的特定风险；投资科创板股票的特定风险等等。本基金为债券型证券投资基金，其长期平均的预期收益和风险高于货币市场基金，低于混合型基金和股票型基金。</w:t>
      </w:r>
    </w:p>
    <w:p>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宋体" w:hAnsi="宋体"/>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Times New Roman" w:hAnsi="Times New Roman"/>
          <w:kern w:val="0"/>
          <w:sz w:val="24"/>
        </w:rPr>
      </w:pPr>
      <w:r>
        <w:rPr>
          <w:rFonts w:hint="eastAsia" w:ascii="宋体" w:hAnsi="宋体"/>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做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本招募说明书所载内容截止日为2026年04月21日，有关财务数据和净值表现截止日为2026年03月31日。本招募说明书所载的财务数据未经审计。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"_Toc227915019"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_Toc227915019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"_Toc227915020"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_Toc227915020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"_Toc227915021"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_Toc227915021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"_Toc227915022"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_Toc227915022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"_Toc227915023"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_Toc227915023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"_Toc227915024"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_Toc227915024 \h </w:instrText>
      </w:r>
      <w:r>
        <w:rPr>
          <w:rFonts w:ascii="宋体" w:hAnsi="宋体"/>
          <w:sz w:val="24"/>
        </w:rPr>
        <w:fldChar w:fldCharType="separate"/>
      </w:r>
      <w:r>
        <w:rPr>
          <w:rFonts w:ascii="宋体" w:hAnsi="宋体"/>
          <w:sz w:val="24"/>
        </w:rPr>
        <w:t>23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"_Toc227915025" </w:instrText>
      </w:r>
      <w:r>
        <w:fldChar w:fldCharType="separate"/>
      </w:r>
      <w:r>
        <w:rPr>
          <w:rStyle w:val="18"/>
          <w:rFonts w:hint="eastAsia" w:ascii="宋体" w:hAnsi="宋体"/>
          <w:sz w:val="24"/>
        </w:rPr>
        <w:t>六、基金的历史沿革与基金的存续</w:t>
      </w:r>
      <w:r>
        <w:rPr>
          <w:rFonts w:ascii="宋体" w:hAnsi="宋体"/>
          <w:sz w:val="24"/>
        </w:rPr>
        <w:tab/>
      </w:r>
      <w:r>
        <w:rPr>
          <w:rFonts w:ascii="宋体" w:hAnsi="宋体"/>
          <w:sz w:val="24"/>
        </w:rPr>
        <w:fldChar w:fldCharType="begin"/>
      </w:r>
      <w:r>
        <w:rPr>
          <w:rFonts w:ascii="宋体" w:hAnsi="宋体"/>
          <w:sz w:val="24"/>
        </w:rPr>
        <w:instrText xml:space="preserve"> PAGEREF _Toc227915025 \h </w:instrText>
      </w:r>
      <w:r>
        <w:rPr>
          <w:rFonts w:ascii="宋体" w:hAnsi="宋体"/>
          <w:sz w:val="24"/>
        </w:rPr>
        <w:fldChar w:fldCharType="separate"/>
      </w:r>
      <w:r>
        <w:rPr>
          <w:rFonts w:ascii="宋体" w:hAnsi="宋体"/>
          <w:sz w:val="24"/>
        </w:rPr>
        <w:t>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"_Toc227915026" </w:instrText>
      </w:r>
      <w:r>
        <w:fldChar w:fldCharType="separate"/>
      </w:r>
      <w:r>
        <w:rPr>
          <w:rStyle w:val="18"/>
          <w:rFonts w:hint="eastAsia" w:ascii="宋体" w:hAnsi="宋体"/>
          <w:sz w:val="24"/>
        </w:rPr>
        <w:t>七、基金份额的申购与赎回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_Toc227915026 \h </w:instrText>
      </w:r>
      <w:r>
        <w:rPr>
          <w:rFonts w:ascii="宋体" w:hAnsi="宋体"/>
          <w:sz w:val="24"/>
        </w:rPr>
        <w:fldChar w:fldCharType="separate"/>
      </w:r>
      <w:r>
        <w:rPr>
          <w:rFonts w:ascii="宋体" w:hAnsi="宋体"/>
          <w:sz w:val="24"/>
        </w:rPr>
        <w:t>52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"_Toc227915027" </w:instrText>
      </w:r>
      <w:r>
        <w:fldChar w:fldCharType="separate"/>
      </w:r>
      <w:r>
        <w:rPr>
          <w:rStyle w:val="18"/>
          <w:rFonts w:hint="eastAsia" w:ascii="宋体" w:hAnsi="宋体"/>
          <w:sz w:val="24"/>
        </w:rPr>
        <w:t>八、基金的转换</w:t>
      </w:r>
      <w:r>
        <w:rPr>
          <w:rFonts w:ascii="宋体" w:hAnsi="宋体"/>
          <w:sz w:val="24"/>
        </w:rPr>
        <w:tab/>
      </w:r>
      <w:r>
        <w:rPr>
          <w:rFonts w:ascii="宋体" w:hAnsi="宋体"/>
          <w:sz w:val="24"/>
        </w:rPr>
        <w:fldChar w:fldCharType="begin"/>
      </w:r>
      <w:r>
        <w:rPr>
          <w:rFonts w:ascii="宋体" w:hAnsi="宋体"/>
          <w:sz w:val="24"/>
        </w:rPr>
        <w:instrText xml:space="preserve"> PAGEREF _Toc227915027 \h </w:instrText>
      </w:r>
      <w:r>
        <w:rPr>
          <w:rFonts w:ascii="宋体" w:hAnsi="宋体"/>
          <w:sz w:val="24"/>
        </w:rPr>
        <w:fldChar w:fldCharType="separate"/>
      </w:r>
      <w:r>
        <w:rPr>
          <w:rFonts w:ascii="宋体" w:hAnsi="宋体"/>
          <w:sz w:val="24"/>
        </w:rPr>
        <w:t>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"_Toc227915028" </w:instrText>
      </w:r>
      <w:r>
        <w:fldChar w:fldCharType="separate"/>
      </w:r>
      <w:r>
        <w:rPr>
          <w:rStyle w:val="18"/>
          <w:rFonts w:hint="eastAsia" w:ascii="宋体" w:hAnsi="宋体"/>
          <w:sz w:val="24"/>
        </w:rPr>
        <w:t>九、基金的投资</w:t>
      </w:r>
      <w:r>
        <w:rPr>
          <w:rFonts w:ascii="宋体" w:hAnsi="宋体"/>
          <w:sz w:val="24"/>
        </w:rPr>
        <w:tab/>
      </w:r>
      <w:r>
        <w:rPr>
          <w:rFonts w:ascii="宋体" w:hAnsi="宋体"/>
          <w:sz w:val="24"/>
        </w:rPr>
        <w:fldChar w:fldCharType="begin"/>
      </w:r>
      <w:r>
        <w:rPr>
          <w:rFonts w:ascii="宋体" w:hAnsi="宋体"/>
          <w:sz w:val="24"/>
        </w:rPr>
        <w:instrText xml:space="preserve"> PAGEREF _Toc227915028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"_Toc227915029" </w:instrText>
      </w:r>
      <w:r>
        <w:fldChar w:fldCharType="separate"/>
      </w:r>
      <w:r>
        <w:rPr>
          <w:rStyle w:val="18"/>
          <w:rFonts w:hint="eastAsia" w:ascii="宋体" w:hAnsi="宋体"/>
          <w:sz w:val="24"/>
        </w:rPr>
        <w:t>十、基金的业绩</w:t>
      </w:r>
      <w:r>
        <w:rPr>
          <w:rFonts w:ascii="宋体" w:hAnsi="宋体"/>
          <w:sz w:val="24"/>
        </w:rPr>
        <w:tab/>
      </w:r>
      <w:r>
        <w:rPr>
          <w:rFonts w:ascii="宋体" w:hAnsi="宋体"/>
          <w:sz w:val="24"/>
        </w:rPr>
        <w:fldChar w:fldCharType="begin"/>
      </w:r>
      <w:r>
        <w:rPr>
          <w:rFonts w:ascii="宋体" w:hAnsi="宋体"/>
          <w:sz w:val="24"/>
        </w:rPr>
        <w:instrText xml:space="preserve"> PAGEREF _Toc227915029 \h </w:instrText>
      </w:r>
      <w:r>
        <w:rPr>
          <w:rFonts w:ascii="宋体" w:hAnsi="宋体"/>
          <w:sz w:val="24"/>
        </w:rPr>
        <w:fldChar w:fldCharType="separate"/>
      </w:r>
      <w:r>
        <w:rPr>
          <w:rFonts w:ascii="宋体" w:hAnsi="宋体"/>
          <w:sz w:val="24"/>
        </w:rPr>
        <w:t>89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"_Toc227915030" </w:instrText>
      </w:r>
      <w:r>
        <w:fldChar w:fldCharType="separate"/>
      </w:r>
      <w:r>
        <w:rPr>
          <w:rStyle w:val="18"/>
          <w:rFonts w:hint="eastAsia" w:ascii="宋体" w:hAnsi="宋体"/>
          <w:sz w:val="24"/>
        </w:rPr>
        <w:t>十一、基金的财产</w:t>
      </w:r>
      <w:r>
        <w:rPr>
          <w:rFonts w:ascii="宋体" w:hAnsi="宋体"/>
          <w:sz w:val="24"/>
        </w:rPr>
        <w:tab/>
      </w:r>
      <w:r>
        <w:rPr>
          <w:rFonts w:ascii="宋体" w:hAnsi="宋体"/>
          <w:sz w:val="24"/>
        </w:rPr>
        <w:fldChar w:fldCharType="begin"/>
      </w:r>
      <w:r>
        <w:rPr>
          <w:rFonts w:ascii="宋体" w:hAnsi="宋体"/>
          <w:sz w:val="24"/>
        </w:rPr>
        <w:instrText xml:space="preserve"> PAGEREF _Toc227915030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"_Toc227915031" </w:instrText>
      </w:r>
      <w:r>
        <w:fldChar w:fldCharType="separate"/>
      </w:r>
      <w:r>
        <w:rPr>
          <w:rStyle w:val="18"/>
          <w:rFonts w:hint="eastAsia" w:ascii="宋体" w:hAnsi="宋体"/>
          <w:sz w:val="24"/>
        </w:rPr>
        <w:t>十二、基金资产的估值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_Toc227915031 \h </w:instrText>
      </w:r>
      <w:r>
        <w:rPr>
          <w:rFonts w:ascii="宋体" w:hAnsi="宋体"/>
          <w:sz w:val="24"/>
        </w:rPr>
        <w:fldChar w:fldCharType="separate"/>
      </w:r>
      <w:r>
        <w:rPr>
          <w:rFonts w:ascii="宋体" w:hAnsi="宋体"/>
          <w:sz w:val="24"/>
        </w:rPr>
        <w:t>96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"_Toc227915032" </w:instrText>
      </w:r>
      <w:r>
        <w:fldChar w:fldCharType="separate"/>
      </w:r>
      <w:r>
        <w:rPr>
          <w:rStyle w:val="18"/>
          <w:rFonts w:hint="eastAsia" w:ascii="宋体" w:hAnsi="宋体"/>
          <w:sz w:val="24"/>
        </w:rPr>
        <w:t>十三、基金收益与分配</w:t>
      </w:r>
      <w:r>
        <w:rPr>
          <w:rFonts w:ascii="宋体" w:hAnsi="宋体"/>
          <w:sz w:val="24"/>
        </w:rPr>
        <w:tab/>
      </w:r>
      <w:r>
        <w:rPr>
          <w:rFonts w:ascii="宋体" w:hAnsi="宋体"/>
          <w:sz w:val="24"/>
        </w:rPr>
        <w:fldChar w:fldCharType="begin"/>
      </w:r>
      <w:r>
        <w:rPr>
          <w:rFonts w:ascii="宋体" w:hAnsi="宋体"/>
          <w:sz w:val="24"/>
        </w:rPr>
        <w:instrText xml:space="preserve"> PAGEREF _Toc227915032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"_Toc227915033" </w:instrText>
      </w:r>
      <w:r>
        <w:fldChar w:fldCharType="separate"/>
      </w:r>
      <w:r>
        <w:rPr>
          <w:rStyle w:val="18"/>
          <w:rFonts w:hint="eastAsia" w:ascii="宋体" w:hAnsi="宋体"/>
          <w:sz w:val="24"/>
        </w:rPr>
        <w:t>十四、基金的费用与税收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_Toc227915033 \h </w:instrText>
      </w:r>
      <w:r>
        <w:rPr>
          <w:rFonts w:ascii="宋体" w:hAnsi="宋体"/>
          <w:sz w:val="24"/>
        </w:rPr>
        <w:fldChar w:fldCharType="separate"/>
      </w:r>
      <w:r>
        <w:rPr>
          <w:rFonts w:ascii="宋体" w:hAnsi="宋体"/>
          <w:sz w:val="24"/>
        </w:rPr>
        <w:t>103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"_Toc227915034" </w:instrText>
      </w:r>
      <w:r>
        <w:fldChar w:fldCharType="separate"/>
      </w:r>
      <w:r>
        <w:rPr>
          <w:rStyle w:val="18"/>
          <w:rFonts w:hint="eastAsia" w:ascii="宋体" w:hAnsi="宋体"/>
          <w:sz w:val="24"/>
        </w:rPr>
        <w:t>十五、基金的会计与审计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_Toc227915034 \h </w:instrText>
      </w:r>
      <w:r>
        <w:rPr>
          <w:rFonts w:ascii="宋体" w:hAnsi="宋体"/>
          <w:sz w:val="24"/>
        </w:rPr>
        <w:fldChar w:fldCharType="separate"/>
      </w:r>
      <w:r>
        <w:rPr>
          <w:rFonts w:ascii="宋体" w:hAnsi="宋体"/>
          <w:sz w:val="24"/>
        </w:rPr>
        <w:t>106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"_Toc227915035" </w:instrText>
      </w:r>
      <w:r>
        <w:fldChar w:fldCharType="separate"/>
      </w:r>
      <w:r>
        <w:rPr>
          <w:rStyle w:val="18"/>
          <w:rFonts w:hint="eastAsia" w:ascii="宋体" w:hAnsi="宋体"/>
          <w:sz w:val="24"/>
        </w:rPr>
        <w:t>十六、基金的信息披露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_Toc227915035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"_Toc227915036" </w:instrText>
      </w:r>
      <w:r>
        <w:fldChar w:fldCharType="separate"/>
      </w:r>
      <w:r>
        <w:rPr>
          <w:rStyle w:val="18"/>
          <w:rFonts w:hint="eastAsia" w:ascii="宋体" w:hAnsi="宋体"/>
          <w:sz w:val="24"/>
        </w:rPr>
        <w:t>十七、侧袋机制</w:t>
      </w:r>
      <w:r>
        <w:rPr>
          <w:rFonts w:ascii="宋体" w:hAnsi="宋体"/>
          <w:sz w:val="24"/>
        </w:rPr>
        <w:tab/>
      </w:r>
      <w:r>
        <w:rPr>
          <w:rFonts w:ascii="宋体" w:hAnsi="宋体"/>
          <w:sz w:val="24"/>
        </w:rPr>
        <w:fldChar w:fldCharType="begin"/>
      </w:r>
      <w:r>
        <w:rPr>
          <w:rFonts w:ascii="宋体" w:hAnsi="宋体"/>
          <w:sz w:val="24"/>
        </w:rPr>
        <w:instrText xml:space="preserve"> PAGEREF _Toc227915036 \h </w:instrText>
      </w:r>
      <w:r>
        <w:rPr>
          <w:rFonts w:ascii="宋体" w:hAnsi="宋体"/>
          <w:sz w:val="24"/>
        </w:rPr>
        <w:fldChar w:fldCharType="separate"/>
      </w:r>
      <w:r>
        <w:rPr>
          <w:rFonts w:ascii="宋体" w:hAnsi="宋体"/>
          <w:sz w:val="24"/>
        </w:rPr>
        <w:t>113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"_Toc227915037"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_Toc227915037 \h </w:instrText>
      </w:r>
      <w:r>
        <w:rPr>
          <w:rFonts w:ascii="宋体" w:hAnsi="宋体"/>
          <w:sz w:val="24"/>
        </w:rPr>
        <w:fldChar w:fldCharType="separate"/>
      </w:r>
      <w:r>
        <w:rPr>
          <w:rFonts w:ascii="宋体" w:hAnsi="宋体"/>
          <w:sz w:val="24"/>
        </w:rPr>
        <w:t>116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"_Toc227915038"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_Toc227915038 \h </w:instrText>
      </w:r>
      <w:r>
        <w:rPr>
          <w:rFonts w:ascii="宋体" w:hAnsi="宋体"/>
          <w:sz w:val="24"/>
        </w:rPr>
        <w:fldChar w:fldCharType="separate"/>
      </w:r>
      <w:r>
        <w:rPr>
          <w:rFonts w:ascii="宋体" w:hAnsi="宋体"/>
          <w:sz w:val="24"/>
        </w:rPr>
        <w:t>124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"_Toc227915039"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_Toc227915039 \h </w:instrText>
      </w:r>
      <w:r>
        <w:rPr>
          <w:rFonts w:ascii="宋体" w:hAnsi="宋体"/>
          <w:sz w:val="24"/>
        </w:rPr>
        <w:fldChar w:fldCharType="separate"/>
      </w:r>
      <w:r>
        <w:rPr>
          <w:rFonts w:ascii="宋体" w:hAnsi="宋体"/>
          <w:sz w:val="24"/>
        </w:rPr>
        <w:t>126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"_Toc227915040"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_Toc227915040 \h </w:instrText>
      </w:r>
      <w:r>
        <w:rPr>
          <w:rFonts w:ascii="宋体" w:hAnsi="宋体"/>
          <w:sz w:val="24"/>
        </w:rPr>
        <w:fldChar w:fldCharType="separate"/>
      </w:r>
      <w:r>
        <w:rPr>
          <w:rFonts w:ascii="宋体" w:hAnsi="宋体"/>
          <w:sz w:val="24"/>
        </w:rPr>
        <w:t>142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"_Toc227915041"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_Toc227915041 \h </w:instrText>
      </w:r>
      <w:r>
        <w:rPr>
          <w:rFonts w:ascii="宋体" w:hAnsi="宋体"/>
          <w:sz w:val="24"/>
        </w:rPr>
        <w:fldChar w:fldCharType="separate"/>
      </w:r>
      <w:r>
        <w:rPr>
          <w:rFonts w:ascii="宋体" w:hAnsi="宋体"/>
          <w:sz w:val="24"/>
        </w:rPr>
        <w:t>155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"_Toc227915042"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_Toc227915042 \h </w:instrText>
      </w:r>
      <w:r>
        <w:rPr>
          <w:rFonts w:ascii="宋体" w:hAnsi="宋体"/>
          <w:sz w:val="24"/>
        </w:rPr>
        <w:fldChar w:fldCharType="separate"/>
      </w:r>
      <w:r>
        <w:rPr>
          <w:rFonts w:ascii="宋体" w:hAnsi="宋体"/>
          <w:sz w:val="24"/>
        </w:rPr>
        <w:t>157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"_Toc227915043"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_Toc227915043 \h </w:instrText>
      </w:r>
      <w:r>
        <w:rPr>
          <w:rFonts w:ascii="宋体" w:hAnsi="宋体"/>
          <w:sz w:val="24"/>
        </w:rPr>
        <w:fldChar w:fldCharType="separate"/>
      </w:r>
      <w:r>
        <w:rPr>
          <w:rFonts w:ascii="宋体" w:hAnsi="宋体"/>
          <w:sz w:val="24"/>
        </w:rPr>
        <w:t>162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"_Toc227915044"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_Toc227915044 \h </w:instrText>
      </w:r>
      <w:r>
        <w:rPr>
          <w:rFonts w:ascii="宋体" w:hAnsi="宋体"/>
          <w:sz w:val="24"/>
        </w:rPr>
        <w:fldChar w:fldCharType="separate"/>
      </w:r>
      <w:r>
        <w:rPr>
          <w:rFonts w:ascii="宋体" w:hAnsi="宋体"/>
          <w:sz w:val="24"/>
        </w:rPr>
        <w:t>163</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27915020"/>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安心收益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安心收益债券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备案。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27915021"/>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1、基金或本基金：指交银施罗德安心收益债券型证券投资基金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2、基金管理人或本基金管理人：指交银施罗德基金管理有限公司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3、基金托管人或本基金托管人：指中国民生银行股份有限公司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4、基金合同或《基金合同》：指《交银施罗德安心收益债券型证券投资基金基金合同》及对基金合同的任何有效修订和补充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5、托管协议：指基金管理人与基金托管人就本基金签订之《交银施罗德安心收益债券型证券投资基金托管协议》及对该托管协议的任何有效修订和补充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6、招募说明书或《招募说明书》或本招募说明书：指《交银施罗德安心收益债券型证券投资基金招募说明书》及其更新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7、基金产品资料概要：指《交银施罗德安心收益债券型证券投资基金基金产品资料概要》及其更新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10、《销售办法》：指中国证监会2013年3月15日颁布、同年6月1日实施的《证券投资基金销售管理办法》及颁布机关对其不时做出的修订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11、《信息披露办法》：指中国证监会2019年7月26日颁布、同年9月1日实施的《公开募集证券投资基金信息披露管理办法》及颁布机关对其不时做出的修订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12、《运作办法》：指中国证监会2014年7月7日颁布、同年8月8日实施的《公开募集证券投资基金运作管理办法》及颁布机关对其不时做出的修订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13、《流动性规定》：指中国证监会2017年8月31日颁布、同年10月1日实施的《公开募集开放式证券投资基金流动性风险管理规定》及颁布机关对其不时做出的修订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15、银行业监督管理机构：指中国人民银行和/或中国银行业监督管理委员会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23、基金销售业务：指基金管理人或销售机构宣传推介基金，销售基金份额，办理基金份额的申购、赎回、转换、转托管及定期定额投资等业务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29、基金合同生效日：指交银施罗德荣和保本混合型证券投资基金第一个保本周期到期期间截止日的次日，即“交银施罗德荣和保本混合型证券投资基金”转型为“交银施罗德安心收益债券型证券投资基金”之日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35、开放日：指为投资人办理基金份额申购、赎回或其他业务的工作日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46、基金资产总值：指基金拥有的各类有价证券、银行存款本息、基金应收申购款及其他资产的价值总和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50、销售服务费：指从基金财产中计提的，用于本基金市场推广、销售以及基金份额持有人服务的费用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51、A类基金份额和D类基金份额：指在投资人申购时收取申购费用且不从本类别基金资产中计提销售服务费的基金份额，A类基金份额与D类基金份额设置不同的申购费、赎回费收取标准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52、C类基金份额和E类基金份额：指在投资人申购时不收取申购费用，并从本类别基金资产中计提销售服务费的基金份额，C类基金份额与E类基金份额设置不同的赎回费收取标准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27915022"/>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项廷锋先生(2015年05月29日至2015年10月06日)；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唐赟先生(2015年11月07日至2019年12月14日)；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王少成先生(2015年11月07日至2018年05月15日)；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王艺伟女士(2019年11月28日至2022年01月26日)。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1、依法募集资金，办理或者委托经中国证监会认定的其他机构办理基金份额的销售、申购、赎回和登记事宜；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27915023"/>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名称：中国民生银行股份有限公司（以下简称“中国民生银行”）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法定代表人：高迎欣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成立日期：1996年2月7日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基金托管业务批准文号：证监基金字［2004］101号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组织形式：其他股份有限公司（上市）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注册资本：43,782,418,502元人民币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联系人：罗菲菲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中国民生银行成立于1996年，是中国第一家主要由民营企业发起设立的全国性股份制商业银行，也是严格按照中国《公司法》和《商业银行法》设立的一家现代金融企业。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成立30年以来，中国民生银行始终秉承“服务大众，情系民生”的企业使命，聚焦“民营企业的银行、敏捷开放的银行、用心服务的银行”战略定位，坚持走市场化、差异化经营之路，努力建设一家特色鲜明、持续创新、价值成长、稳健经营的一流商业银行，致力于成就“长青银行，百年民生”的宏伟愿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108人，平均年龄38岁，100%员工拥有大学本科以上学历，67%以上员工具有硕士以上学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经济观察报》“2025年度卓越养老金托管银行”、《中国经营报》“2025卓越竞争力资产托管银行”、《金融时报》2025年度入选金融高水平开发案例等奖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截至2026年3月31日，中国民生银行托管建信稳定得利债券型证券投资基金、中银新趋势灵活配置混合型证券投资基金等共333只证券投资基金，基金托管规模14246.4724亿元。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1、内部风险控制目标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(1)建立完整、严密、高效的风险控制体系，形成科学的决策机制、执行机制和监督机制，防范和化解经营风险，保障资产托管业务的稳健运行和托管财产的安全完整。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(2)大力培育合规文化，自觉形成守法经营、规范运作的经营思想和经营理念，严格控制合规风险，保证资产托管业务符合国家有关法律法规和行业监管规则。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2、内部风险控制组织结构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3、内部风险控制原则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(1)合法合规原则。风险控制应符合和体现国家法律、法规、规章和各项政策。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(2)全面性原则。风险控制覆盖托管部的各个业务中心、各个岗位和各级人员，并涵盖资产托管业务各环节。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(3)有效性原则。资产托管业务从业人员应全力维护内部控制制度的有效执行，任何人都没有超越制度约束的权力。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(4)预防性原则。必须树立“预防为主”的管理理念，控制资产托管业务中风险发生的源头，防患于未然，尽量避免业务操作中各种问题的产生。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独立性原则。各业务中心、各岗位职能上保持相对独立性。风险合规管理中心是资产托管部下设的执行机构，不受其他业务中心和个人干涉。业务操作人员和检查人员严格分开，以保证风险控制机构的工作不受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(7)相互制约原则。各业务中心、各岗位权责明确，相互牵制，通过切实可行的相互制衡措施来消除风险控制的盲点。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(8)防火墙原则。托管银行自身财务与托管资产财务严格分开；托管业务日常操作部门与行政、研发和营销等部门隔离。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4、内部风险控制制度和措施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(1)制度建设：建立了明确的岗位职责、科学的业务流程、详细的操作手册、严格的人员行为规范等一系列规章制度。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(2)建立健全的组织管理结构：前后台分离，不同部门、岗位相互牵制。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(3)风险识别与评估：定期组织进行风险识别、评估，制定并实施风险控制措施。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(4)相对独立的业务操作空间：业务操作区相对独立，实施门禁管理和音像监控。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(5)人员管理：进行定期的业务与职业道德培训，使员工树立风险防范与控制理念，并签订承诺书。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(6)应急预案：制定完备的应急预案，并组织员工定期演练；建立异地灾备中心，保证业务不中断。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5、资产托管部内部风险控制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中国民生银行股份有限公司从控制环境、风险评估、控制活动、信息沟通、监控等五个方面构建了托管业务风险控制体系。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(2)实施全员风险管理。将风险控制责任落实到具体业务中心和业务岗位，每位员工对自己岗位职责范围内的风险负责。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(3)建立分工明确、相互牵制的风险控制组织结构。我们通过建立纵向双人制，横向多中心制的内部组织结构，形成不同中心、不同岗位相互制衡的组织结构。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制度的执行和监督是风险控制的关键。制度落实检查是风险控制管理的有力保证。资产托管部内部设置风险合规管理中心，依照有关法律规章，定期对业务的运行进行检查。总行审计部不定期对托管业务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(6)将先进的技术手段运用于风险控制中。托管业务系统需求不仅从业务方面而且从风险控制方面都要经过多方论证，托管业务技术系统具有较强的自动风险控制功能。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基金托管人发现基金管理人有重大违规行为，应立即报告中国证监会，同时通知基金管理人限期纠正。</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27915024"/>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（3）名称：北京银行股份有限公司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（7）名称：兴业银行股份有限公司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（12）名称：光大证券股份有限公司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（22）名称：国新证券股份有限公司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（23）名称：西南证券股份有限公司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（24）名称：信达证券股份有限公司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（26）名称：江海证券有限公司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（27）名称：平安证券股份有限公司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（28）名称：国都证券股份有限公司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（29）名称：中国银河证券股份有限公司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（36）名称：长江证券股份有限公司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（37）名称：国元证券股份有限公司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（38）名称：东方证券股份有限公司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（43）名称：玄元保险代理有限公司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（45）名称：上海大智慧基金销售有限公司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（48）名称：上海华夏财富投资管理有限公司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（51）名称：北京虹点基金销售有限公司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（54）名称：万家财富基金销售（天津）有限公司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（56）名称：格上富信投资顾问有限公司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（57）名称：深圳市金斧子基金销售有限公司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（59）名称：北京新浪仓石基金销售有限公司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（60）名称：中证金牛（北京）基金销售有限公司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（61）名称：上海证达通基金销售有限公司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（64）名称：和讯信息科技有限公司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（68）名称：天相投资顾问有限公司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（70）名称：宜信普泽（北京）基金销售有限公司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（71）名称：北京广源达信基金销售有限公司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办公地址：北京市顺义区天祥路6号院北京东航中心T1A-304B室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法定代表人：齐剑辉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客户服务电话：400-616-7531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网址：https://www.niuniufund.com/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（72）名称：深圳市新兰德证券投资咨询有限公司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（73）名称：北京展恒基金销售股份有限公司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（86）名称：阳光人寿保险股份有限公司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负责人：韩炯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名称：毕马威华振会计师事务所(特殊普通合伙)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住所：北京市东城区东长安街1号东方广场2座办公楼8层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办公地址：中国上海南京西路1266号恒隆广场2期25楼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执行事务合伙人：邹俊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电话：+86 (21) 2212 2888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传真：+86 (21) 6288 1889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联系人：侯雯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经办注册会计师：王国蓓、侯雯</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27915025"/>
      <w:r>
        <w:rPr>
          <w:rFonts w:ascii="Times New Roman" w:hAnsi="Times New Roman"/>
          <w:sz w:val="30"/>
        </w:rPr>
        <w:t>六、基金的历史沿革与基金的存续</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本基金由交银施罗德荣和保本混合型证券投资基金转型而来。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和保本混合型证券投资基金经中国证监会《关于准予交银施罗德荣和保本混合型证券投资基金注册的批复》（证监许可[2015]879号）准予募集注册，基金管理人为交银施罗德基金管理有限公司，基金托管人为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和保本混合型证券投资基金自2015年5月25日至2015年5月26日进行公开募集，该基金募集期间基金份额净值为人民币1.00元，按初始面值发售。募集期间募集及利息结转的基金份额共计1,971,186,670.30份基金份额，有效认购户数为10,596户。募集结束后基金管理人向中国证监会办理基金备案手续。经中国证监会书面确认，《交银施罗德荣和保本混合型证券投资基金基金合同》于2015年5月29日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和保本混合型证券投资基金于2018年5月29日第一个保本周期到期，由于不符合保本基金存续条件，按照《交银施罗德荣和保本混合型证券投资基金基金合同》的约定，该基金保本周期到期后转型为非保本的债券型基金，名称相应变更为“交银施罗德安心收益债券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荣和保本混合型证券投资基金的第一个保本周期到期期间为保本周期到期日及之后3个工作日（含第3个工作日），即2018年5月29日至2018年6月1日。自2018年6月2日起交银施罗德荣和保本混合型证券投资基金正式转型为交银施罗德安心收益债券型证券投资基金，转型后的《交银施罗德安心收益债券型证券投资基金基金合同》自该日起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27915026"/>
      <w:r>
        <w:rPr>
          <w:rFonts w:ascii="Times New Roman" w:hAnsi="Times New Roman"/>
          <w:sz w:val="30"/>
        </w:rPr>
        <w:t>七、基金份额的申购与赎回</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本基金A类基金份额已于2018年6月6日起开放申购、赎回业务。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本基金E类基金份额已于2023年8月25日起开放申购、赎回业务。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本基金D类基金份额已于2025年3月28日起开放申购、赎回业务。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本基金C类基金份额已于2025年7月17日起开放申购、赎回业务。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对于由转型前基金转入变更后基金的基金份额，其持有期将从原份额取得之日起连续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以及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份额分为A类基金份额、C类基金份额、D类基金份额和E类基金份额。投资人申购A类基金份额和D类基金份额在申购时支付申购费用；申购C类基金份额和E类基金份额不支付申购费用，并从该类别基金资产中计提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本基金A类基金份额和D类基金份额的申购费用由申购该类基金份额的申购人承担，不列入基金财产，主要用于本基金的市场推广、销售、登记等各项费用。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投资人可以多次申购本基金，A类基金份额和D类基金份额的申购费用按每笔该类基金份额的申购申请单独计算。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本基金对通过基金管理人直销柜台申购本基金A类基金份额或D类基金份额的养老金客户实施特定申购费率。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A类基金份额的特定申购费率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D类基金份额的特定申购费率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各类基金份额收取赎回费用，该费用随基金份额的持有时间递减。本基金A类基金份额、C类基金份额、D类基金份额和E类基金份额的赎回费用由赎回该类基金份额的基金份额持有人承担，赎回费总额的25%应归基金财产，未归入基金财产的部分用于支付登记费和其他必要的手续费。其中，对持续持有期少于7日的基金份额持有人收取不低于1.5%的赎回费并全额计入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A类基金份额的赎回费率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C类基金份额的赎回费率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7日（含）—30天</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30天以上（含）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本基金E类基金份额的赎回费率如下：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E类基金份额的赎回费率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E类基金份额的赎回费率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7日（含）—30天（含）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30天—1年（含）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1年—2年（含）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和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A类基金份额、C类基金份额、D类基金份额或E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A类基金份额、C类基金份额、D类基金份额或E类基金份额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 T日A类基金份额净值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例一：某投资者（非养老金客户）投资100,000元申购本基金A类基金份额，假设申购当日A类基金份额净值为1.0400元，申购费率为0.8%，则其可得到的申购份额为：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净申购金额=100,000/（1+0.8%）=99,206.35元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申购费用=100,000-99,206.35=793.65元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申购份额=（100,000-793.65）/1.0400=95,390.72份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即：某投资者（非养老金客户）投资100,000元申购本基金A类基金份额，假设申购当日A类基金份额净值为1.0400元，则其可得到95,390.72份A类基金份额。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例二：某养老金客户投资100,000元通过基金管理人的直销柜台申购本基金A类基金份额，假设申购当日A类基金份额净值为1.0400元，申购费率为0.32%，则其可得到的申购份额为：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净申购金额=100,000/（1+0.32%）=99,681.02元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申购费用=100,000-99,681.02=318.98元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申购份额=（100,000-318.98）/1.0400=95,847.13份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即：该养老金客户投资100,000元通过基金管理人的直销柜台申购本基金A类基基金份额，假设申购当日A类基金份额净值为1.0400元，则其可得到95,847.13份A类基金份额。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如果投资者选择申购C类基金份额，则申购份额的计算方法如下：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如果投资者选择申购D类基金份额，则申购份额的计算方法如下：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申购份额=净申购金额/T日D类基金份额净值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例四：某投资者（非养老金客户）投资100,000元申购本基金的D类基金份额，假设申购当日D类基金份额净值为1.0400元，申购费率为0.9%，则其可得到的申购份额为：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净申购金额=100,000/（1+0.9%）=99,108.03元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申购费用=100,000-99,108.03=891.97元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申购份额=99,108.03/1.0400=95,296.18份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即：某投资者（非养老金客户）投资100,000元申购本基金D类基金份额，假设申购当日D类基金份额净值为1.0400元，则其可得到95,296.18份D类基金份额。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例五：某养老金客户投资1,000,000元通过基金管理人的直销柜台申购本基金的D类基金份额，假设申购当日D类基金份额净值为1.0400元，申购费率为0.12%，则其可得到的申购份额为：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净申购金额=1,000,000/（1+0.12%）=998,801.44元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申购费用=1,000,000-998,801.44=1,198.56元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申购份额=998,801.44/1.0400=960,386.00份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即：该养老金客户投资1,000,000元通过基金管理人的直销柜台申购本基金的D类基金份额，假设申购当日D类基金份额净值为1.0400元，则其可得到960,386.00份D类基金份额。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（4）E类基金份额的申购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如果投资者选择申购E类基金份额，则申购份额的计算方法如下：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申购份额=申购总金额/T日E类基金份额净值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例六：某投资者投资100,000元申购本基金的E类基金份额，假设申购当日E类基金份额净值为1.0400元，则其可得到的申购份额为：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申购份额＝100,000/1.0400＝96,153.85份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即：投资者投资100,000元申购本基金的E类基金份额，假设申购当日E类基金份额净值为1.0400元，则其可得到96,153.85份E类基金份额。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A类基金份额、C类基金份额、D类基金份额或E类基金份额有效赎回份额乘以当日该类基金份额的基金份额净值并扣除相应的费用（如有），赎回金额单位为元，计算结果保留到小数点后两位，第三位四舍五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投资者赎回A类基金份额，赎回金额的计算方法如下：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例七：某投资者赎回100,000份A类基金份额，持有期限为半年，对应的赎回费率为0.1%，假设赎回当日A类基金份额净值是1.0160元，则其可得到的赎回金额为：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赎回费用=100,000×1.0160×0.1%＝101.60元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赎回金额=100,000×1.0160-101.60＝101,498.40元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即：投资者在持有期限为半年时赎回100,000份A类基金份额，对应的赎回费率为0.1%，假设赎回当日A类基金份额净值是1.0160元，则其可得到的赎回金额为101,498.40元。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（2）C类基金份额的赎回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投资者赎回C类基金份额，赎回金额的计算方法如下：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赎回费用=赎回份额×T日C类基金份额净值×赎回费率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赎回金额=赎回份额×T日C类基金份额净值-赎回费用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例八：某投资者赎回10,000份C类基金份额，持有期限为20日，对应的赎回费率为0.5%，假设赎回当日C类基金份额净值是1.2500元，则其可得到的赎回金额为：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赎回费用=10,000×1.2500×0.5%＝62.50元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赎回金额=10,000×1.2500-62.50＝12,437.50元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即：投资者赎回10,000份C类基金份额，持有期限为20日，对应的赎回费率为0.5%，假设赎回当日C类基金份额净值是1.2500元，则其可得到的赎回金额为12,437.50元。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（3）D类基金份额的赎回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投资者赎回D类基金份额，赎回金额的计算方法如下：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赎回费用=赎回份额×T日D类基金份额净值×赎回费率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赎回金额=赎回份额×T日D类基金份额净值-赎回费用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例九：某投资者赎回100,000份D类基金份额，持有期限为10日，对应的赎回费率为0，假设赎回当日D类基金份额净值是1.0160元，则其可得到的赎回金额为：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赎回费用=100,000×1.0160×0＝0.00元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赎回金额=100,000×1.0160-0.00＝101,600.00元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（4）E类基金份额的赎回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投资者赎回E类基金份额，赎回金额的计算方法如下：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赎回费用=赎回份额×T日E类基金份额净值×赎回费率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赎回金额=赎回份额×T日E类基金份额净值-赎回费用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例十：某投资者赎回10,000份E类基金份额，持有期限为20日，对应的赎回费率为0.5%，假设赎回当日E类基金份额净值是1.2500元，则其可得到的赎回金额为：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赎回费用=10,000×1.2500×0.5%＝62.50元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赎回金额=10,000×1.2500-62.50＝12,437.50元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即：投资者赎回10,000份E类基金份额，持有期限为20日，对应的赎回费率为0.5%，假设赎回当日E类基金份额净值是1.2500元，则其可得到的赎回金额为12,437.50元。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A类基金份额净值＝A类基金份额的基金资产净值总额/发行在外的A类基金份额总数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C类基金份额净值＝C类基金份额的基金资产净值总额/发行在外的C类基金份额总数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D类基金份额净值＝D类基金份额的基金资产净值总额/发行在外的D类基金份额总数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E类基金份额净值＝E类基金份额的基金资产净值总额/发行在外的E类基金份额总数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各类基金份额净值在当天收市后计算，并在T＋1日（包括该日）内公告。遇特殊情况，经中国证监会同意，可以适当延迟计算或公告。本基金各类基金份额的基金份额净值的计算，均保留到小数点后4位，小数点后第5位四舍五入，由此误差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5、基金资产规模过大，使基金管理人无法找到合适的投资品种，或其他可能对基金业绩产生负面影响，或基金管理人认定的其他损害现有基金份额持有人利益的情形。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3、证券交易所交易时间非正常停市，导致基金管理人无法计算当日基金资产净值。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6、继续接受赎回申请将损害现有基金份额持有人利益的情形时，可暂停接受投资人的赎回申请。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8、基金合同约定、法律法规规定或中国证监会认定的其他情形。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该类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受理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2018年6月4日刊登公告自2018年6月6日起开通A类基金份额的定期定额投资计划业务，本基金2023年8月24日刊登公告自2023年8月25日起增设E类基金份额并开通E类基金份额的定期定额投资计划业务，本基金2025年3月27日刊登公告自2025年3月28日起增设D类基金份额并开通D类基金份额的定期定额投资计划业务，本基金2025年7月16日刊登公告自2025年7月17日起增设C类基金份额并开通C类基金份额的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（十六）基金上市交易和场内申购赎回业务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（十八）实施侧袋机制期间本基金的申购与赎回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（十九）其他业务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27915027"/>
      <w:r>
        <w:rPr>
          <w:rFonts w:ascii="Times New Roman" w:hAnsi="Times New Roman"/>
          <w:sz w:val="30"/>
        </w:rPr>
        <w:t>八、基金的转换</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2022年8月10日刊登公告自2022年8月15日起开放A类基金份额的日常转换业务。本基金2023年8月24日刊登公告自2023年8月25日起增设E类基金份额并开通E类基金份额的日常转换业务。本基金2025年3月27日刊登公告自2025年3月28日起增设D类基金份额并开通D类基金份额的日常转换业务。本基金2025年7月16日刊登公告自2025年7月17日起增设C类基金份额并开通C类基金份额的日常转换业务。本基金2025年12月3日刊登公告自2025年12月3日起开放开通同一基金不同类别基金份额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27915028"/>
      <w:r>
        <w:rPr>
          <w:rFonts w:ascii="Times New Roman" w:hAnsi="Times New Roman"/>
          <w:sz w:val="30"/>
        </w:rPr>
        <w:t>九、基金的投资</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在严格控制投资风险和保持资产流动性的基础上，力争实现基金资产的长期稳定增值。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产、权益类资产和现金类资产的配置比例，并根据市场运行状况以及各类资产预期表现的相对变化，动态调整大类资产的配置比例，有效控制基金资产运作风险，提高基金资产风险调整后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1）久期管理策略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3）债券的类属配置策略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4）杠杆放大策略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5）信用债券投资策略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①信用债券研究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②信用债券筛选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本基金从信用债券池中精选债券构建信用债券投资组合，债券筛选主要考虑以下因素：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a）信用债券信用评级的变化。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6）资产支持证券（含资产收益计划）投资策略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7）可转换债券投资策略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（4）权证投资策略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1）投资于债券的比例不低于基金资产的80%；对股票（含存托凭证）、权证等权益类资产的投资比例不高于基金资产净值的20%；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6）本基金管理人管理的全部基金持有的同一权证，不得超过该权证的10%；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流通受限证券，基金管理人应事先根据中国证监会相关规定，与基金托管人签订风险补充协议，协议应包括基金托管人对于基金管理公司是否遵守相关制度、流动性风险处置预案以及相关投资额度和比例的情况进行监督等内容。基金管理人应制订严格的投资决策流程和风险控制制度，防范流动性风险、法律风险和操作风险等各种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变更之日起不超过3个月的时间区间内为其投资转型期，投资转型期的具体起止日期由基金管理人确定并届时公告。基金管理人应当自投资转型期结束日起次个工作日使本基金的投资组合比例符合基金合同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18）、19）项以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如法律、行政法规或监管部门取消上述禁止性规定，如适用于本基金，则履行适当程序后本基金投资不再受相关限制。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本基金的整体业绩比较基准采用：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业绩的比较基准，较为合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本基金为债券型证券投资基金，其长期平均的预期收益和风险高于货币市场基金，低于混合型基金和股票型基金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（七）基金管理人代表基金行使股东及债权人权利的处理原则及方法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（八）侧袋机制的实施和投资运作安排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本基金托管人中国民生银行股份有限公司根据本基金合同规定，于2026年04月20日复核了本报告中的财务指标、净值表现和投资组合报告等内容，保证复核内容不存在虚假记载、误导性陈述或者重大遗漏。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本报告期为2026年01月01日起至03月31日。本报告财务资料未经审计师审计。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1,633,942,502.76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1,633,942,502.76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11,352,023,530.35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11,352,023,530.35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58,000,000.00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182,677,624.94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86,320,933.97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0.65</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13,312,964,592.02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87,411,053.00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1,137,036,573.17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40,548,988.65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36,628,726.12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32,151,670.00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7,668,698.00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73,350,025.82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119,126,545.00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29,720,625.00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7,098,010.00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57,783,438.00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5,418,150.00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1,633,942,502.76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瀚蓝环境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1,649,900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48,408,066.00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174,400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47,145,552.00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696,700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34,319,442.00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万华化学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421,700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33,504,065.00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中国建筑</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6,211,500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31,119,615.00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603889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新澳股份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3,950,642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30,301,424.14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分众传媒</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4,537,500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29,720,625.00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001288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运机集团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931,860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27,070,533.00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扬杰科技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397,300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26,805,831.00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002126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621,692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26,428,126.92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714,632,733.01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3,725,563,273.15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29.72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965,927,110.70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7.71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5,857,754,306.29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46.73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88,146,107.20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11,352,023,530.35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90.56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2,499,120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252,288,560.41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231,736,909.58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26国债01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230,607,263.02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1.84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24渤海银行二级资本债01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209,457,008.22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232480003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24恒丰银行二级资本债01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206,943,287.67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2026年02月14日,央行公示银罚决字[2026]5号行政处罚决定书,给予中国建设银行股份有限公司罚没共计4350.6076万元人民币的行政处罚。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2025年12月18日,国家外汇管理局北京市分局公示京汇罚[2025]49号行政处罚决定书,给予中国工商银行股份有限公司罚没共计1142.59万元人民币的行政处罚。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2025年12月19日,央行公示银罚决字[2025]110号行政处罚决定书,给予中国工商银行股份有限公司罚没共计4396.0709万元人民币的行政处罚。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2025年10月31日,国家金融监督管理总局公示行政处罚决定书,给予中国银行股份有限公司9790万元人民币的行政处罚。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2025年09月12日,国家金融监督管理总局公示行政处罚决定书,给予中国建设银行股份有限公司290万元人民币的行政处罚。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2025年09月12日,国家金融监督管理总局公示行政处罚决定书,给予恒丰银行股份有限公司6150万元人民币的行政处罚。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2025年09月05日,国家金融监督管理总局公示行政处罚决定书,给予浙商银行股份有限公司1130.8万元人民币的行政处罚。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2025年09月30日,央行公示银罚决字[2025]31号行政处罚决定书,给予浙商银行股份有限公司295.99万元人民币的行政处罚。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683,678.67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43,728,244.35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41,909,010.95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86,320,933.97</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11,179,646.10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9,662,723.97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9,147,182.14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9,048,998.08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7,058,154.36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5,441,764.15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4,840,579.85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4,244,106.12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4,184,099.42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3,722,117.05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清源转债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3,299,829.35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3,297,490.02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3,291,941.34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2,616,270.14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2,420,421.14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2,400,056.12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三房转债</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2,290,727.85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27915029"/>
      <w:r>
        <w:rPr>
          <w:rFonts w:ascii="Times New Roman" w:hAnsi="Times New Roman"/>
          <w:sz w:val="30"/>
        </w:rPr>
        <w:t>十、基金的业绩</w:t>
      </w:r>
      <w:bookmarkEnd w:id="1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交银安心收益债券A</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7.76%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2018年度（自基金转型日起至2018年12月31日）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交银安心收益债券C：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2025年度（自基金份额类别首次确认起至2025年12月31日）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交银安心收益债券D</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2025年度（自基金份额类别首次确认起至2025年12月31日）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交银安心收益债券E</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5.93%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2023年度（自基金份额类别首次确认起至2023年12月31日）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注：1、本基金的业绩比较基准为中债综合全价指数。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施罗德荣和保本混合型证券投资基金从2018年6月2日起正式转型为交银施罗德安心收益债券型证券投资基金，本表列示的是本报告期基金转型后的基金净值表现，转型后基金的业绩比较基准为中债综合全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5</w:t>
      </w:r>
      <w:r>
        <w:rPr>
          <w:rFonts w:ascii="宋体" w:hAnsi="宋体"/>
          <w:sz w:val="24"/>
        </w:rPr>
        <w:t>) 交银施罗德荣和保本混合型证券投资基金</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2018年6月1日至2018年6月1日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2018年4月1日至2018年6月1日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2018年1月1日至2018年6月1日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2017年7月1日至2018年6月1日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2015年7月1日至2018年6月1日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自基金合同生效起至2018年6月1日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8.59%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-6.89%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交银施罗德荣和保本混合型证券投资基金从2018年6月2日起正式转型为交银施罗德安心收益债券型证券投资基金，本表列示的是本报告期基金转型前的基金净值表现，转型前基金的业绩比较基准为三年期银行定期存款税后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（1）自基金转型以来基金份额累计净值增长率变动及其与同期业绩比较基准收益率变动的比较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交银施罗德安心收益债券型证券投资基金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（2018年6月2日至2026年03月31日）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(1)交银安心收益债券A</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（2）交银安心收益债券C</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6" o:spt="75" type="#_x0000_t75" style="height:268.5pt;width:439.5pt;" filled="f" o:preferrelative="t" stroked="f" coordsize="21600,21600">
            <v:path/>
            <v:fill on="f" focussize="0,0"/>
            <v:stroke on="f" joinstyle="miter"/>
            <v:imagedata r:id="rId13"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（3）交银安心收益债券D</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268.5pt;width:439.5pt;" filled="f" o:preferrelative="t" stroked="f" coordsize="21600,21600">
            <v:path/>
            <v:fill on="f" focussize="0,0"/>
            <v:stroke on="f" joinstyle="miter"/>
            <v:imagedata r:id="rId14"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（4）交银安心收益债券E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268.5pt;width:439.5pt;" filled="f" o:preferrelative="t" stroked="f" coordsize="21600,21600">
            <v:path/>
            <v:fill on="f" focussize="0,0"/>
            <v:stroke on="f" joinstyle="miter"/>
            <v:imagedata r:id="rId15"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由交银施罗德荣和保本混合型证券投资基金转型而来。本基金转型日为2018年6月2日。本基金的投资转型期为交银施罗德荣和保本混合型证券投资基金保本周期到期期间截止日的次日（即2018年6月2日）起的3个月。截至投资转型期结束，本基金各项资产配置比例符合基金合同及招募说明书有关投资比例的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2、本基金自2023年8月25日起，开始销售E类份额，投资者提交的申购申请于2023年8月28日被确认并将有效份额登记在册。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3、本基金自2025年3月28日起，开始销售D类份额，投资者提交的申购申请于2025年3月31日被确认并将有效份额登记在册。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4、本基金自2025年7月17日起，开始销售C类份额，投资者提交的申购申请于2025年7月22日被确认并将有效份额登记在册。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w:t>
      </w:r>
      <w:r>
        <w:rPr>
          <w:rFonts w:hint="eastAsia" w:ascii="宋体" w:hAnsi="宋体"/>
          <w:sz w:val="24"/>
          <w:lang w:val="en-US" w:eastAsia="zh-CN"/>
        </w:rPr>
        <w:t>2</w:t>
      </w:r>
      <w:bookmarkStart w:id="28" w:name="_GoBack"/>
      <w:bookmarkEnd w:id="28"/>
      <w:r>
        <w:rPr>
          <w:rFonts w:ascii="宋体" w:hAnsi="宋体"/>
          <w:sz w:val="24"/>
        </w:rPr>
        <w:t>）自基金合同生效以来基金份额累计净值增长率变动及其与同期业绩比较基准收益率变动的比较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交银施罗德荣和保本混合型证券投资基金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（2015年5月29日至2018年6月1日）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315pt;width:439.5pt;" filled="f" o:preferrelative="t" stroked="f" coordsize="21600,21600">
            <v:path/>
            <v:fill on="f" focussize="0,0"/>
            <v:stroke on="f" joinstyle="miter"/>
            <v:imagedata r:id="rId16"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27915030"/>
      <w:r>
        <w:rPr>
          <w:rFonts w:ascii="Times New Roman" w:hAnsi="Times New Roman"/>
          <w:sz w:val="30"/>
        </w:rPr>
        <w:t>十一、基金的财产</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27915031"/>
      <w:r>
        <w:rPr>
          <w:rFonts w:ascii="Times New Roman" w:hAnsi="Times New Roman"/>
          <w:sz w:val="30"/>
        </w:rPr>
        <w:t>十二、基金资产的估值</w:t>
      </w:r>
      <w:bookmarkEnd w:id="1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基金所拥有的股票、债券、衍生工具和其它投资等持续以公允价值计量的金融资产及负债。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本基金所持有的投资品种，按如下原则进行估值：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5、如有充足理由认为按原有方法进行估值不能客观反映上述资产或负债公允价值的，基金管理人可根据具体情况与基金托管人商定后，按最能反映公允价值的方法估值。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6、存在相关法律法规以及监管部门有相关规范的，从其规定。如有新增事项，按监管部门最新规定估值。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（九）实施侧袋机制期间的基金资产估值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27915032"/>
      <w:r>
        <w:rPr>
          <w:rFonts w:ascii="Times New Roman" w:hAnsi="Times New Roman"/>
          <w:sz w:val="30"/>
        </w:rPr>
        <w:t>十三、基金收益与分配</w:t>
      </w:r>
      <w:bookmarkEnd w:id="1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1、在符合有关基金分红条件的前提下，基金每年收益分配次数最多为12次，每份基金份额每次分配比例不得低于收益分配基准日每份基金份额可供分配利润的10%；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收益分配方式分为现金分红与红利再投资，投资人可选择现金红利或将现金红利按除权日的单位净值自动转为相应类别的基金份额进行再投资；若投资人不选择，本基金默认的收益分配方式是现金分红；基金份额持有人可对其持有的各类基金份额分别选择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于本基金A类基金份额和D类基金份额不收取销售服务费，C类基金份额和E类基金份额收取销售服务费，各基金份额类别对应的可供分配利润将有所不同；本基金同一基金份额类别的每一基金份额享有同等收益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基金红利发放日距离收益分配基准日（即可供分配利润计算截止日）的时间不得超过15个工作日。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人的现金红利小于一定金额，不足以支付银行转账或其他手续费用时，登记机构可将基金份额持有人的现金红利自动转为相应类别的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27915033"/>
      <w:r>
        <w:rPr>
          <w:rFonts w:ascii="Times New Roman" w:hAnsi="Times New Roman"/>
          <w:sz w:val="30"/>
        </w:rPr>
        <w:t>十四、基金的费用与税收</w:t>
      </w:r>
      <w:bookmarkEnd w:id="1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9、本基金从C类基金份额和E类基金份额的基金财产中计提的销售服务费；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基金管理费按前一日基金资产净值的0.5%年费率计提。管理费的计算方法如下：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H＝E×0.5%÷当年天数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于次月首日起3个工作日内向基金托管人发送基金管理费划付指令，经基金托管人复核后于3个工作日内从基金财产中一次性支付给基金管理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基金托管费按前一日基金资产净值的0.1%的年费率计提。托管费的计算方法如下：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H＝E×0.1%÷当年天数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于次月首日起3个工作日内向基金托管人发送基金托管费划付指令，经基金托管人复核后于3个工作日内从基金财产中一次性支付给基金托管人。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（3）C类基金份额和E类基金份额的销售服务费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本基金A类基金份额和D类基金份额不收取销售服务费，C类基金份额和E类基金份额的销售服务费按前一日该类基金资产净值的0.4%年费率计提。计算方法如下：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H＝E×0.4%÷当年天数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H为C类/E类基金份额每日应计提的销售服务费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E为C类/E类基金份额前一日基金资产净值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和E类基金份额销售服务费每日计提，按月支付。由基金管理人向基金托管人发送销售服务费划付指令，基金托管人复核后于次月首日起5个工作日内从基金资产中一次性支付给基金管理人，由基金管理人代付给销售机构。若遇法定节假日、休息日或不可抗力致使无法按时支付的，顺延至最近可支付日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C类基金份额和E类基金份额的销售服务费将专门用于本基金的推广、销售与基金份额持有人服务。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（4）上述“（一）基金费用的种类”中第3－8项、第10项费用，根据有关法律法规及相应协议规定，按费用实际支出金额列入当期费用，由基金托管人从基金财产中支付。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（五）实施侧袋机制期间的基金费用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本基金运作过程中涉及的各纳税主体，其纳税义务按国家税收法律、法规执行。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27915034"/>
      <w:r>
        <w:rPr>
          <w:rFonts w:ascii="Times New Roman" w:hAnsi="Times New Roman"/>
          <w:sz w:val="30"/>
        </w:rPr>
        <w:t>十五、基金的会计与审计</w:t>
      </w:r>
      <w:bookmarkEnd w:id="1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27915035"/>
      <w:r>
        <w:rPr>
          <w:rFonts w:ascii="Times New Roman" w:hAnsi="Times New Roman"/>
          <w:sz w:val="30"/>
        </w:rPr>
        <w:t>十六、基金的信息披露</w:t>
      </w:r>
      <w:bookmarkEnd w:id="1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（一）本基金的信息披露应符合《基金法》、《运作办法》、《信息披露办法》、《流动性规定》、《基金合同》及其他有关规定。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基金管理人应当在不晚于半年度和年度最后一日的次日，在指定网站披露半年度和年度最后一日各类基金份额所对应的基金份额净值和基金份额累计净值。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（14）管理费、托管费、销售服务费、申购费、赎回费等费用计提标准、计提方式和费率发生变更；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（15）任一类基金份额净值计价错误达该类基金份额净值百分之零点五；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（八）本基金信息披露事项以法律法规规定及本章节约定的内容为准。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27915036"/>
      <w:r>
        <w:rPr>
          <w:rFonts w:ascii="Times New Roman" w:hAnsi="Times New Roman"/>
          <w:sz w:val="30"/>
        </w:rPr>
        <w:t>十七、侧袋机制</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1、本基金实施侧袋机制的，管理费和托管费等按主袋账户基金资产净值作为基数计提。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27915037"/>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6、债券收益率曲线变动风险。是指收益率曲线没有按预期变化导致基金投资决策出现偏差。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（四）交易对手违约风险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1、本基金是债券型基金，投资于债券的比例不低于基金资产的80%，因投资债券类资产而面临债券类资产市场的系统性风险和个券风险；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3、本基金在主要投资于债券类资产的同时也积极关注股票、权证市场的投资机会，会因投资权益类资产而面临的权益类资产市场的系统性风险和个券风险；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（六）投资资产支持证券的特定风险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27915038"/>
      <w:r>
        <w:rPr>
          <w:rFonts w:ascii="Times New Roman" w:hAnsi="Times New Roman"/>
          <w:sz w:val="30"/>
        </w:rPr>
        <w:t>十九、基金合同的变更、终止与基金财产的清算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27915039"/>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1）依法募集资金，办理或者委托经中国证监会认定的其他机构办理基金份额的销售、申购、赎回和登记事宜；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4）根据相关市场规则，为基金开设资金账户、证券账户等投资所需账户、为基金办理证券交易资金清算；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8）复核、审查基金管理人计算的基金资产净值、各类基金份额净值、基金份额申购、赎回价格；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同一类别的每份基金份额具有同等的合法权益。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3）依法并按照基金合同和招募说明书的规定申请赎回或转让其持有的基金份额；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4）缴纳基金申购款项及法律法规和《基金合同》所规定的费用；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5）提高基金管理人、基金托管人的报酬标准或提高销售服务费率，但法律法规要求提高该等报酬标准的除外；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1）调低基金管理费、基金托管费和其他应由本基金或基金份额持有人承担的费用；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3）在法律法规和《基金合同》规定的范围内，且在对现有基金份额持有人利益无实质性不利影响的前提下调整本基金的申购费率、调低赎回费率及销售服务费率、变更或增加收费方式；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4）在符合法律法规及本基金合同规定、并且对基金份额持有人利益无实质不利影响的前提下，调整基金份额类别设置、对基金份额分类办法及规则进行调整；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5）因相应的法律法规或登记机构的相关业务规则发生变动而应当对《基金合同》进行修改；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7）在法律法规和《基金合同》规定的范围内，且在对现有基金份额持有人利益无实质性不利影响的前提下，基金推出新业务或服务；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8）按照法律法规和《基金合同》规定不需召开基金份额持有人大会的以外的其他情形。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向中国证监会报告并提出解决方案，并召开基金份额持有人大会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基金份额持有人大会决定的事项自表决通过之日起生效，召集人应当自通过之日起5日内报中国证监会备案。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9、实施侧袋机制期间基金份额持有人大会的特殊约定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（五）基金合同存放及投资者取得基金合同的方式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27915040"/>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名称：中国民生银行股份有限公司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法定代表人：高迎欣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成立日期：1996年2月7日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基金托管业务批准文号：证监基金字[2004]101号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组织形式：其他股份有限公司（上市）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注册资本：43,782,418,502元人民币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存续期间：1996年02月07日至长期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经国务院银行业监督管理机构批准的其他业务；保险兼业代理业务；证券投资基金销售、证券投资基金托管。（市场主体依法自主选择经营项目，开展经营活动；保险兼业代理业务、证券投资基金销售、证券投资基金托管以及依法须经批准的项目，经相关部门批准后依批准的内容开展经营活动；不得从事国家和本市产业政策禁止和限制类项目的经营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2、基金托管人根据有关法律法规的规定及基金合同的约定，对基金投资比例进行监督。基金托管人按下述比例和调整期限进行监督：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1）投资于债券的比例不低于基金资产的80%；对股票（含存托凭证）、权证等权益类资产的投资比例不高于基金资产净值的20%；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4）本基金管理人管理的全部基金持有一家公司发行的证券，不超过该证券的10%；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5）本基金持有的全部权证，其市值不得超过基金资产净值的3%；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6）本基金管理人管理的全部基金持有的同一权证，不得超过该权证的10%；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7）本基金在任何交易日买入权证的总金额，不得超过上一交易日基金资产净值的0.5%；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14）本基金进入全国银行间同业市场进行债券回购的资金余额不得超过基金资产净值的40%；债券回购最长期限为1年，债券回购到期后不得展期；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15）本基金的基金资产总值不得超过基金资产净值的140%；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险、法律风险和操作风险等各种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自变更之日起不超过3个月的时间区间内为其投资转型期，投资转型期的具体起止日期由基金管理人确定并届时公告。基金管理人应当自投资转型期结束日起次个工作日使本基金的投资组合比例符合基金合同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2）、（12）、（18）、（19）项以外，因证券市场波动、证券发行人合并、基金规模变动、股权分置改革中支付对价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及时向基金托管人说明理由，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视情况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5、基金托管人根据有关法律法规的规定及基金合同的约定，对基金管理人投资流通受限证券进行监督。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管理人应与基金托管人签订风险补充协议，协议应包括基金托管人对基金管理人是否遵守相关制度、流动性风险处置预案以及相关投资额度和比例等的情况进行监督等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的流通受限证券须为经中国证监会批准的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本基金投资的流通受限证券限于可由中国证券登记结算有限责任公司或中央国债登记结算有限责任公司、银行间清算所股份有限公司负责登记和存管，并可在证券交易所或全国银行间债券市场交易的证券。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由基金管理人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本基金投资流通受限证券，不得预付任何形式的保证金。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对本基金因投资流通受限证券导致的流动性风险，基金托管人不承担任何责任。如因基金管理人违反基金合同或预先确定的投资流通受限证券的比例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（3）本基金有关投资流通受限证券比例如违反有关限制规定，在合理期限内未能进行及时调整，基金管理人应在两个工作日内编制临时报告书，予以公告。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（4）基金托管人根据有关规定有权对基金管理人进行以下事项监督：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1）本基金投资流通受限证券时的法律法规遵守情况。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2）在基金投资流通受限证券管理工作方面有关制度、流动性风险处置预案的建立与完善情况。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3）有关比例限制的执行情况。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4）信息披露情况。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（5）相关法律法规对基金投资流通受限证券有新规定的，从其规定。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基金管理人根据法律、法规、监管部门的规定，制定了经公司董事会批准的基金投资中期票据相关制度(以下简称“《制度》”)，以规范对中期票据的投资决策流程、风险控制。基金管理人《制度》的内容与本协议不一致的，以本协议的约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管理的基金在投资中期票据前，基金管理人须根据法律、法规、监管部门的规定，制定严格的关于投资中期票据的风险控制制度和流动性风险处置预案，并与基金托管人签订相关的补充协议，对投资该类产品的风险控制事项予以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此承诺将严格执行该风险控制制度和流动性风险处置预案。基金托管人对基金管理人是否遵守前述风险控制制度和流动性风险处置预案以及基金管理人投资中期票据的额度和比例进行监督。基金托管人如认真履行了上述监督责任，则就基金管理人因投资中期票据所导致的各种风险及后果不承担任何责任。如基金托管人认真履行了上述监督责任，则因基金管理人违反基金合同或预先确定的投资中期票据的比例导致本基金出现损失致使基金托管人承担连带赔偿责任的，基金管理人应赔偿基金托管人由此遭受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（1）基金投资中期票据应遵循以下投资限制：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1）中期票据属于固定收益类证券，基金投资中期票据应符合法律、法规及《基金合同》中关于该基金投资固定收益类证券的相关比例及期限限制；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2）基金管理人管理的全部公募基金投资于一家企业发行的单期中期票据合计不超过该期证券的10%。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（2）基金托管人对基金管理人流动性风险处置的监督职责限于：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对基金投资中期票据是否符合比例限制进行监督，如发现异常情况，应及时以书面形式通知基金管理人。基金管理人应积极配合和协助基金托管人的监督和核查。基金管理人接到通知后应及时核对并向基金托管人说明原因和解决措施。基金托管人有权随时对所通知事项进行复查,督促基金管理人改正。基金管理人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因证券市场波动、证券发行人合并、基金规模变动等基金管理人之外的因素，基金管理人投资的中期票据超过投资比例的，基金托管人有权要求基金管理人在10个交易日内将中期票据调整至规定的比例要求，但中国证监会规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由此造成的损失由基金管理人承担，并及时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（2）基金管理人、基金托管人因依法解散、被依法撤销或者被依法宣告破产等原因进行清算的，基金财产不属于其清算财产。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（3）基金托管人应安全保管基金财产。未经基金管理人依据合法程序作出的合法合规指令，基金托管人不得自行运用、处分、分配基金的任何财产。非因基金财产本身承担的债务，不得对基金财产强制执行。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（4）基金托管人按照规定开设基金财产的资金账户和证券账户。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（5）基金托管人对所托管的不同基金财产分别设置账户，与基金托管人的其他业务和其他基金的托管业务实行严格的分账管理，确保基金财产的完整与独立。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（6）基金托管人根据基金管理人的指令，按照基金合同和本协议的约定保管基金财产，如有特殊情况双方可另行协商解决。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安心收益债券型证券投资基金由交银施罗德荣和保本混合型证券投资基金转型而来。交银施罗德荣和保本混合型证券投资基金已按照法律法规及监管机构要求完成募集，募集资金经普华永道中天会计师事务所（特殊普通合伙）验资，募集所有资金已全额划入该基金基金托管专户。《交银施罗德荣和保本混合型证券投资基金基金合同》已于2015年5月29日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（1）基金托管人应负责本基金的银行账户的开设和管理。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（2）基金托管人应以本基金名义在其营业机构开立基金的银行账户，并根据基金管理人合法合规的指令办理资金收付。本基金的银行预留印鉴由基金托管人保管和使用。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（4）基金银行账户的开立和管理应符合银行业监督管理机构的有关规定。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（5）在符合法律法规规定的条件下，基金托管人可以通过基金托管人专用账户办理基金资产的支付。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（1）基金托管人在中国证券登记结算有限责任公司上海分公司、深圳分公司为本基金开立基金托管人与本基金联名的证券账户。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书面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银行间清算所股份有限公司的有关规定，以本基金的名义在中央国债登记结算有限责任公司、银行间清算所股份有限公司开立债券托管账户，并代表基金进行银行间市场债券的结算。基金管理人和基金托管人共同代表基金签订全国银行间债券市场债券回购主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（1）因业务发展需要而开立的其他账户，可以根据法律法规和基金合同的规定开立，在基金管理人和基金托管人商议后由基金托管人负责开立。新账户按有关规定使用并管理。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但基金托管人应妥善保管保管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重大合同的保管期限为基金合同终止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类基金份额的基金份额净值是指计算日该类基金份额的基金资产净值除以计算日该类基金份额总数的数值，各类基金份额的基金份额净值的计算，均精确到0.0001元，小数点后第五位四舍五入，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基金管理人于每个工作日计算各类基金份额的基金资产净值及基金份额净值，经基金托管人复核，按规定公告。如遇特殊情况，经中国证监会同意，可以适当延迟计算或公告。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工作日对基金资产进行估值后，将各类基金份额净值结果以双方约定的方式提交给基金托管人，经基金托管人复核无误后，以约定的方式将复核结果提交给基金管理人，由基金管理人依据基金合同和有关法律法规对外公布。月末、年中和年末估值复核与基金会计账目的核对同时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因本托管协议产生或与之相关的争议，双方当事人应通过协商、调解解决，协商、调解不能解决的，任何一方均有权将争议提交中国国际经济贸易仲裁委员会进行仲裁，仲裁地点为北京市，按照中国国际经济贸易仲裁委员会届时有效的仲裁规则进行仲裁。仲裁裁决是终局的，对本托管协议双方当事人均有约束力，除非仲裁裁决另有规定，仲裁费用、律师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争议处理期间，本托管协议双方当事人应恪守基金管理人和基金托管人职责，各自继续忠实、勤勉、尽责地履行基金合同和本托管协议规定的义务，维护基金份额持有人的合法权益。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本托管协议双方当事人经协商一致，可以对本托管协议进行修改。修改后的新托管协议，其内容不得与基金合同的规定有任何冲突。基金托管协议的变更应报中国证监会备案。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（4）发生法律法规、监管部门或基金合同规定的其他终止事项。</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27915041"/>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1、基金合同生效后的每次交易结束后，投资人可在T+2个工作日后通过销售机构的网点查询和打印确认单；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各类基金份额的申购、赎回、定期定额投资、转换等业务。通过网上直销交易平台办理本基金A类基金份额申购和定期定额投资业务的个人投资者将享受前端申购费率的优惠，其他费率标准不变。具体优惠费率请参见公司网站列示的网上直销申购、定期定额投资费率表或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本基金已开通转换业务，具体实施方法请参见相关公告。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27915042"/>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交银施罗德基金管理有限公司关于调整交银施罗德安心收益债券型证券投资基金管理费率与托管费率并修改基金合同等法律文件的公告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交银施罗德安心收益债券型证券投资基金（E类份额）基金产品资料概要更新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关于交银施罗德安心收益债券型证券投资基金销售服务费优惠活动的公告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交银施罗德安心收益债券型证券投资基金修改基金合同的公告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交银施罗德安心收益债券型证券投资基金基金合同更新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交银施罗德安心收益债券型证券投资基金托管协议更新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交银施罗德安心收益债券型证券投资基金（E类份额）基金产品资料概要更新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交银施罗德基金管理有限公司关于交银施罗德安心收益债券型证券投资基金C类基金份额费率情况公告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交银施罗德基金管理有限公司关于增加申万宏源西部证券有限公司为旗下基金的销售机构的公告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交银施罗德基金管理有限公司关于增加申万宏源证券有限公司为旗下基金的销售机构的公告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交银施罗德基金管理有限公司关于增加国泰海通证券股份有限公司为旗下基金的销售机构的公告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2025-08-12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关于增加珠海盈米基金销售有限公司为旗下基金的销售机构的公告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交银施罗德基金管理有限公司关于增加京东肯特瑞基金销售有限公司为旗下基金的销售机构的公告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交银施罗德基金管理有限公司关于增加上海浦东发展银行股份有限公司为旗下基金的销售机构的公告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交银施罗德基金管理有限公司关于增加上海联泰基金销售有限公司为旗下基金的销售机构的公告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交银施罗德基金管理有限公司关于交银施罗德安心收益债券型证券投资基金开通同一基金不同类别基金份额转换业务的公告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交银施罗德基金管理有限公司关于交银施罗德安心收益债券型证券投资基金投资范围增加存托凭证并相应修改法律文件的公告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交银施罗德安心收益债券型证券投资基金（A类份额）基金产品资料概要更新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交银施罗德安心收益债券型证券投资基金（E类份额）基金产品资料概要更新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交银施罗德基金管理有限公司关于交银施罗德安心收益债券型证券投资基金于2026年“春节”假期暂停大额申购（转换转入、定期定额投资）业务的公告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交银施罗德基金管理有限公司关于旗下部分基金参与交通银行股份有限公司前端申购、定期定额投资费率优惠的公告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交银施罗德安心收益债券型证券投资基金2026年第1季度报告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27915043"/>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27915044"/>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（一）中国证监会准予交银施罗德荣和保本混合型证券投资基金募集注册的文件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（二）《交银施罗德安心收益债券型证券投资基金基金合同》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（三）《交银施罗德安心收益债券型证券投资基金托管协议》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（六）关于申请募集注册交银施罗德荣和保本混合型证券投资基金的法律意见书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（七）关于交银施罗德荣和保本混合型证券投资基金保本周期到期转型及基金合同修改的法律意见书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163</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交银施罗德安心收益债券型证券投资基金招募说明书更新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交银施罗德安心收益债券型证券投资基金招募说明书更新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交银施罗德安心收益债券型证券投资基金招募说明书更新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4202"/>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6294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C7B76"/>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E7F9D"/>
    <w:rsid w:val="00FF459F"/>
    <w:rsid w:val="00FF4D4F"/>
    <w:rsid w:val="1A113708"/>
    <w:rsid w:val="283903C5"/>
    <w:rsid w:val="4D8212ED"/>
    <w:rsid w:val="68451BF6"/>
    <w:rsid w:val="6BCC1170"/>
    <w:rsid w:val="784514AE"/>
    <w:rsid w:val="7AB60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qFormat/>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164</Pages>
  <Words>17113</Words>
  <Characters>97547</Characters>
  <Lines>812</Lines>
  <Paragraphs>228</Paragraphs>
  <TotalTime>23</TotalTime>
  <ScaleCrop>false</ScaleCrop>
  <LinksUpToDate>false</LinksUpToDate>
  <CharactersWithSpaces>114432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系统用户</dc:creator>
  <cp:lastModifiedBy>haotingting</cp:lastModifiedBy>
  <cp:lastPrinted>2013-02-18T03:10:00Z</cp:lastPrinted>
  <dcterms:modified xsi:type="dcterms:W3CDTF">2026-04-27T03:17:11Z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101220FB075F4F2E9413F9E8DCB433FE</vt:lpwstr>
  </property>
</Properties>
</file>