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B3B34">
      <w:pPr>
        <w:rPr>
          <w:sz w:val="32"/>
        </w:rPr>
      </w:pPr>
    </w:p>
    <w:p w:rsidR="00C92FC0" w:rsidRPr="00EB07BC" w:rsidRDefault="000B3B34">
      <w:pPr>
        <w:rPr>
          <w:sz w:val="32"/>
        </w:rPr>
      </w:pPr>
    </w:p>
    <w:p w:rsidR="00C92FC0" w:rsidRPr="00EB07BC" w:rsidRDefault="000B3B34">
      <w:pPr>
        <w:rPr>
          <w:sz w:val="32"/>
        </w:rPr>
      </w:pPr>
    </w:p>
    <w:p w:rsidR="00F942D7" w:rsidRDefault="00F942D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942D7" w:rsidRDefault="00F942D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942D7" w:rsidRDefault="00F942D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942D7" w:rsidRDefault="0033531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交银施罗德安享稳健养老目标一年持有期混合型基金中基金（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F942D7" w:rsidRDefault="0033531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F942D7" w:rsidRDefault="00F942D7">
      <w:pPr>
        <w:snapToGrid w:val="0"/>
        <w:spacing w:line="360" w:lineRule="auto"/>
        <w:jc w:val="center"/>
        <w:rPr>
          <w:rFonts w:ascii="宋体" w:hAnsi="宋体"/>
          <w:b/>
          <w:sz w:val="30"/>
          <w:szCs w:val="30"/>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33531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F942D7" w:rsidRDefault="0033531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F942D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942D7" w:rsidRDefault="0033531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F942D7" w:rsidRDefault="00F942D7">
      <w:pPr>
        <w:autoSpaceDE w:val="0"/>
        <w:autoSpaceDN w:val="0"/>
        <w:adjustRightInd w:val="0"/>
        <w:snapToGrid w:val="0"/>
        <w:spacing w:line="360" w:lineRule="auto"/>
        <w:ind w:left="1347" w:rightChars="6" w:right="13"/>
        <w:rPr>
          <w:rFonts w:ascii="宋体" w:hAnsi="宋体"/>
          <w:kern w:val="0"/>
          <w:sz w:val="32"/>
          <w:szCs w:val="32"/>
        </w:rPr>
        <w:sectPr w:rsidR="00F942D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F942D7" w:rsidRDefault="00335319">
      <w:pPr>
        <w:pStyle w:val="1"/>
        <w:snapToGrid w:val="0"/>
        <w:spacing w:beforeLines="0" w:before="240" w:after="240"/>
        <w:rPr>
          <w:rFonts w:ascii="宋体" w:hAnsi="宋体"/>
          <w:kern w:val="0"/>
        </w:rPr>
      </w:pPr>
      <w:bookmarkStart w:id="0" w:name="_Toc324920538"/>
      <w:bookmarkStart w:id="1" w:name="_Toc496884613"/>
      <w:bookmarkStart w:id="2" w:name="_Toc227915033"/>
      <w:r>
        <w:rPr>
          <w:rFonts w:ascii="Times New Roman" w:hAnsi="Times New Roman"/>
          <w:kern w:val="0"/>
        </w:rPr>
        <w:lastRenderedPageBreak/>
        <w:t>重要提示</w:t>
      </w:r>
      <w:bookmarkEnd w:id="0"/>
      <w:bookmarkEnd w:id="1"/>
      <w:bookmarkEnd w:id="2"/>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交银施罗德安享稳健养老目标一年持有期混合型基金中基金（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2197</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日正式生效。</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基金中基金的特有风险；因受到经济因素、政治因素、投资心理和交易制度等各种因素的影响而引起的市场风险；基金管理人在基金管理运作过程中产生的基金管理风险；流动性风险；信用风险；投资资产支持证券的特定风险；投资流通受限证券的特定风险；投资科创板股票的特定风险；投资本基金的其他风险等等。本基金为混合型基金中基金，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本基金为养老目标基金，致力于满足投资者的养老资金理财需求，但养老目标基金并不代表收益保障或其他任何形式的收益承诺。本基金非保本产品，存在投资者承担亏损的可能性。</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本基金定位为稳健型目标风险策略基金，本基金投资于股票（含存托凭证）、股票型基金（包括股票指数基金）、混合型基金和商品基金（含商品期货基金和黄金</w:t>
      </w:r>
      <w:r>
        <w:rPr>
          <w:rFonts w:ascii="Times New Roman" w:hAnsi="Times New Roman"/>
          <w:kern w:val="0"/>
          <w:sz w:val="24"/>
        </w:rPr>
        <w:t>ETF</w:t>
      </w:r>
      <w:r>
        <w:rPr>
          <w:rFonts w:ascii="Times New Roman" w:hAnsi="Times New Roman"/>
          <w:kern w:val="0"/>
          <w:sz w:val="24"/>
        </w:rPr>
        <w:t>）等品种的比例合计占基金资产的</w:t>
      </w:r>
      <w:r>
        <w:rPr>
          <w:rFonts w:ascii="Times New Roman" w:hAnsi="Times New Roman"/>
          <w:kern w:val="0"/>
          <w:sz w:val="24"/>
        </w:rPr>
        <w:t>0%-30%</w:t>
      </w:r>
      <w:r>
        <w:rPr>
          <w:rFonts w:ascii="Times New Roman" w:hAnsi="Times New Roman"/>
          <w:kern w:val="0"/>
          <w:sz w:val="24"/>
        </w:rPr>
        <w:t>。其中投资于权益类资产（包括股票（含存托凭证）、股票型基金、混合型基金）的战略配置目标比例为</w:t>
      </w:r>
      <w:r>
        <w:rPr>
          <w:rFonts w:ascii="Times New Roman" w:hAnsi="Times New Roman"/>
          <w:kern w:val="0"/>
          <w:sz w:val="24"/>
        </w:rPr>
        <w:t>25%</w:t>
      </w:r>
      <w:r>
        <w:rPr>
          <w:rFonts w:ascii="Times New Roman" w:hAnsi="Times New Roman"/>
          <w:kern w:val="0"/>
          <w:sz w:val="24"/>
        </w:rPr>
        <w:t>，投资比例为基金资产的</w:t>
      </w:r>
      <w:r>
        <w:rPr>
          <w:rFonts w:ascii="Times New Roman" w:hAnsi="Times New Roman"/>
          <w:kern w:val="0"/>
          <w:sz w:val="24"/>
        </w:rPr>
        <w:t>15%-30%</w:t>
      </w:r>
      <w:r>
        <w:rPr>
          <w:rFonts w:ascii="Times New Roman" w:hAnsi="Times New Roman"/>
          <w:kern w:val="0"/>
          <w:sz w:val="24"/>
        </w:rPr>
        <w:t>。其中混合型基金需符合下列两个条件之一：</w:t>
      </w:r>
      <w:r>
        <w:rPr>
          <w:rFonts w:ascii="Times New Roman" w:hAnsi="Times New Roman"/>
          <w:kern w:val="0"/>
          <w:sz w:val="24"/>
        </w:rPr>
        <w:t>1</w:t>
      </w:r>
      <w:r>
        <w:rPr>
          <w:rFonts w:ascii="Times New Roman" w:hAnsi="Times New Roman"/>
          <w:kern w:val="0"/>
          <w:sz w:val="24"/>
        </w:rPr>
        <w:t>、基金合同中明确约定股票投资占基金资产的比例为</w:t>
      </w:r>
      <w:r>
        <w:rPr>
          <w:rFonts w:ascii="Times New Roman" w:hAnsi="Times New Roman"/>
          <w:kern w:val="0"/>
          <w:sz w:val="24"/>
        </w:rPr>
        <w:t>50%</w:t>
      </w:r>
      <w:r>
        <w:rPr>
          <w:rFonts w:ascii="Times New Roman" w:hAnsi="Times New Roman"/>
          <w:kern w:val="0"/>
          <w:sz w:val="24"/>
        </w:rPr>
        <w:t>以上；</w:t>
      </w:r>
      <w:r>
        <w:rPr>
          <w:rFonts w:ascii="Times New Roman" w:hAnsi="Times New Roman"/>
          <w:kern w:val="0"/>
          <w:sz w:val="24"/>
        </w:rPr>
        <w:t>2</w:t>
      </w:r>
      <w:r>
        <w:rPr>
          <w:rFonts w:ascii="Times New Roman" w:hAnsi="Times New Roman"/>
          <w:kern w:val="0"/>
          <w:sz w:val="24"/>
        </w:rPr>
        <w:t>、最近</w:t>
      </w:r>
      <w:r>
        <w:rPr>
          <w:rFonts w:ascii="Times New Roman" w:hAnsi="Times New Roman"/>
          <w:kern w:val="0"/>
          <w:sz w:val="24"/>
        </w:rPr>
        <w:t>4</w:t>
      </w:r>
      <w:r>
        <w:rPr>
          <w:rFonts w:ascii="Times New Roman" w:hAnsi="Times New Roman"/>
          <w:kern w:val="0"/>
          <w:sz w:val="24"/>
        </w:rPr>
        <w:t>个季度披露的股票投资占基金资产的比例均在</w:t>
      </w:r>
      <w:r>
        <w:rPr>
          <w:rFonts w:ascii="Times New Roman" w:hAnsi="Times New Roman"/>
          <w:kern w:val="0"/>
          <w:sz w:val="24"/>
        </w:rPr>
        <w:t>50%</w:t>
      </w:r>
      <w:r>
        <w:rPr>
          <w:rFonts w:ascii="Times New Roman" w:hAnsi="Times New Roman"/>
          <w:kern w:val="0"/>
          <w:sz w:val="24"/>
        </w:rPr>
        <w:t>以上的混合型基金。</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本基金属于混合型基金中基金，基金管理人初始给予本基金的风险等级为</w:t>
      </w:r>
      <w:r>
        <w:rPr>
          <w:rFonts w:ascii="Times New Roman" w:hAnsi="Times New Roman"/>
          <w:kern w:val="0"/>
          <w:sz w:val="24"/>
        </w:rPr>
        <w:t>R3</w:t>
      </w:r>
      <w:r>
        <w:rPr>
          <w:rFonts w:ascii="Times New Roman" w:hAnsi="Times New Roman"/>
          <w:kern w:val="0"/>
          <w:sz w:val="24"/>
        </w:rPr>
        <w:t>，因此主要适合风险等级为</w:t>
      </w:r>
      <w:r>
        <w:rPr>
          <w:rFonts w:ascii="Times New Roman" w:hAnsi="Times New Roman"/>
          <w:kern w:val="0"/>
          <w:sz w:val="24"/>
        </w:rPr>
        <w:t>C3</w:t>
      </w:r>
      <w:r>
        <w:rPr>
          <w:rFonts w:ascii="Times New Roman" w:hAnsi="Times New Roman"/>
          <w:kern w:val="0"/>
          <w:sz w:val="24"/>
        </w:rPr>
        <w:t>型、</w:t>
      </w:r>
      <w:r>
        <w:rPr>
          <w:rFonts w:ascii="Times New Roman" w:hAnsi="Times New Roman"/>
          <w:kern w:val="0"/>
          <w:sz w:val="24"/>
        </w:rPr>
        <w:t>C4</w:t>
      </w:r>
      <w:r>
        <w:rPr>
          <w:rFonts w:ascii="Times New Roman" w:hAnsi="Times New Roman"/>
          <w:kern w:val="0"/>
          <w:sz w:val="24"/>
        </w:rPr>
        <w:t>型及</w:t>
      </w:r>
      <w:r>
        <w:rPr>
          <w:rFonts w:ascii="Times New Roman" w:hAnsi="Times New Roman"/>
          <w:kern w:val="0"/>
          <w:sz w:val="24"/>
        </w:rPr>
        <w:t>C5</w:t>
      </w:r>
      <w:r>
        <w:rPr>
          <w:rFonts w:ascii="Times New Roman" w:hAnsi="Times New Roman"/>
          <w:kern w:val="0"/>
          <w:sz w:val="24"/>
        </w:rPr>
        <w:t>型投资者购买。</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通常</w:t>
      </w:r>
      <w:r>
        <w:rPr>
          <w:rFonts w:ascii="Times New Roman" w:hAnsi="Times New Roman"/>
          <w:kern w:val="0"/>
          <w:sz w:val="24"/>
        </w:rPr>
        <w:t>T</w:t>
      </w:r>
      <w:r>
        <w:rPr>
          <w:rFonts w:ascii="Times New Roman" w:hAnsi="Times New Roman"/>
          <w:kern w:val="0"/>
          <w:sz w:val="24"/>
        </w:rPr>
        <w:t>日提交的有效申购申请于</w:t>
      </w:r>
      <w:r>
        <w:rPr>
          <w:rFonts w:ascii="Times New Roman" w:hAnsi="Times New Roman"/>
          <w:kern w:val="0"/>
          <w:sz w:val="24"/>
        </w:rPr>
        <w:t>T+3</w:t>
      </w:r>
      <w:r>
        <w:rPr>
          <w:rFonts w:ascii="Times New Roman" w:hAnsi="Times New Roman"/>
          <w:kern w:val="0"/>
          <w:sz w:val="24"/>
        </w:rPr>
        <w:t>日确认）至一年后的年度对日的前一日。</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因此，对于基金份额持有人而言，存在投资本基金后一年内无法赎回的风险。</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特别提示：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被予以拒绝。基金份额持有人需承担赎回申请失败的风险。</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w:t>
      </w:r>
      <w:r>
        <w:rPr>
          <w:rFonts w:ascii="Times New Roman" w:hAnsi="Times New Roman"/>
          <w:kern w:val="0"/>
          <w:sz w:val="24"/>
        </w:rPr>
        <w:lastRenderedPageBreak/>
        <w:t>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本基金的</w:t>
      </w:r>
      <w:r>
        <w:rPr>
          <w:rFonts w:ascii="Times New Roman" w:hAnsi="Times New Roman"/>
          <w:kern w:val="0"/>
          <w:sz w:val="24"/>
        </w:rPr>
        <w:t>Y</w:t>
      </w:r>
      <w:r>
        <w:rPr>
          <w:rFonts w:ascii="Times New Roman" w:hAnsi="Times New Roman"/>
          <w:kern w:val="0"/>
          <w:sz w:val="24"/>
        </w:rPr>
        <w:t>类基金份额为针对个人养老金投资基金业务设立的单独的基金份额类别，投资者仅能通过个人养老金资金账户购买</w:t>
      </w:r>
      <w:r>
        <w:rPr>
          <w:rFonts w:ascii="Times New Roman" w:hAnsi="Times New Roman"/>
          <w:kern w:val="0"/>
          <w:sz w:val="24"/>
        </w:rPr>
        <w:t>Y</w:t>
      </w:r>
      <w:r>
        <w:rPr>
          <w:rFonts w:ascii="Times New Roman" w:hAnsi="Times New Roman"/>
          <w:kern w:val="0"/>
          <w:sz w:val="24"/>
        </w:rPr>
        <w:t>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F942D7" w:rsidRDefault="0033531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F942D7" w:rsidRDefault="00F942D7">
      <w:pPr>
        <w:autoSpaceDE w:val="0"/>
        <w:autoSpaceDN w:val="0"/>
        <w:adjustRightInd w:val="0"/>
        <w:snapToGrid w:val="0"/>
        <w:spacing w:before="51" w:line="360" w:lineRule="auto"/>
        <w:ind w:left="120" w:rightChars="6" w:right="13" w:firstLine="480"/>
        <w:rPr>
          <w:rFonts w:ascii="宋体" w:hAnsi="宋体"/>
          <w:kern w:val="0"/>
          <w:szCs w:val="24"/>
        </w:rPr>
        <w:sectPr w:rsidR="00F942D7">
          <w:headerReference w:type="default" r:id="rId14"/>
          <w:pgSz w:w="11920" w:h="16840"/>
          <w:pgMar w:top="1440" w:right="1680" w:bottom="280" w:left="1680" w:header="0" w:footer="1073" w:gutter="0"/>
          <w:pgNumType w:start="1"/>
          <w:cols w:space="720"/>
        </w:sectPr>
      </w:pPr>
    </w:p>
    <w:p w:rsidR="000B3B34" w:rsidRPr="000B3B34" w:rsidRDefault="00335319" w:rsidP="000B3B34">
      <w:pPr>
        <w:pStyle w:val="ad"/>
        <w:snapToGrid w:val="0"/>
        <w:spacing w:after="240" w:line="360" w:lineRule="auto"/>
        <w:jc w:val="center"/>
        <w:rPr>
          <w:rFonts w:ascii="宋体" w:hAnsi="宋体"/>
          <w:noProof/>
          <w:sz w:val="24"/>
        </w:rPr>
      </w:pPr>
      <w:r w:rsidRPr="000B3B34">
        <w:rPr>
          <w:rFonts w:ascii="宋体" w:hAnsi="宋体"/>
          <w:color w:val="000000"/>
          <w:position w:val="-4"/>
          <w:sz w:val="24"/>
          <w:szCs w:val="30"/>
        </w:rPr>
        <w:lastRenderedPageBreak/>
        <w:t>目</w:t>
      </w:r>
      <w:r w:rsidRPr="000B3B34">
        <w:rPr>
          <w:rFonts w:ascii="宋体" w:hAnsi="宋体"/>
          <w:color w:val="000000"/>
          <w:position w:val="-4"/>
          <w:sz w:val="24"/>
          <w:szCs w:val="30"/>
        </w:rPr>
        <w:tab/>
        <w:t>录</w:t>
      </w:r>
      <w:r w:rsidR="000B3B34" w:rsidRPr="000B3B34">
        <w:rPr>
          <w:rFonts w:ascii="宋体" w:hAnsi="宋体"/>
          <w:color w:val="000000"/>
          <w:position w:val="-4"/>
          <w:sz w:val="24"/>
          <w:szCs w:val="30"/>
        </w:rPr>
        <w:fldChar w:fldCharType="begin"/>
      </w:r>
      <w:r w:rsidR="000B3B34" w:rsidRPr="000B3B34">
        <w:rPr>
          <w:rFonts w:ascii="宋体" w:hAnsi="宋体"/>
          <w:color w:val="000000"/>
          <w:position w:val="-4"/>
          <w:sz w:val="24"/>
          <w:szCs w:val="30"/>
        </w:rPr>
        <w:instrText xml:space="preserve"> TOC \o "1-3" \f - \h \t "-1" </w:instrText>
      </w:r>
      <w:r w:rsidR="000B3B34" w:rsidRPr="000B3B34">
        <w:rPr>
          <w:rFonts w:ascii="宋体" w:hAnsi="宋体"/>
          <w:color w:val="000000"/>
          <w:position w:val="-4"/>
          <w:sz w:val="24"/>
          <w:szCs w:val="30"/>
        </w:rPr>
        <w:fldChar w:fldCharType="separate"/>
      </w:r>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3" w:history="1">
        <w:r w:rsidRPr="000B3B34">
          <w:rPr>
            <w:rStyle w:val="aa"/>
            <w:rFonts w:ascii="宋体" w:hAnsi="宋体" w:hint="eastAsia"/>
            <w:noProof/>
            <w:kern w:val="0"/>
            <w:sz w:val="24"/>
          </w:rPr>
          <w:t>重要提示</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_Toc227915033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4" w:history="1">
        <w:r w:rsidRPr="000B3B34">
          <w:rPr>
            <w:rStyle w:val="aa"/>
            <w:rFonts w:ascii="宋体" w:hAnsi="宋体" w:hint="eastAsia"/>
            <w:noProof/>
            <w:sz w:val="24"/>
          </w:rPr>
          <w:t>一、绪言</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_Toc227915034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5</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5" w:history="1">
        <w:r w:rsidRPr="000B3B34">
          <w:rPr>
            <w:rStyle w:val="aa"/>
            <w:rFonts w:ascii="宋体" w:hAnsi="宋体" w:hint="eastAsia"/>
            <w:noProof/>
            <w:sz w:val="24"/>
          </w:rPr>
          <w:t>二、释义</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_Toc227915035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6</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6" w:history="1">
        <w:r w:rsidRPr="000B3B34">
          <w:rPr>
            <w:rStyle w:val="aa"/>
            <w:rFonts w:ascii="宋体" w:hAnsi="宋体" w:hint="eastAsia"/>
            <w:noProof/>
            <w:sz w:val="24"/>
          </w:rPr>
          <w:t>三、基金管理人</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_Toc227915036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11</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7" w:history="1">
        <w:r w:rsidRPr="000B3B34">
          <w:rPr>
            <w:rStyle w:val="aa"/>
            <w:rFonts w:ascii="宋体" w:hAnsi="宋体" w:hint="eastAsia"/>
            <w:noProof/>
            <w:sz w:val="24"/>
          </w:rPr>
          <w:t>四、基金托管人</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_Toc227915037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18</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8" w:history="1">
        <w:r w:rsidRPr="000B3B34">
          <w:rPr>
            <w:rStyle w:val="aa"/>
            <w:rFonts w:ascii="宋体" w:hAnsi="宋体" w:hint="eastAsia"/>
            <w:noProof/>
            <w:sz w:val="24"/>
          </w:rPr>
          <w:t>五、相关服务机构</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_Toc227915038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21</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39" w:history="1">
        <w:r w:rsidRPr="000B3B34">
          <w:rPr>
            <w:rStyle w:val="aa"/>
            <w:rFonts w:ascii="宋体" w:hAnsi="宋体" w:hint="eastAsia"/>
            <w:noProof/>
            <w:sz w:val="24"/>
          </w:rPr>
          <w:t>六、基金的募集</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_Toc227915039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48</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0" w:history="1">
        <w:r w:rsidRPr="000B3B34">
          <w:rPr>
            <w:rStyle w:val="aa"/>
            <w:rFonts w:ascii="宋体" w:hAnsi="宋体" w:hint="eastAsia"/>
            <w:noProof/>
            <w:sz w:val="24"/>
          </w:rPr>
          <w:t>七、基金合同的生效</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_Toc227915040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49</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1" w:history="1">
        <w:r w:rsidRPr="000B3B34">
          <w:rPr>
            <w:rStyle w:val="aa"/>
            <w:rFonts w:ascii="宋体" w:hAnsi="宋体" w:hint="eastAsia"/>
            <w:noProof/>
            <w:sz w:val="24"/>
          </w:rPr>
          <w:t>八、基金份额的申购与赎回</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_Toc227915041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50</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2" w:history="1">
        <w:r w:rsidRPr="000B3B34">
          <w:rPr>
            <w:rStyle w:val="aa"/>
            <w:rFonts w:ascii="宋体" w:hAnsi="宋体" w:hint="eastAsia"/>
            <w:noProof/>
            <w:sz w:val="24"/>
          </w:rPr>
          <w:t>九、基金的投资</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_Toc227915042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62</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3" w:history="1">
        <w:r w:rsidRPr="000B3B34">
          <w:rPr>
            <w:rStyle w:val="aa"/>
            <w:rFonts w:ascii="宋体" w:hAnsi="宋体" w:hint="eastAsia"/>
            <w:noProof/>
            <w:sz w:val="24"/>
          </w:rPr>
          <w:t>十、基金的业绩</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_Toc227915043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74</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4" w:history="1">
        <w:r w:rsidRPr="000B3B34">
          <w:rPr>
            <w:rStyle w:val="aa"/>
            <w:rFonts w:ascii="宋体" w:hAnsi="宋体" w:hint="eastAsia"/>
            <w:noProof/>
            <w:sz w:val="24"/>
          </w:rPr>
          <w:t>十一、基金的财产</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_Toc227915044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77</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5" w:history="1">
        <w:r w:rsidRPr="000B3B34">
          <w:rPr>
            <w:rStyle w:val="aa"/>
            <w:rFonts w:ascii="宋体" w:hAnsi="宋体" w:hint="eastAsia"/>
            <w:noProof/>
            <w:sz w:val="24"/>
          </w:rPr>
          <w:t>十二、基金资产的估值</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_Toc227915045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78</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6" w:history="1">
        <w:r w:rsidRPr="000B3B34">
          <w:rPr>
            <w:rStyle w:val="aa"/>
            <w:rFonts w:ascii="宋体" w:hAnsi="宋体" w:hint="eastAsia"/>
            <w:noProof/>
            <w:sz w:val="24"/>
          </w:rPr>
          <w:t>十三、基金收益与分配</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_Toc227915046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84</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7" w:history="1">
        <w:r w:rsidRPr="000B3B34">
          <w:rPr>
            <w:rStyle w:val="aa"/>
            <w:rFonts w:ascii="宋体" w:hAnsi="宋体" w:hint="eastAsia"/>
            <w:noProof/>
            <w:sz w:val="24"/>
          </w:rPr>
          <w:t>十四、基金的费用与税收</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_Toc227915047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86</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8" w:history="1">
        <w:r w:rsidRPr="000B3B34">
          <w:rPr>
            <w:rStyle w:val="aa"/>
            <w:rFonts w:ascii="宋体" w:hAnsi="宋体" w:hint="eastAsia"/>
            <w:noProof/>
            <w:sz w:val="24"/>
          </w:rPr>
          <w:t>十五、基金的会计与审计</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_Toc227915048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89</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49" w:history="1">
        <w:r w:rsidRPr="000B3B34">
          <w:rPr>
            <w:rStyle w:val="aa"/>
            <w:rFonts w:ascii="宋体" w:hAnsi="宋体" w:hint="eastAsia"/>
            <w:noProof/>
            <w:sz w:val="24"/>
          </w:rPr>
          <w:t>十六、基金的信息披露</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_Toc227915049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90</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0" w:history="1">
        <w:r w:rsidRPr="000B3B34">
          <w:rPr>
            <w:rStyle w:val="aa"/>
            <w:rFonts w:ascii="宋体" w:hAnsi="宋体" w:hint="eastAsia"/>
            <w:noProof/>
            <w:sz w:val="24"/>
          </w:rPr>
          <w:t>十七、风险揭示</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_Toc227915050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97</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1" w:history="1">
        <w:r w:rsidRPr="000B3B34">
          <w:rPr>
            <w:rStyle w:val="aa"/>
            <w:rFonts w:ascii="宋体" w:hAnsi="宋体" w:hint="eastAsia"/>
            <w:noProof/>
            <w:sz w:val="24"/>
          </w:rPr>
          <w:t>十八、基金合同的变更、终止与基金财产的清算</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_Toc227915051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106</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2" w:history="1">
        <w:r w:rsidRPr="000B3B34">
          <w:rPr>
            <w:rStyle w:val="aa"/>
            <w:rFonts w:ascii="宋体" w:hAnsi="宋体" w:hint="eastAsia"/>
            <w:noProof/>
            <w:sz w:val="24"/>
          </w:rPr>
          <w:t>十九、基金合同内容摘要</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_Toc227915052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108</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3" w:history="1">
        <w:r w:rsidRPr="000B3B34">
          <w:rPr>
            <w:rStyle w:val="aa"/>
            <w:rFonts w:ascii="宋体" w:hAnsi="宋体" w:hint="eastAsia"/>
            <w:noProof/>
            <w:sz w:val="24"/>
          </w:rPr>
          <w:t>二十、托管协议的内容摘要</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_Toc227915053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124</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4" w:history="1">
        <w:r w:rsidRPr="000B3B34">
          <w:rPr>
            <w:rStyle w:val="aa"/>
            <w:rFonts w:ascii="宋体" w:hAnsi="宋体" w:hint="eastAsia"/>
            <w:noProof/>
            <w:sz w:val="24"/>
          </w:rPr>
          <w:t>二十一、对基金份额持有人的服务</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_Toc227915054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138</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5" w:history="1">
        <w:r w:rsidRPr="000B3B34">
          <w:rPr>
            <w:rStyle w:val="aa"/>
            <w:rFonts w:ascii="宋体" w:hAnsi="宋体" w:hint="eastAsia"/>
            <w:noProof/>
            <w:sz w:val="24"/>
          </w:rPr>
          <w:t>二十二、其他应披露事项</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_Toc227915055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140</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6" w:history="1">
        <w:r w:rsidRPr="000B3B34">
          <w:rPr>
            <w:rStyle w:val="aa"/>
            <w:rFonts w:ascii="宋体" w:hAnsi="宋体" w:hint="eastAsia"/>
            <w:noProof/>
            <w:sz w:val="24"/>
          </w:rPr>
          <w:t>二十三、招募说明书的存放及查阅方式</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_Toc227915056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142</w:t>
        </w:r>
        <w:r w:rsidRPr="000B3B34">
          <w:rPr>
            <w:rFonts w:ascii="宋体" w:hAnsi="宋体"/>
            <w:noProof/>
            <w:sz w:val="24"/>
          </w:rPr>
          <w:fldChar w:fldCharType="end"/>
        </w:r>
      </w:hyperlink>
    </w:p>
    <w:p w:rsidR="000B3B34" w:rsidRPr="000B3B34" w:rsidRDefault="000B3B34" w:rsidP="000B3B34">
      <w:pPr>
        <w:pStyle w:val="10"/>
        <w:tabs>
          <w:tab w:val="right" w:leader="dot" w:pos="8550"/>
        </w:tabs>
        <w:spacing w:line="360" w:lineRule="auto"/>
        <w:rPr>
          <w:rFonts w:ascii="宋体" w:hAnsi="宋体" w:cstheme="minorBidi"/>
          <w:noProof/>
          <w:sz w:val="24"/>
        </w:rPr>
      </w:pPr>
      <w:hyperlink w:anchor="_Toc227915057" w:history="1">
        <w:r w:rsidRPr="000B3B34">
          <w:rPr>
            <w:rStyle w:val="aa"/>
            <w:rFonts w:ascii="宋体" w:hAnsi="宋体" w:hint="eastAsia"/>
            <w:noProof/>
            <w:sz w:val="24"/>
          </w:rPr>
          <w:t>二十四、备查文件</w:t>
        </w:r>
        <w:r w:rsidRPr="000B3B34">
          <w:rPr>
            <w:rFonts w:ascii="宋体" w:hAnsi="宋体"/>
            <w:noProof/>
            <w:sz w:val="24"/>
          </w:rPr>
          <w:tab/>
        </w:r>
        <w:r w:rsidRPr="000B3B34">
          <w:rPr>
            <w:rFonts w:ascii="宋体" w:hAnsi="宋体"/>
            <w:noProof/>
            <w:sz w:val="24"/>
          </w:rPr>
          <w:fldChar w:fldCharType="begin"/>
        </w:r>
        <w:r w:rsidRPr="000B3B34">
          <w:rPr>
            <w:rFonts w:ascii="宋体" w:hAnsi="宋体"/>
            <w:noProof/>
            <w:sz w:val="24"/>
          </w:rPr>
          <w:instrText xml:space="preserve"> PAGEREF _Toc227915057 \h </w:instrText>
        </w:r>
        <w:r w:rsidRPr="000B3B34">
          <w:rPr>
            <w:rFonts w:ascii="宋体" w:hAnsi="宋体"/>
            <w:noProof/>
            <w:sz w:val="24"/>
          </w:rPr>
        </w:r>
        <w:r w:rsidRPr="000B3B34">
          <w:rPr>
            <w:rFonts w:ascii="宋体" w:hAnsi="宋体"/>
            <w:noProof/>
            <w:sz w:val="24"/>
          </w:rPr>
          <w:fldChar w:fldCharType="separate"/>
        </w:r>
        <w:r w:rsidRPr="000B3B34">
          <w:rPr>
            <w:rFonts w:ascii="宋体" w:hAnsi="宋体"/>
            <w:noProof/>
            <w:sz w:val="24"/>
          </w:rPr>
          <w:t>143</w:t>
        </w:r>
        <w:r w:rsidRPr="000B3B34">
          <w:rPr>
            <w:rFonts w:ascii="宋体" w:hAnsi="宋体"/>
            <w:noProof/>
            <w:sz w:val="24"/>
          </w:rPr>
          <w:fldChar w:fldCharType="end"/>
        </w:r>
      </w:hyperlink>
    </w:p>
    <w:p w:rsidR="00F942D7" w:rsidRPr="000B3B34" w:rsidRDefault="000B3B34" w:rsidP="000B3B34">
      <w:pPr>
        <w:pStyle w:val="ad"/>
        <w:snapToGrid w:val="0"/>
        <w:spacing w:after="240" w:line="360" w:lineRule="auto"/>
        <w:jc w:val="center"/>
        <w:rPr>
          <w:rFonts w:ascii="宋体" w:hAnsi="宋体"/>
          <w:color w:val="000000"/>
          <w:sz w:val="24"/>
        </w:rPr>
      </w:pPr>
      <w:r w:rsidRPr="000B3B34">
        <w:rPr>
          <w:rFonts w:ascii="宋体" w:hAnsi="宋体"/>
          <w:color w:val="000000"/>
          <w:position w:val="-4"/>
          <w:sz w:val="24"/>
          <w:szCs w:val="30"/>
        </w:rPr>
        <w:fldChar w:fldCharType="end"/>
      </w:r>
      <w:bookmarkStart w:id="3" w:name="_GoBack"/>
      <w:bookmarkEnd w:id="3"/>
    </w:p>
    <w:p w:rsidR="00F942D7" w:rsidRDefault="00F942D7">
      <w:pPr>
        <w:autoSpaceDE w:val="0"/>
        <w:autoSpaceDN w:val="0"/>
        <w:adjustRightInd w:val="0"/>
        <w:snapToGrid w:val="0"/>
        <w:spacing w:line="360" w:lineRule="auto"/>
        <w:ind w:left="120" w:rightChars="6" w:right="13"/>
        <w:rPr>
          <w:rFonts w:ascii="宋体" w:hAnsi="宋体"/>
          <w:kern w:val="0"/>
          <w:szCs w:val="24"/>
        </w:rPr>
        <w:sectPr w:rsidR="00F942D7">
          <w:pgSz w:w="11920" w:h="16840"/>
          <w:pgMar w:top="1480" w:right="1680" w:bottom="280" w:left="1680" w:header="0" w:footer="1073" w:gutter="0"/>
          <w:cols w:space="720"/>
        </w:sectPr>
      </w:pPr>
    </w:p>
    <w:p w:rsidR="00F942D7" w:rsidRDefault="00335319">
      <w:pPr>
        <w:pStyle w:val="1"/>
        <w:snapToGrid w:val="0"/>
        <w:spacing w:beforeLines="0" w:before="240" w:after="240"/>
        <w:rPr>
          <w:rFonts w:ascii="宋体" w:hAnsi="宋体"/>
          <w:szCs w:val="30"/>
        </w:rPr>
      </w:pPr>
      <w:bookmarkStart w:id="4" w:name="_Toc227915034"/>
      <w:r>
        <w:rPr>
          <w:rFonts w:ascii="Times New Roman" w:hAnsi="Times New Roman"/>
          <w:sz w:val="30"/>
        </w:rPr>
        <w:lastRenderedPageBreak/>
        <w:t>一、绪言</w:t>
      </w:r>
      <w:bookmarkEnd w:id="4"/>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安享稳健养老目标一年持有期混合型基金中基金（FOF）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证券投资基金运作指引第2号——基金中基金指引》、《公开募集开放式证券投资基金流动性风险管理规定》（以下简称“《流动性规定》”）、《养老目标证券投资基金指引（试行）》和其他相关法律法规的规定以及《交银施罗德安享稳健养老目标一年持有期混合型基金中基金（FOF）基金合同》（以下简称“基金合同”）编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5" w:name="_Toc227915035"/>
      <w:r>
        <w:rPr>
          <w:rFonts w:ascii="Times New Roman" w:hAnsi="Times New Roman"/>
          <w:sz w:val="30"/>
        </w:rPr>
        <w:lastRenderedPageBreak/>
        <w:t>二、释义</w:t>
      </w:r>
      <w:bookmarkEnd w:id="5"/>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1、基金或本基金：指交银施罗德安享稳健养老目标一年持有期混合型基金中基金（FOF）</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4、《基金合同》或基金合同：指《交银施罗德安享稳健养老目标一年持有期混合型基金中基金（FOF）基金合同》及对基金合同的任何有效修订和补充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5、托管协议：指基金管理人与基金托管人就本基金签订之《交银施罗德安享稳健养老目标一年持有期混合型基金中基金（FOF）托管协议》及对该托管协议的任何有效修订和补充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6、招募说明书或《招募说明书》或本招募说明书：指《交银施罗德安享稳健养老目标一年持有期混合型基金中基金（FOF）招募说明书》及其更新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7、基金产品资料概要：指《交银施罗德安享稳健养老目标一年持有期混合型基金中基金（FOF）基金产品资料概要》及其更新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8、基金份额发售公告：指《交银施罗德安享稳健养老目标一年持有期混合型基金中基金（FOF）基金份额发售公告》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18、银行业监督管理机构：指中国人民银行和/或中国银行保险监督管理委员会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25、基金份额持有人：指依基金合同和招募说明书合法取得基金份额的投资人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26、基金销售业务：指基金管理人或销售机构宣传推介基金，发售基金份额，</w:t>
      </w:r>
      <w:r>
        <w:rPr>
          <w:rFonts w:ascii="宋体" w:hAnsi="宋体"/>
          <w:sz w:val="24"/>
        </w:rPr>
        <w:lastRenderedPageBreak/>
        <w:t>办理基金份额的申购、赎回、转换、转托管及定期定额投资等业务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27、销售机构：指交银施罗德基金管理有限公司以及符合《销售办法》和中国证监会规定的其他条件，取得基金销售业务资格并与基金管理人签订了基金销售服务协议，办理基金销售业务的机构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最短持有期限：基金份额持有人持有的每份基金份额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w:t>
      </w:r>
      <w:r>
        <w:rPr>
          <w:rFonts w:ascii="宋体" w:hAnsi="宋体"/>
          <w:sz w:val="24"/>
        </w:rPr>
        <w:lastRenderedPageBreak/>
        <w:t>最短持有期限自该笔申购份额确认日（含该日，通常T日提交的有效申购申请于T+3日确认）至一年后的年度对日的前一日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年度对日：指某一特定日期在后续日历年度中的对应日期，若该日历年度中不存在对应日期的，则该年度对日为该特定日期在后续日历年度中的对应月度的最后一日。如该年度对日为非工作日的，则顺延至下一个工作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44、认购：指在基金募集期内，投资人根据基金合同和招募说明书的规定申请购买基金份额的行为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w:t>
      </w:r>
      <w:r>
        <w:rPr>
          <w:rFonts w:ascii="宋体" w:hAnsi="宋体"/>
          <w:sz w:val="24"/>
        </w:rPr>
        <w:lastRenderedPageBreak/>
        <w:t>存款利息、已实现的其他合法收入及因运用基金财产带来的成本和费用的节约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53、基金资产总值：指基金拥有的各类有价证券、证券投资基金份额、银行存款本息、基金应收申购款及其他资产的价值总和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55、基金份额净值：指估值日基金资产净值除以估值日基金份额总数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57、A类基金份额：指非针对个人养老金投资基金业务设立的基金份额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58、Y类基金份额：指针对个人养老金投资基金业务设立的基金份额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59、指定媒介：指中国证监会指定的用以进行信息披露的全国性报刊及指定互联网网站（包括基金管理人网站、基金托管人网站、中国证监会基金电子披露网站）等媒介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6" w:name="_Toc227915036"/>
      <w:r>
        <w:rPr>
          <w:rFonts w:ascii="Times New Roman" w:hAnsi="Times New Roman"/>
          <w:sz w:val="30"/>
        </w:rPr>
        <w:lastRenderedPageBreak/>
        <w:t>三、基金管理人</w:t>
      </w:r>
      <w:bookmarkEnd w:id="6"/>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迪先生:基金经理。上海财经大学金融工程与投资管理博士、上海海事大学硕士。11年证券投资行业从业经验。2015年加入交银施罗德基金管理有限公司，曾任量化投资部研究员，多元资产管理部投资经理。现任交银施罗德招享一年持有期混合型基金中基金（FOF）(2024年10月31日至今)、交银施罗德慧选睿信一年持有期混合型基金中基金（FOF）(2025年05月08日至今)、交银施罗德安享稳健养老目标一年持有期混合型基金中基金（FOF）(2025年07月12日至今)、交银施罗德臻享多资产三个月持有期混合型基金中基金（FOF）(2025年11月13日至今)、交银施罗德穗享多资产六个月持有期混合型基金中基金（FOF）(2026年01月20日至今)的基金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杨喆女士(2019年05月30日至2021年05月21日)；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蔡铮先生(2021年04月30日至2025年01月22日)；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刘兵先生(2023年01月07日至2025年07月12日)。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4、按照基金合同的约定确定基金收益分配方案，及时向基金份额持有人分配收益；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w:t>
      </w:r>
      <w:r>
        <w:rPr>
          <w:rFonts w:ascii="宋体" w:hAnsi="宋体"/>
          <w:sz w:val="24"/>
        </w:rPr>
        <w:lastRenderedPageBreak/>
        <w:t>谋取最大利益；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7" w:name="_Toc227915037"/>
      <w:r>
        <w:rPr>
          <w:rFonts w:ascii="Times New Roman" w:hAnsi="Times New Roman"/>
          <w:sz w:val="30"/>
        </w:rPr>
        <w:lastRenderedPageBreak/>
        <w:t>四、基金托管人</w:t>
      </w:r>
      <w:bookmarkEnd w:id="7"/>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8" w:name="_Toc227915038"/>
      <w:r>
        <w:rPr>
          <w:rFonts w:ascii="Times New Roman" w:hAnsi="Times New Roman"/>
          <w:sz w:val="30"/>
        </w:rPr>
        <w:lastRenderedPageBreak/>
        <w:t>五、相关服务机构</w:t>
      </w:r>
      <w:bookmarkEnd w:id="8"/>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本基金A类基金份额除直销机构外的其他销售机构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（1）名称：招商银行股份有限公司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（2）名称：中国民生银行股份有限公司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（3）名称：中国农业银行股份有限公司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（5）名称：交通银行股份有限公司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法定代表人：任德奇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（7）名称：中国建设银行股份有限公司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（8）名称：上海银行股份有限公司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网址：www.bankofshanghai.com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（9）名称：兴业银行股份有限公司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（10）名称：中国光大银行股份有限公司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（11）名称：中国工商银行股份有限公司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（12）名称：中国邮政储蓄银行股份有限公司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（13）名称：上海浦东发展银行股份有限公司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（14）名称：平安银行股份有限公司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（15）名称：华鑫证券有限责任公司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（16）名称：中信建投证券股份有限公司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（17）名称：国信证券股份有限公司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（18）名称：国金证券股份有限公司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（20）名称：兴业证券股份有限公司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住所：福州市湖东路268号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（21）名称：长城国瑞证券有限公司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（22）名称：大同证券有限责任公司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（23）名称：广发证券股份有限公司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传真：（020）87553600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（24）名称：中邮证券有限责任公司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（25）名称：中国银河证券股份有限公司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（26）名称：开源证券股份有限公司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住所：深圳市福田区金田路大中华国际交易广场裙楼8楼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（28）名称：东方证券股份有限公司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（29）名称：中国中金财富证券有限公司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（30）名称：第一创业证券股份有限公司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传真：（0755）25831718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（31）名称：江海证券有限公司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（32）名称：招商证券股份有限公司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（33）名称：华西证券股份有限公司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（34）名称：中泰证券股份有限公司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（36）名称：国投证券股份有限公司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（37）名称：东方财富证券股份有限公司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（38）名称：申万宏源证券有限公司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（39）名称：申万宏源西部证券有限公司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（40）名称：东莞证券股份有限公司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（41）名称：华泰证券股份有限公司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（42）名称：中信证券（山东）有限责任公司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（44）名称：中信证券华南股份有限公司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（45）名称：国泰海通证券股份有限公司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（46）名称：海通证券股份有限公司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（47）名称：中航证券有限公司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网址：www.avicsec.com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（48）名称：深圳市新兰德证券投资咨询有限公司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（50）名称：阳光人寿保险股份有限公司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（51）名称：玄元保险代理有限公司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办公地址：中国(上海)自由贸易试验区张杨路707号1105室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（52）名称：京东肯特瑞基金销售有限公司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（53）名称：上海大智慧基金销售有限公司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传真：（020）89629011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（55）名称：南京苏宁基金销售有限公司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（56）名称：北京汇成基金销售有限公司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（57）名称：上海利得基金销售有限公司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网址：www.leadfund.com.cn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（58）名称：万家财富基金销售（天津）有限公司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（59）名称：上海万得基金销售有限公司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（60）名称：北京雪球基金销售有限公司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（61）名称：奕丰基金销售有限公司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w:t>
      </w:r>
      <w:r>
        <w:rPr>
          <w:rFonts w:ascii="宋体" w:hAnsi="宋体"/>
          <w:sz w:val="24"/>
        </w:rPr>
        <w:lastRenderedPageBreak/>
        <w:t>书有限公司）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（62）名称：上海好买基金销售有限公司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（63）名称：上海长量基金销售有限公司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（64）名称：深圳众禄基金销售股份有限公司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（65）名称：浙江同花顺基金销售有限公司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（66）名称：诺亚正行基金销售有限公司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（67）名称：嘉实财富管理有限公司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公司网址：http://www.harvestwm.cn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（68）名称：上海联泰基金销售有限公司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（69）名称：和耕传承基金销售有限公司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（70）名称：北京度小满基金销售有限公司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（71）名称：上海挖财基金销售有限公司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注册地址：中国(上海)自由贸易试验区杨高南路759号18层03单元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（72）名称：中证金牛（北京）基金销售有限公司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（73）名称：上海基煜基金销售有限公司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（74）名称：上海天天基金销售有限公司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（75）名称：腾安基金销售（深圳）有限公司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（76）名称：济安财富（北京）基金销售有限公司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（77）名称：博时财富基金销售有限公司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传真：0755-83195220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（78）名称：泛华普益基金销售有限公司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（79）名称：深圳前海微众银行股份有限公司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（80）名称：上海陆金所基金销售有限公司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客户服务电话：4008219031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（81）名称：上海中欧财富基金销售有限公司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（82）名称：中信期货有限公司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（83）名称：蚂蚁（杭州）基金销售有限公司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本基金Y类基金份额的销售机构详见基金管理人网站公示或相关公告。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942D7" w:rsidRDefault="00335319">
      <w:pPr>
        <w:pStyle w:val="1"/>
        <w:snapToGrid w:val="0"/>
        <w:spacing w:beforeLines="0" w:before="240" w:after="240"/>
        <w:rPr>
          <w:rFonts w:ascii="宋体" w:hAnsi="宋体"/>
          <w:szCs w:val="30"/>
        </w:rPr>
      </w:pPr>
      <w:bookmarkStart w:id="9" w:name="_Toc227915039"/>
      <w:r>
        <w:rPr>
          <w:rFonts w:ascii="Times New Roman" w:hAnsi="Times New Roman"/>
          <w:sz w:val="30"/>
        </w:rPr>
        <w:lastRenderedPageBreak/>
        <w:t>六、基金的募集</w:t>
      </w:r>
      <w:bookmarkEnd w:id="9"/>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本基金由基金管理人依照《基金法》、《运作办法》、《销售办法》、基金合同及其他有关规定，并经中国证监会2018年12月27日证监许可[2018]2197号文准予募集注册。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本基金为契约型开放式混合型基金中基金（FOF）。基金存续期限为不定期。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本基金自2019年4月24日至2019年5月24日进行发售，本基金设立募集期共募集2,042,809,040.74份基金份额，有效认购户数为34,102户。</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0" w:name="_Toc227915040"/>
      <w:r>
        <w:rPr>
          <w:rFonts w:ascii="Times New Roman" w:hAnsi="Times New Roman"/>
          <w:sz w:val="30"/>
        </w:rPr>
        <w:lastRenderedPageBreak/>
        <w:t>七、基金合同的生效</w:t>
      </w:r>
      <w:bookmarkEnd w:id="10"/>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根据有关规定，本基金满足基金合同生效条件，基金合同已于2019年5月30日正式生效。自基金合同生效之日起，本基金管理人正式开始管理本基金。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1" w:name="_Toc227915041"/>
      <w:r>
        <w:rPr>
          <w:rFonts w:ascii="Times New Roman" w:hAnsi="Times New Roman"/>
          <w:sz w:val="30"/>
        </w:rPr>
        <w:lastRenderedPageBreak/>
        <w:t>八、基金份额的申购与赎回</w:t>
      </w:r>
      <w:bookmarkEnd w:id="11"/>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本基金A类基金份额已于2019年6月3日起开放申购业务。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本基金A类基金份额已于2020年6月1日起开放赎回业务。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本基金Y类基金份额已于2022年11月28日起开放申购业务。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本基金Y类基金份额已于2023年11月28日起开放赎回业务。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基金管理人可对Y类基金份额实施不同的申购金额限制或豁免申购限制，敬请投资者留意本基金管理人的有关公告。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5、基金管理人可在法律法规允许的情况下，调整上述规定的申购金额和赎回份额的数量限制。基金管理人必须在调整实施前依照《信息披露办法》的有关规定在指定媒介上刊登公告。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w:t>
      </w:r>
      <w:r>
        <w:rPr>
          <w:rFonts w:ascii="宋体" w:hAnsi="宋体"/>
          <w:sz w:val="24"/>
        </w:rPr>
        <w:lastRenderedPageBreak/>
        <w:t>回申请成功后，基金管理人将在T＋7日（包括该日）内支付赎回款项。在发生巨额赎回或基金合同载明的其他暂停赎回或延缓支付赎回款项的情形时，款项的支付办法参照基金合同有关条款处理。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+3日（包括该日）内对该交易的有效性进行确认。T日提交的有效申请，投资人应在T+4日后（包括该日）及时到销售网点柜台或以销售机构规定的其他方式查询申请的确认情况。若申购不成功，则申购款项本金退还给投资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（1）投资人T日申购基金成功后，正常情况下，登记机构在T＋3日为投资人增加权益并办理登记手续。投资人应及时查询有关申请的确认情况。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（2）投资人T日赎回基金成功后，正常情况下，登记机构在T＋3日为投资人扣除权益并办理相应的登记手续。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（3）基金管理人可在法律法规允许的范围内，依法对上述申购和赎回申请的确认时间进行调整，并必须在调整实施日前按照《信息披露办法》的有关规定在指定媒介上公告。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Y类基金份额。投资人申购A类基金份额和Y类基金份额在申购时支付申购费用。本基金的申购费用由该类基金份额的基金申购人承担，不列入基金财产，主要用于本基金的市场推广、销售、登记等各项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因红利自动再投资而产生的该类基金份额，不收取相应的申购费用。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基金管理人可对Y类基金份额实施费率优惠或豁免申购费用，敬请投资者留意本基金管理人的有关公告。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本基金对通过基金管理人直销柜台申购本基金A类基金份额的非个人养老金客户实施特定申购费率。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个人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非个人养老金客户范围，并按规定向中国证监会备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通过基金管理人直销柜台申购本基金A类基金份额的非个人养老金客户特定申购费率如下表：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w:t>
      </w:r>
      <w:r>
        <w:rPr>
          <w:rFonts w:ascii="宋体" w:hAnsi="宋体"/>
          <w:sz w:val="24"/>
        </w:rPr>
        <w:lastRenderedPageBreak/>
        <w:t>告或本基金管理人网站。本基金管理人基金网上直销业务已开通的银行卡及各银行卡交易金额限额请参阅本基金管理人网站。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本基金不收取赎回费用。其中，对于不受最短持有期限制的红利再投资所得基金份额，对持续持有期少于7日的投资者收取1.5%的赎回费，并全额计入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且对现有基金份额持有人利益无实质不利影响的情况下根据市场情况制定基金促销计划，针对投资人定期和不定期地开展基金促销活动。在基金促销活动期间，基金管理人可以按中国证监会要求履行必要手续后，对投资人适当调低基金销售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Y类基金份额的有效份额为净申购金额除以当日该类基金份额的基金份额净值，有效份额单位为份，申购份额计算结果按四舍五入方法，保留到小数点后2位，由此产生的收益或损失由基金财产承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Y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申购份额=（申购总金额-申购费用）/T日A类或Y类基金份额净值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例三：某投资者投资100,000元申购本基金的A类基金份额，假设申购当日A类基金份额净值为1.0400元，申购费率为0.8%，则其可得到的申购份额为：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即：某投资者投资100,000元申购本基金的A类基金份额，假设申购当日A类基金份额净值为1.0400元，则其可得到95,390.72份基金份额。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例四：某投资者赎回持有的10,000份A类基金份额或Y类基金份额，持有期限为一年，对应的赎回费率为0，假设赎回当日该类基金份额净值是1.0160元，则其可得到的赎回金额为：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即：投资者赎回本基金10,000份A类基金份额或Y类基金份额，持有期限为一年，对应的赎回费率为0，假设赎回当日该类基金份额净值是1.0160元，则其可得到的赎回金额为10,160.00元。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Y类基金份额净值＝Y类基金份额的基金资产净值总额/发行在外的Y类基金份额总数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所投资基金披露净值或万份收益当日（法定节假日顺延至第一个交易日）计算，并在T+3日内披露本基金T日各类基金份额的基金份额净值和基金份额累计净值。遇特殊情况，经中国证监会同意，可以适当延迟计算</w:t>
      </w:r>
      <w:r>
        <w:rPr>
          <w:rFonts w:ascii="宋体" w:hAnsi="宋体"/>
          <w:sz w:val="24"/>
        </w:rPr>
        <w:lastRenderedPageBreak/>
        <w:t>或公告。本基金A类基金份额和Y类基金份额的基金份额净值的计算，保留到小数点后4位，小数点后第5位四舍五入，由此误差产生的收益或损失由基金财产承担。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3、证券交易所交易时间非正常停市，导致基金管理人无法计算当日基金资产净值或者无法办理申购业务。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8、基金管理人、基金托管人、基金销售机构、基金销售支付结算机构或登记机构的异常情况导致基金销售系统、基金销售支付结算系统、基金注册登记系统或基金会计系统无法正常运行。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9、基金管理人接受某笔或者某些申购申请有可能导致单一投资者持有基金份额的比例超过50%，或者变相规避50%集中度的情形时，基金管理人有权将上述申购申请全部或部分确认失败。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10、当前一估值日基金资产净值50%以上的资产出现无可参考的活跃市场价格且采用估值技术仍导致公允价值存在重大不确定性时，经与基金托管人协商确认后，基金管理人应当暂停接受基金申购申请。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11、基金合同约定、法律法规规定或中国证监会认定的其他情形。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9项以外的暂停申购情形之一且基金管理人决定暂停接受投资人的申购申请时，基金管理人应当根据有关规定在指定媒介上刊登暂停申购公告。如果投资人的申购申请被拒绝，被拒绝的申购款项本金将退还给投资人。在暂停申</w:t>
      </w:r>
      <w:r>
        <w:rPr>
          <w:rFonts w:ascii="宋体" w:hAnsi="宋体"/>
          <w:sz w:val="24"/>
        </w:rPr>
        <w:lastRenderedPageBreak/>
        <w:t>购的情况消除时，基金管理人应及时恢复申购业务的办理。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7、发生继续接受赎回申请将损害现有基金份额持有人利益的情形时，可暂停接受投资人的赎回申请。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该类基金份额净值为依据计算赎回金额。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1、巨额赎回的认定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当发生上述巨额赎回并延期办理时，基金管理人应当通过邮寄、传真、刊登公告或者通知销售机构代为告知等方式在3个交易日内通知基金份额持有人，说明有关处理方法，并在2日内在指定媒介上刊登公告。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法律法规对Y类基金份额的继承等事项另有规定的，按法律法规的规定执行。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w:t>
      </w:r>
      <w:r>
        <w:rPr>
          <w:rFonts w:ascii="宋体" w:hAnsi="宋体"/>
          <w:sz w:val="24"/>
        </w:rPr>
        <w:lastRenderedPageBreak/>
        <w:t>规定。投资人在办理定期定额投资计划时可自行约定每期扣款金额，每期扣款金额必须不低于基金管理人在相关公告或更新的招募说明书中所规定的定期定额投资计划最低申购金额。本基金2019年5月31日刊登公告自2019年6月3日起开通本基金A类基金份额的定期定额投资计划业务，本基金2022年11月25日刊登公告自2022年11月28日起开通本基金Y类基金份额的定期定额投资计划业务，具体开通销售机构名单和业务规则参见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2" w:name="_Toc227915042"/>
      <w:r>
        <w:rPr>
          <w:rFonts w:ascii="Times New Roman" w:hAnsi="Times New Roman"/>
          <w:sz w:val="30"/>
        </w:rPr>
        <w:lastRenderedPageBreak/>
        <w:t>九、基金的投资</w:t>
      </w:r>
      <w:bookmarkEnd w:id="12"/>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本基金主要投资于经中国证监会依法核准或注册的公开募集证券投资基金的基金份额，在控制风险并保持基金资产良好的流动性的前提下，力争实现基金资产的长期稳健增值，满足养老资金理财需求。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权证以及法律法规或中国证监会允许基金投资的其他金融工具（但须符合中国证监会相关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-30%。本基金持有的现金或者到期日在一年以内的政府债券的比例合计不低于基金资产净值的5%，其中现金不包括结算备付金、存出保证金、应收申购款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本基金投资于权益类资产（包括股票（含存托凭证）、股票型基金、混合型基金）的战略配置目标比例为25%，投资比例为基金资产的15%-30%。其中混合型基金需符合下列两个条件之一：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1、基金合同中明确约定股票投资占基金资产的比例为50%以上；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2、最近4个季度披露的股票投资占基金资产的比例均在50%以上的混合型基金。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本基金投资策略主要分为以下七个部分：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目标风险策略来进行投资品种的大类资产配置。本基金根据特定的风险偏好设定权益类资产、非权益资产的基准配置比例，并采取有效措施控制基金组合风险。在基于目标风险策略应用过程中，本基金根据既定的风险预算对投资组合进行目标约束，并根据该风险预算目标来调整组合中各类资产的配置比例，将整个投资组合维持在相对稳定的市场风险暴露。</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被投资基金运作合规，风格清晰，中长期收益良好，业绩波动性较低，根据定性评估分析结果，最终确定本基金的投资组合及配置比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3、股票投资策略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案头分析和深入的实地调研，以定性与定量相结合的方法对公司价值进行综合评估。通过对重点上市公司进行内在价值的评估和成长性跟踪研究，在明确的价值评估基础上精选优秀质地的投资标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7、风险控制策略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本基金定位为稳健型目标风险策略基金，在风险控制策略上，将从大类资产配置、子基金选择、整体流动性风险等方面来控制风险。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特定的风险偏好设定权益类资产、非权益资产的基准配置比例，通过控制目标风险，根据既定的风险预算对投资组合进行目标约束，并进行战术上的调整，当组合的实际风险偏离风险目标时，通过调整权益类资产、非权益类资产的配置比例，将整个投资组合维持在相对稳定的市场风险暴露。</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子基金选择方面，采用基金绩效评估系统进行全面分析，同时着重对子基金的风险控制能力进行评估，包括风险指标和风险调整后收益指标等，及时调整子基金在投资组合中的比例，来控制子基金在投资组合中的风险暴露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-30%；本基金投资权益类资产（包括股票（含存托凭证）、股票型基金、混合型基金）的战略配置目标比例为25%，投资比例为基金资产的15%-30%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（6）本基金投资其他基金时，被投资基金的运作期限不少于2年、最近两年平</w:t>
      </w:r>
      <w:r>
        <w:rPr>
          <w:rFonts w:ascii="宋体" w:hAnsi="宋体"/>
          <w:sz w:val="24"/>
        </w:rPr>
        <w:lastRenderedPageBreak/>
        <w:t>均季末基金净资产应当不低于2亿元；被投资基金为指数基金、ETF和商品基金等品种的，运作期限应当不少于1年，最近定期报告披露的季末基金净资产应当不低于1亿元；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（9）基金管理人运用本基金财产投资于股票、债券等金融工具的，投资品种和比例应当符合本基金的投资目标和投资策略；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（10）本基金持有一家公司发行的证券（不含本基金所投资的基金份额），其市值不超过基金资产净值的10%；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（11）本基金管理人管理的全部基金持有一家公司发行的证券（不含本基金所投资的基金份额），不超过该证券的10%；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（12）本基金持有的全部权证，其市值不得超过基金资产净值的3%；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（13）本基金管理人管理的全部基金持有的同一权证，不得超过该权证的10%；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（14）本基金在任何交易日买入权证的总金额，不得超过上一交易日基金资产净值的0.5%；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（18）本基金投资于同一原始权益人的各类资产支持证券的比例，不得超过基</w:t>
      </w:r>
      <w:r>
        <w:rPr>
          <w:rFonts w:ascii="宋体" w:hAnsi="宋体"/>
          <w:sz w:val="24"/>
        </w:rPr>
        <w:lastRenderedPageBreak/>
        <w:t>金资产净值的10%；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（19）本基金持有的全部资产支持证券，其市值不得超过基金资产净值的20%；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（20）本基金持有的同一（指同一信用级别）资产支持证券的比例，不得超过该资产支持证券规模的10%；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（21）本基金管理人管理的全部基金投资于同一原始权益人的各类资产支持证券，不得超过其各类资产支持证券合计规模的10%；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（22）本基金应投资于信用级别评级为BBB以上（含BBB）的资产支持证券。基金持有资产支持证券期间，如果其信用等级下降、不再符合投资标准，应在评级报告发布之日起3个月内予以全部卖出；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（23）基金财产参与股票发行申购，本基金所申报的金额不超过本基金的总资产，本基金所申报的股票数量不超过拟发行股票公司本次发行股票的总量；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（24）本基金进入全国银行间同业市场进行债券回购的资金余额不得超过基金资产净值的40%，本基金在全国银行间同业市场中的债券回购最长期限为1年，债券回购到期后不得展期；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（25）本基金的基金资产总值不得超过基金资产净值的140%；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（26）本基金投资于商品基金（含商品期货基金和黄金ETF）的资产占基金资产的比例不高于10%；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（27）本基金投资于货币市场基金的比例不得超过基金资产的5%；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（28）本基金投资存托凭证的比例限制依照境内上市交易的股票执行；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（29）法律法规及中国证监会规定的和《基金合同》约定的其他投资限制。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16）项、第（17）项及第（22）项以外的其他情形，基金管理人应当在10个交易日内进行调整，但中国证监会规定的特殊情形除外。法律法规另有规定的，从其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w:t>
      </w:r>
      <w:r>
        <w:rPr>
          <w:rFonts w:ascii="宋体" w:hAnsi="宋体"/>
          <w:sz w:val="24"/>
        </w:rPr>
        <w:lastRenderedPageBreak/>
        <w:t>律法规或监管部门另有规定的，从其规定。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80%×中债综合全价指数收益率+20%×沪深300指数收益率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w:t>
      </w:r>
      <w:r>
        <w:rPr>
          <w:rFonts w:ascii="宋体" w:hAnsi="宋体"/>
          <w:sz w:val="24"/>
        </w:rPr>
        <w:lastRenderedPageBreak/>
        <w:t>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基金托管人中国农业银行股份有限公司根据本基金合同规定，于2026年04月20日复核了本报告中的财务指标、净值表现和投资组合报告等内容，保证复核内容不存在虚假记载、误导性陈述或者重大遗漏。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1,375,910.75</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1,375,910.75</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1,824,741,757.69</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93.47</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110,109,818.41</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110,109,818.41</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12,874,056.01</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3,041,355.12</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1,952,142,897.98</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236,996.27</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12,042.48</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1,126,872.00</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1,375,910.75</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000888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峨眉山</w:t>
            </w: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88,800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1,126,872.00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688545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兴福电子</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994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45,386.04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603262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技源集团</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1,543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38,173.82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382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22,240.04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301658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首航新能</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437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20,757.50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301662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宏工科技</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19,306.43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301275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汉朔科技</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15,880.00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301535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浙江华远</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14,650.64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301602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超研股份</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658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13,054.72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301590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优优绿能</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12,017.26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110,109,818.41</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5.76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110,109,818.41</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5.76</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647,000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65,558,861.48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3.43</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412,000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41,511,133.37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102298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2508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3,039,823.56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报告期内本基金投资的前十名证券的发行主体出现被监管部门立案调查，或在报告编制日前一年内受到公开谴责、处罚的情形披露如下：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2025年07月25日,国家外汇管理局北京市分局公示京汇罚[2025]30号行政处罚决定书,给予国家开发银行罚没合计1394.42万元人民币的行政处罚。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150,425.40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1,999,436.20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819,664.86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71,828.66</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right"/>
              <w:rPr>
                <w:rFonts w:ascii="宋体" w:hAnsi="宋体"/>
                <w:color w:val="000000"/>
                <w:kern w:val="0"/>
                <w:sz w:val="25"/>
                <w:szCs w:val="24"/>
              </w:rPr>
            </w:pPr>
            <w:r>
              <w:rPr>
                <w:rFonts w:ascii="Times New Roman" w:hAnsi="Times New Roman"/>
                <w:color w:val="000000"/>
                <w:kern w:val="0"/>
                <w:sz w:val="25"/>
                <w:szCs w:val="24"/>
              </w:rPr>
              <w:t>3,041,355.12</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3" w:name="_Toc227915043"/>
      <w:r>
        <w:rPr>
          <w:rFonts w:ascii="Times New Roman" w:hAnsi="Times New Roman"/>
          <w:sz w:val="30"/>
        </w:rPr>
        <w:lastRenderedPageBreak/>
        <w:t>十、基金的业绩</w:t>
      </w:r>
      <w:bookmarkEnd w:id="13"/>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（1）交银安享稳健混合A：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6.14%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3.95%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3.82%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-3.42%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-2.74%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-4.06%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3.64%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10.03%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5.32%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4.71%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3.61%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（2）交银安享稳健混合Y：</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6.41%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4.22%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F942D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注：本基金的业绩比较基准为80%×中债综合全价指数收益率+20%×沪深300指数收益率，每日进行再平衡过程。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F942D7" w:rsidRDefault="0033531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交银施罗德安享稳健养老目标一年持有期混合型基金中基金（FOF）</w:t>
      </w:r>
    </w:p>
    <w:p w:rsidR="00F942D7" w:rsidRDefault="0033531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F942D7" w:rsidRDefault="0033531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（2019年5月30日至2026年03月31日）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（1）交银安享稳健混合A：</w:t>
      </w:r>
    </w:p>
    <w:p w:rsidR="00F942D7" w:rsidRDefault="000B3B3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（2）交银安享稳健混合Y：</w:t>
      </w:r>
    </w:p>
    <w:p w:rsidR="00F942D7" w:rsidRDefault="000B3B3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2、本基金自2022年11月11日增加Y类基金份额，自2022年11月16日起新增有效份额，并于2022年11月28日起面向公众发售，基金份额类别首次确认当年净值增长率按实际存续期计算。</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4" w:name="_Toc227915044"/>
      <w:r>
        <w:rPr>
          <w:rFonts w:ascii="Times New Roman" w:hAnsi="Times New Roman"/>
          <w:sz w:val="30"/>
        </w:rPr>
        <w:lastRenderedPageBreak/>
        <w:t>十一、基金的财产</w:t>
      </w:r>
      <w:bookmarkEnd w:id="14"/>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基金资产总值是指基金拥有的各类有价证券、证券投资基金份额、银行存款本息、基金应收申购款及其他资产的价值总和。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5" w:name="_Toc227915045"/>
      <w:r>
        <w:rPr>
          <w:rFonts w:ascii="Times New Roman" w:hAnsi="Times New Roman"/>
          <w:sz w:val="30"/>
        </w:rPr>
        <w:lastRenderedPageBreak/>
        <w:t>十二、基金资产的估值</w:t>
      </w:r>
      <w:bookmarkEnd w:id="15"/>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基金所拥有的证券投资基金份额、股票、债券和其它投资等持续以公允价值计量的金融资产及负债。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1、证券投资基金的估值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w:t>
      </w:r>
      <w:r>
        <w:rPr>
          <w:rFonts w:ascii="宋体" w:hAnsi="宋体"/>
          <w:sz w:val="24"/>
        </w:rPr>
        <w:lastRenderedPageBreak/>
        <w:t>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3、证券交易所发行未上市期间的有价证券应区分如下情况处理：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（3）发行时明确一定期限限售期的股票，包括但不限于非公开发行股票、首次公开发行股票时公司股东公开发售股份、通过大宗交易取得的带限售期的股票等，按监管机构或行业协会有关规定确定公允价值；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4、银行间市场上市交易的固定收益品种，选取第三方估值机构提供的相应品种当日的估值净价进行估值。银行间市场发行未上市的固定收益品种，采用估值技术确定公允价值。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6、当发生大额申购或赎回情形时，基金管理人可以对本基金采用摆动定价机制，以确保基金估值的公平性。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估值日，该类基金份额的基金资产净值除以估值日该类基金份额的余额数量计算，精确到0.0001元，小数点后第五位四舍五入。国家另有规定的，从其规定。T日的基金份额净值在所投资基金披露净值或万份收益当日（法定节假日顺延至第一个交易日）计算，并在T+3日内披露本基金T日各类基金份额的基金份额净值和基金份额累计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基金管理人于每个工作日分别计算各类基金份额的基金资产净值及基金份额净值，并按规定公告。如遇特殊情况，经中国证监会同意，可以适当延迟计算或公告。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w:t>
      </w:r>
      <w:r>
        <w:rPr>
          <w:rFonts w:ascii="宋体" w:hAnsi="宋体"/>
          <w:sz w:val="24"/>
        </w:rPr>
        <w:lastRenderedPageBreak/>
        <w:t>据基金合同的约定和相关法律法规的规定对外公布。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（3）前述内容如法律法规或监管机构另有规定的，从其规定处理。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3、由于本基金持有的相当比例的基金暂停估值，导致基金管理人无法计算当日基金资产净值；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4、当前一估值日基金资产净值50%以上的资产出现无可参考的活跃市场价格且采用估值技术仍导致公允价值存在重大不确定性时，经与基金托管人协商确认后，基金管理人应当暂停基金估值；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5、法律法规或中国证监会规定的和基金合同约定的其它情形。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 由于证券交易所、证券经纪机构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6" w:name="_Toc227915046"/>
      <w:r>
        <w:rPr>
          <w:rFonts w:ascii="Times New Roman" w:hAnsi="Times New Roman"/>
          <w:sz w:val="30"/>
        </w:rPr>
        <w:lastRenderedPageBreak/>
        <w:t>十三、基金收益与分配</w:t>
      </w:r>
      <w:bookmarkEnd w:id="16"/>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A类基金份额默认的收益分配方式是现金分红，Y类基金份额默认的收益分配方式为红利再投资；投资者红利再投资所得的该类基金份额不受最短持有期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4、本基金各基金份额类别对应的可供分配利润可能有所不同；本基金同一基金份额类别的每一基金份额享有同等分配权；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法律法规或监管机构另有规定的，从其规定。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7" w:name="_Toc227915047"/>
      <w:r>
        <w:rPr>
          <w:rFonts w:ascii="Times New Roman" w:hAnsi="Times New Roman"/>
          <w:sz w:val="30"/>
        </w:rPr>
        <w:lastRenderedPageBreak/>
        <w:t>十四、基金的费用与税收</w:t>
      </w:r>
      <w:bookmarkEnd w:id="17"/>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9、本基金投资其他基金产生的其他基金的销售费用（如申购费、赎回费、销售服务费等），但法律法规禁止从基金财产中列支的除外；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资产净值扣除该类基金财产中持有的基金管理人自身管理的基金部分所对应资产净值后剩余部分的（若为负数，则取0）年管理费率计提。</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本基金A类基金份额的年管理费率为0.6%；本基金Y类基金份额的年管理费率为0.3%。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管理费的计算方法如下：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H为各类基金份额每日应计提的基金管理费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E为各类基金份额前一日的该类基金资产净值扣除该类基金财产中持有的基金管理人自身管理的基金部分所对应资产净值后剩余部分，若为负数，则E取0。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w:t>
      </w:r>
      <w:r>
        <w:rPr>
          <w:rFonts w:ascii="宋体" w:hAnsi="宋体"/>
          <w:sz w:val="24"/>
        </w:rPr>
        <w:lastRenderedPageBreak/>
        <w:t>划付指令，经基金托管人复核后于次月首日起3个工作日内从基金资产中一次性支付给基金管理人。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资产净值扣除该类基金财产中持有的基金托管人自身托管的基金部分所对应资产净值后剩余部分（若为负数，则取0）的年托管费率计提。</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本基金A类基金份额的年托管费率为0.2%；本基金Y类基金份额的年托管费率为0.1%。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托管费的计算方法如下：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H为各类基金份额每日应计提的基金托管费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E为各类基金份额前一日的该类基金资产净值扣除该类基金财产中持有的基金托管人自身托管的基金部分所对应资产净值后剩余部分，若为负数，则E取0。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（3）本基金Y类基金份额可对基金管理费和基金托管费实施一定的费率优惠，具体优惠请参看相关公告。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（4）上述“（一）基金费用的种类”中第3－10项费用，根据有关法规及相应协议规定，按费用实际支出金额列入当期费用，由基金托管人从基金财产中支付。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（四）基金税收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8" w:name="_Toc227915048"/>
      <w:r>
        <w:rPr>
          <w:rFonts w:ascii="Times New Roman" w:hAnsi="Times New Roman"/>
          <w:sz w:val="30"/>
        </w:rPr>
        <w:lastRenderedPageBreak/>
        <w:t>十五、基金的会计与审计</w:t>
      </w:r>
      <w:bookmarkEnd w:id="18"/>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19" w:name="_Toc227915049"/>
      <w:r>
        <w:rPr>
          <w:rFonts w:ascii="Times New Roman" w:hAnsi="Times New Roman"/>
          <w:sz w:val="30"/>
        </w:rPr>
        <w:lastRenderedPageBreak/>
        <w:t>十六、基金的信息披露</w:t>
      </w:r>
      <w:bookmarkEnd w:id="19"/>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《基金合同》生效后，在开始办理基金份额申购或者赎回前，基金管理人应当至少每周在指定网站分别披露一次A类基金份额和Y类基金份额所对应的基金份额净值和基金份额累计净值。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w:t>
      </w:r>
      <w:r>
        <w:rPr>
          <w:rFonts w:ascii="宋体" w:hAnsi="宋体"/>
          <w:sz w:val="24"/>
        </w:rPr>
        <w:lastRenderedPageBreak/>
        <w:t>的3个工作日内，通过指定网站、基金销售机构网站或者营业网点分别披露开放日A类基金份额和Y类基金份额所对应的基金份额净值和基金份额累计净值。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基金管理人应当在不晚于半年度和年度最后一日后的3个工作日内，在指定网站披露半年度和年度最后一日A类基金份额和Y类基金份额所对应的基金份额净值和基金份额累计净值。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本基金持续运作过程中，应当在基金年度报告和中期报告中披露基金组合资产情况及其流动性风险分析等。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期间，如报告期内出现单一投资者持有基金份额比例达到或超过基金总份额20%的情形，为保障其他投资者利益，基金管理人至少应当在定期报告“影响投资者决策的其他重要信息”项下披露该投资者的类别、报告期末持有份额及占比、报告期内持有份额变化情况及本基金的特有风险，中国证监会认定的特殊情形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（22）本基金采用摆动定价机制进行估值；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（24）本基金连续40、50、55个工作日出现基金份额持有人数量不满200人或者基金资产净值低于5000万元情形；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流通受限证券，基金管理人应在本基金投资非公开发行股票后两个交易日内，在中国证监会指定媒介披露所投资非公开发行股票的名称、数量、总成本、账面价值，以及总成本和账面价值占基金资产净值的比例、锁定期等信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12、本基金在定期报告和招募说明书（更新）中应设立专门章节披露所持基金</w:t>
      </w:r>
      <w:r>
        <w:rPr>
          <w:rFonts w:ascii="宋体" w:hAnsi="宋体"/>
          <w:sz w:val="24"/>
        </w:rPr>
        <w:lastRenderedPageBreak/>
        <w:t>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基金管理人、基金托管人应当在指定报刊中选择一家披露信息的报刊。基金管理人、基金托管人应当向中国证监会基金电子披露网站报送拟披露的基金信息，并保证相关报送信息的真实、准确、完整、及时。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为基金信息披露义务人公开披露的基金信息出具审计报告、法律意见书的专业机构，应当制作工作底稿，并将相关档案至少保存到《基金合同》终止后十年。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0" w:name="_Toc227915050"/>
      <w:r>
        <w:rPr>
          <w:rFonts w:ascii="Times New Roman" w:hAnsi="Times New Roman"/>
          <w:sz w:val="30"/>
        </w:rPr>
        <w:lastRenderedPageBreak/>
        <w:t>十七、风险揭示</w:t>
      </w:r>
      <w:bookmarkEnd w:id="20"/>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前一开放日基金总份额的百分之十时，投资人将可能无法及时赎回持有的全部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w:t>
      </w:r>
      <w:r>
        <w:rPr>
          <w:rFonts w:ascii="宋体" w:hAnsi="宋体"/>
          <w:sz w:val="24"/>
        </w:rPr>
        <w:lastRenderedPageBreak/>
        <w:t>本基金业绩表现的保证。基金管理人提醒投资人基金投资的“买者自负”原则，在做出投资决策后，基金运营状况与基金净值变化引致的投资风险，由投资人自行负担。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（一）本基金特有的风险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1、本基金为养老目标基金，致力于满足投资者的养老资金理财需求，但养老目标基金并不代表收益保障或其他任何形式的收益承诺。本基金非保本产品，存在投资者承担亏损的可能性。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-30%。因此本基金所持有的基金的业绩表现、持有基金的基金管理人水平等因素将影响到本基金的基金业绩表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定位为稳健型目标风险策略基金，本基金投资于权益类资产（包括股票（含存托凭证）、股票型基金、混合型基金）的战略配置目标比例为25%，投资比例为基金资产的15%-30%。其中混合型基金需符合下列两个条件之一：1、基金合同中明确约定股票投资占基金资产的比例为50%以上；2、最近4个季度披露的股票投资占基金资产的比例均在50%以上的混合型基金。本基金的预期风险与预期收益高于债券型基金、债券型基金中基金、货币市场基金和货币型基金中基金，低于股票型基金和股票型基金中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持有的每份基金份额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通常T日提交的有效申购申请于T+3日确认）至一年后的年度对日的前一日。因此，对于基金份额持有人而言，存在投资本基金后一年内无法赎回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5、本基金为基金中基金，由于本基金所持有的相当比例的基金暂停估值，导致基金管理人无法计算当日本基金资产净值；或者由于本基金持有的相当比例的基</w:t>
      </w:r>
      <w:r>
        <w:rPr>
          <w:rFonts w:ascii="宋体" w:hAnsi="宋体"/>
          <w:sz w:val="24"/>
        </w:rPr>
        <w:lastRenderedPageBreak/>
        <w:t>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（二）市场风险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w:t>
      </w:r>
      <w:r>
        <w:rPr>
          <w:rFonts w:ascii="宋体" w:hAnsi="宋体"/>
          <w:sz w:val="24"/>
        </w:rPr>
        <w:lastRenderedPageBreak/>
        <w:t>券和债券回购，其收益水平会受到利率变化和货币市场供求状况的影响。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（三）管理风险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（四）流动性风险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份额持有人持有的每份基金份额最短持有期限为一年，对于满足持有期限的投资人，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至一年后的年度对日（含该日）开始办理赎回，具体业务办理时间在赎回开始公告中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被予以拒绝。基金份额持有人需承担赎回申请失败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w:t>
      </w:r>
      <w:r>
        <w:rPr>
          <w:rFonts w:ascii="宋体" w:hAnsi="宋体"/>
          <w:sz w:val="24"/>
        </w:rPr>
        <w:lastRenderedPageBreak/>
        <w:t>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（五）信用风险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w:t>
      </w:r>
      <w:r>
        <w:rPr>
          <w:rFonts w:ascii="宋体" w:hAnsi="宋体"/>
          <w:sz w:val="24"/>
        </w:rPr>
        <w:lastRenderedPageBreak/>
        <w:t>股票。基金资产投资于科创板股票，会面临科创板机制下因投资标的、市场制度以及交易规则等差异带来的特有风险，包括但不限于市场风险、流动性风险、退市风险、系统性风险、政策风险等。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w:t>
      </w:r>
      <w:r w:rsidRPr="00BB248E">
        <w:rPr>
          <w:rFonts w:ascii="宋体" w:hAnsi="宋体" w:hint="eastAsia"/>
          <w:kern w:val="0"/>
          <w:sz w:val="24"/>
        </w:rPr>
        <w:t>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5、因业务竞争压力可能产生的风险；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1" w:name="_Toc227915051"/>
      <w:r>
        <w:rPr>
          <w:rFonts w:ascii="Times New Roman" w:hAnsi="Times New Roman"/>
          <w:sz w:val="30"/>
        </w:rPr>
        <w:lastRenderedPageBreak/>
        <w:t>十八、基金合同的变更、终止与基金财产的清算</w:t>
      </w:r>
      <w:bookmarkEnd w:id="21"/>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2" w:name="_Toc227915052"/>
      <w:r>
        <w:rPr>
          <w:rFonts w:ascii="Times New Roman" w:hAnsi="Times New Roman"/>
          <w:sz w:val="30"/>
        </w:rPr>
        <w:lastRenderedPageBreak/>
        <w:t>十九、基金合同内容摘要</w:t>
      </w:r>
      <w:bookmarkEnd w:id="22"/>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（11）在《基金合同》约定的范围内，拒绝或暂停受理申购、赎回或转换申请；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w:t>
      </w:r>
      <w:r>
        <w:rPr>
          <w:rFonts w:ascii="宋体" w:hAnsi="宋体"/>
          <w:sz w:val="24"/>
        </w:rPr>
        <w:lastRenderedPageBreak/>
        <w:t>服务的外部机构；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w:t>
      </w:r>
      <w:r>
        <w:rPr>
          <w:rFonts w:ascii="宋体" w:hAnsi="宋体"/>
          <w:sz w:val="24"/>
        </w:rPr>
        <w:lastRenderedPageBreak/>
        <w:t>他人泄露；</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2、基金托管人的权利与义务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（7）保守基金商业秘密，除《基金法》、《基金合同》及其他有关规定另有规定外，在基金信息公开披露前予以保密，不得向他人泄露；</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1）终止《基金合同》，基金合同另有约定的除外；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8）变更基金投资目标、范围或策略，基金合同另有约定的除外；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9）变更基金份额持有人大会程序，基金合同另有约定的除外；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（2）在符合法律法规和《基金合同》规定的范围内、并且对基金份额持有人</w:t>
      </w:r>
      <w:r>
        <w:rPr>
          <w:rFonts w:ascii="宋体" w:hAnsi="宋体"/>
          <w:sz w:val="24"/>
        </w:rPr>
        <w:lastRenderedPageBreak/>
        <w:t>利益无实质不利影响的前提下，以下情况可由基金管理人和基金托管人协商后修改，不需召开基金份额持有人大会：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3）调整本基金的申购费率、调低赎回费率、变更或增加收费方式；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4）在符合法律法规及本基金合同规定、并且对基金份额持有人利益无实质不利影响的前提下，调整基金份额类别设置、对基金份额分类办法及规则进行调整或者停止现有基金份额类别的销售；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5）因相应的法律法规、登记机构的相关业务规则发生变动而应当对《基金合同》进行修改；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7）在法律法规允许的情况下，且在对现有基金份额持有人利益无实质性不利影响的前提下，基金推出新业务或服务；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8）在符合法律法规及本基金合同规定、并且对基金份额持有人利益无实质性不利影响的前提下，增加基金份额类别或调整本基金份额类别的设置；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9）在不违反法律法规及对基金份额持有人利益无实质性不利影响的前提下，基金管理人、登记机构、销售机构调整有关基金认购、申购、赎回、转换、定期定额投资、非交易过户、转托管等业务的规则；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10）按照法律法规和《基金合同》规定不需召开基金份额持有人大会的其他情形。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出现基金份额持有人数量不满200人或者基金资产净值低于5000万元情形，本基金管理人提前终止本基金合同，不需召开基金份额持有人大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w:t>
      </w:r>
      <w:r>
        <w:rPr>
          <w:rFonts w:ascii="宋体" w:hAnsi="宋体"/>
          <w:sz w:val="24"/>
        </w:rPr>
        <w:lastRenderedPageBreak/>
        <w:t>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6）出席会议者必须准备的文件和必须履行的手续；</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基金份额持有人大会可通过现场开会方式、通讯开会方式或法律法规和监管机构允许的其他方式召开，会议的召开方式由会议召集人确定。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在同时符合以下条件时，通讯开会的方式视为有效：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构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w:t>
      </w:r>
      <w:r>
        <w:rPr>
          <w:rFonts w:ascii="宋体" w:hAnsi="宋体"/>
          <w:sz w:val="24"/>
        </w:rPr>
        <w:lastRenderedPageBreak/>
        <w:t>规定的其他事项以及会议召集人认为需提交基金份额持有人大会讨论的其他事项。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就上述情</w:t>
      </w:r>
      <w:r>
        <w:rPr>
          <w:rFonts w:ascii="宋体" w:hAnsi="宋体"/>
          <w:sz w:val="24"/>
        </w:rPr>
        <w:lastRenderedPageBreak/>
        <w:t>形，法律法规、《基金合同》和中国证监会另有规定的除外）以特别决议通过方为有效。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8、生效与公告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w:t>
      </w:r>
      <w:r>
        <w:rPr>
          <w:rFonts w:ascii="宋体" w:hAnsi="宋体"/>
          <w:sz w:val="24"/>
        </w:rPr>
        <w:lastRenderedPageBreak/>
        <w:t>金托管人承接的；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6、基金财产清算的公告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争议处理期间，基金管理人和基金托管人应恪守职责，各自继续忠实、勤勉、尽责地履行基金合同规定的义务，维护基金份额持有人的合法权益。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3" w:name="_Toc227915053"/>
      <w:r>
        <w:rPr>
          <w:rFonts w:ascii="Times New Roman" w:hAnsi="Times New Roman"/>
          <w:sz w:val="30"/>
        </w:rPr>
        <w:lastRenderedPageBreak/>
        <w:t>二十、托管协议的内容摘要</w:t>
      </w:r>
      <w:bookmarkEnd w:id="23"/>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注册资本：32,479,411.7万元人民币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权证以及法律法规或中国证监会允许基金投资的其他金融工具（但须符合中国证监会相关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w:t>
      </w:r>
      <w:r>
        <w:rPr>
          <w:rFonts w:ascii="宋体" w:hAnsi="宋体"/>
          <w:sz w:val="24"/>
        </w:rPr>
        <w:lastRenderedPageBreak/>
        <w:t>合计占基金资产的0%-30%。本基金持有的现金或者到期日在一年以内的政府债券的比例合计不低于基金资产净值的5%，其中现金不包括结算备付金、存出保证金、应收申购款等。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本基金投资于权益类资产（包括股票（含存托凭证）、股票型基金、混合型基金）的战略配置目标比例为25%，投资比例为基金资产的15%-30%。其中混合型基金需符合下列两个条件之一：</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1、基金合同中明确约定股票投资占基金资产的比例为50%以上；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2、最近4个季度披露的股票投资占基金资产的比例均在50%以上的混合型基金。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公开募集证券投资基金的基金份额的资产不低于本基金资产的80%，其中投资于股票（含存托凭证）、股票型基金（包括股票指数基金）、混合型基金和商品基金（含商品期货基金和黄金ETF）等品种的比例合计占基金资产的0%-30%；本基金投资权益类资产（包括股票（含存托凭证）、股票型基金、混合型基金）的战略配置目标比例为25%，投资比例为基金资产的15%-30%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4、本基金管理人管理并由本基金托管人托管的全部基金中基金（除ETF联接基金外）持有单只基金不得超过被投资基金净资产的20%，被投资基金净资产规模以最近定期报告披露的规模为准；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2年、最近两年平均季末基金净资产应当不低于2亿元；被投资基金为指数基金、ETF和商品基金等品种的，运作期限应当不少于1年,最近定期报告披露的季末基金净资产应当不低于1亿</w:t>
      </w:r>
      <w:r>
        <w:rPr>
          <w:rFonts w:ascii="宋体" w:hAnsi="宋体"/>
          <w:sz w:val="24"/>
        </w:rPr>
        <w:lastRenderedPageBreak/>
        <w:t>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8、本基金投资于封闭运作基金、定期开放基金等流通受限基金，其公允价值不得超过本基金资产净值的10%；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9、基金管理人运用本基金财产投资于股票、债券等金融工具的，投资品种和比例应当符合本基金的投资目标和投资策略；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10、本基金持有一家公司发行的证券（不含本基金所投资的基金份额），其市值不超过基金资产净值的10%；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11、本基金管理人管理的且由本基金托管人托管的全部基金持有一家公司发行的证券（不含本基金所投资的基金份额），不超过该证券的10%；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12、本基金持有的全部权证，其市值不得超过基金资产净值的3%；</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13、本基金管理人管理的且由本基金托管人托管的全部基金持有的同一权证，不得超过该权证的10%；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14、本基金在任何交易日买入权证的总金额，不得超过上一交易日基金资产净值的0.5%；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18、本基金投资于同一原始权益人的各类资产支持证券的比例，不得超过基金资产净值的10%；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19、本基金持有的全部资产支持证券，其市值不得超过基金资产净值的20%；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20、本基金持有的同一（指同一信用级别）资产支持证券的比例，不得超过该资产支持证券规模的10%；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21、本基金管理人管理的且由本基金托管人托管的全部基金投资于同一原始权益人的各类资产支持证券，不得超过其各类资产支持证券合计规模的10%；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22、本基金应投资于信用级别评级为BBB以上(含BBB)的资产支持证券。基金持有资产支持证券期间，如果其信用等级下降、不再符合投资标准，应在评级报告发布之日起3个月内予以全部卖出；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23、基金财产参与股票发行申购，本基金所申报的金额不超过本基金的总资产，本基金所申报的股票数量不超过拟发行股票公司本次发行股票的总量；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24、本基金进入全国银行间同业市场进行债券回购的资金余额不得超过基金资产净值的40%，本基金在全国银行间同业市场中的债券回购最长期限为1年，债券回购到期后不得展期；</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25、本基金的基金资产总值不得超过基金资产净值的140%；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26、本基金投资于商品基金（含商品期货基金和黄金ETF）的资产占基金资产的比例不高于10%；</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27、本基金投资于货币市场基金的比例不得超过基金资产的5%；</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28、本基金投资存托凭证的比例限制依照境内上市交易的股票执行；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29、法律法规及中国证监会规定的和《基金合同》约定的其他投资限制。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16项、第17项及第22项以外的其他情形，基金管理人应当在10个交易日内进行调整，但中国证监会规定的特殊情形除外。法律法规另有规定的，从其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w:t>
      </w:r>
      <w:r>
        <w:rPr>
          <w:rFonts w:ascii="宋体" w:hAnsi="宋体"/>
          <w:sz w:val="24"/>
        </w:rPr>
        <w:lastRenderedPageBreak/>
        <w:t>法规或监管部门取消或修改上述限制，如适用于本基金，基金管理人在履行适当程序后，本基金投资所受限制相应调整或取消。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w:t>
      </w:r>
      <w:r>
        <w:rPr>
          <w:rFonts w:ascii="宋体" w:hAnsi="宋体"/>
          <w:sz w:val="24"/>
        </w:rPr>
        <w:lastRenderedPageBreak/>
        <w:t>托管人事后发现基金管理人没有按照事先约定的交易对手进行交易时，基金托管人应及时提醒基金管理人，基金托管人不承担由此造成的任何损失和责任。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w:t>
      </w:r>
      <w:r>
        <w:rPr>
          <w:rFonts w:ascii="宋体" w:hAnsi="宋体"/>
          <w:sz w:val="24"/>
        </w:rPr>
        <w:lastRenderedPageBreak/>
        <w:t>管人提供有关流通受限证券的相关信息，具体应当包括但不限于如下文件（如有）：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基金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基金账户等投资所需账户、复核基金管理人计算的各类基金份额的基金资产净值和基金份额净值、根据基金管理人指令办理清算交收、相关信息披露和监督基金投资运作等行为。</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（3）基金托管人按照规定开设基金财产的资金账户、证券账户、基金账户等投资所需账户。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（1）基金募集期间的认购款项应存于专用账户。该账户由基金管理人或基金管理人委托的登记机构在具有托管资格的商业银行开立并管理。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w:t>
      </w:r>
      <w:r>
        <w:rPr>
          <w:rFonts w:ascii="宋体" w:hAnsi="宋体"/>
          <w:sz w:val="24"/>
        </w:rPr>
        <w:lastRenderedPageBreak/>
        <w:t>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估值日，该类基金份额的基金资产净值除以估值日该类基金份额总数后得到的数值。各类基金份额的基金份额净值的计算，精确到0.0001元，小数点后第五位四舍五入，由此产生的收益或损失由基金财产承担。国家另有规定的，从其规定。T日的基金份额净值在所投资基金披露净值或万份收益当日（法定节假日顺延至第一个交易日）计算，并在T+3日内披露本基金T日各类基金份额的基金份额净值和基金份额累计净值。</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基金管理人于每个工作日分别计算各类基金份额的基金资产净值及基金份额净值，并按规定公告。如遇特殊情况，经中国证监会同意，可以适当延迟计算或公告。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基金管理人每个工作日对基金资产进行估值后，将各类基金份额净值结果发送</w:t>
      </w:r>
      <w:r>
        <w:rPr>
          <w:rFonts w:ascii="宋体" w:hAnsi="宋体"/>
          <w:sz w:val="24"/>
        </w:rPr>
        <w:lastRenderedPageBreak/>
        <w:t>基金托管人，经基金托管人复核无误后，由基金管理人依据基金合同的约定和相关法律法规的规定对外公布。月末、年中和年末估值复核与基金会计账目的核对同时进行。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基金份额持有人的名称和持有的基金份额。</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争议处理期间，基金管理人和基金托管人应恪守职责，各自继续忠实、勤勉、尽责地履行基金合同和本托管协议规定的义务，维护基金份额持有人的合法权益。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本协议双方当事人经协商一致，可以对协议进行修改。修改后的新协议，其内容不得与基金合同的规定有任何冲突。基金托管协议的变更应报中国证监会备案。</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4" w:name="_Toc227915054"/>
      <w:r>
        <w:rPr>
          <w:rFonts w:ascii="Times New Roman" w:hAnsi="Times New Roman"/>
          <w:sz w:val="30"/>
        </w:rPr>
        <w:lastRenderedPageBreak/>
        <w:t>二十一、对基金份额持有人的服务</w:t>
      </w:r>
      <w:bookmarkEnd w:id="24"/>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1、基金合同生效后的每次交易结束后，投资人可在T+4个工作日后通过销售机构的网点查询和打印确认单；</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基金份额的申购、赎回、定期定额投资等业务。通过网上直销交易平台办理本基金申购和定期定额投资业务的个人投资者将享受前端申购费率的优惠，其他费率标准不变。具体优惠费率请参见公司网站列示的网上直销申购、定期定额投资费率表或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本基金收益分配时，基金份额持有人持有的A类基金份额可选择现金红利或选</w:t>
      </w:r>
      <w:r>
        <w:rPr>
          <w:rFonts w:ascii="宋体" w:hAnsi="宋体"/>
          <w:sz w:val="24"/>
        </w:rPr>
        <w:lastRenderedPageBreak/>
        <w:t>择红利再投将现金红利自动转为相应类别的基金份额进行再投资，若投资人不选择，本基金A类基金份额默认的收益分配方式是现金分红。本基金Y类基金份额的收益分配方式为红利再投资。再投资红利按红利再投日（即除息日）除息后的基金份额净值自动转为相应类别的基金份额，并免收申购费用。</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本基金已开通定期定额投资业务，具体实施方法请参见相关公告。服务联系方式：</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5" w:name="_Toc227915055"/>
      <w:r>
        <w:rPr>
          <w:rFonts w:ascii="Times New Roman" w:hAnsi="Times New Roman"/>
          <w:sz w:val="30"/>
        </w:rPr>
        <w:lastRenderedPageBreak/>
        <w:t>二十二、其他应披露事项</w:t>
      </w:r>
      <w:bookmarkEnd w:id="25"/>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交银施罗德基金管理有限公司关于增加上海中欧财富基金销售有限公司为旗下基金的销售机构的公告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2025-07-12</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交银施罗德基金管理有限公司关于暂停中泰证券股份有限公司办理旗下部分基金相关销售业务的公告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2026-01-15</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交银施罗德基金管理有限公司关于恢复中泰证券股份有限公司办理旗下部分基金相关销售业务的公告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942D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交银施罗德安享稳健养老目标一年持有期混合型基金中基金（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942D7" w:rsidRDefault="003353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6" w:name="_Toc227915056"/>
      <w:r>
        <w:rPr>
          <w:rFonts w:ascii="Times New Roman" w:hAnsi="Times New Roman"/>
          <w:sz w:val="30"/>
        </w:rPr>
        <w:lastRenderedPageBreak/>
        <w:t>二十三、招募说明书的存放及查阅方式</w:t>
      </w:r>
      <w:bookmarkEnd w:id="26"/>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3531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942D7" w:rsidRDefault="00335319">
      <w:pPr>
        <w:pStyle w:val="1"/>
        <w:snapToGrid w:val="0"/>
        <w:spacing w:beforeLines="0" w:before="240" w:after="240"/>
        <w:rPr>
          <w:rFonts w:ascii="宋体" w:hAnsi="宋体"/>
          <w:szCs w:val="30"/>
        </w:rPr>
      </w:pPr>
      <w:bookmarkStart w:id="27" w:name="_Toc227915057"/>
      <w:r>
        <w:rPr>
          <w:rFonts w:ascii="Times New Roman" w:hAnsi="Times New Roman"/>
          <w:sz w:val="30"/>
        </w:rPr>
        <w:lastRenderedPageBreak/>
        <w:t>二十四、备查文件</w:t>
      </w:r>
      <w:bookmarkEnd w:id="27"/>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（一）中国证监会准予交银施罗德安享稳健养老目标一年持有期混合型基金中基金（FOF）募集注册的文件</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（二）《交银施罗德安享稳健养老目标一年持有期混合型基金中基金（FOF）基金合同》</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（三）《交银施罗德安享稳健养老目标一年持有期混合型基金中基金（FOF）托管协议》</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F942D7" w:rsidRDefault="0033531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（六）关于申请募集注册交银施罗德安享稳健养老目标一年持有期混合型基金中基金（FOF）的法律意见书</w:t>
      </w:r>
    </w:p>
    <w:sectPr w:rsidR="00F942D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707" w:rsidRDefault="00335319">
      <w:r>
        <w:separator/>
      </w:r>
    </w:p>
  </w:endnote>
  <w:endnote w:type="continuationSeparator" w:id="0">
    <w:p w:rsidR="00DE5707" w:rsidRDefault="00335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F942D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0B3B3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F942D7" w:rsidRDefault="0033531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B3B34">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F942D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0B3B3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F942D7" w:rsidRDefault="0033531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B3B34">
                  <w:rPr>
                    <w:rFonts w:ascii="Times New Roman" w:hAnsi="Times New Roman"/>
                    <w:noProof/>
                    <w:kern w:val="0"/>
                    <w:sz w:val="18"/>
                    <w:szCs w:val="18"/>
                  </w:rPr>
                  <w:t>143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707" w:rsidRDefault="00335319">
      <w:r>
        <w:separator/>
      </w:r>
    </w:p>
  </w:footnote>
  <w:footnote w:type="continuationSeparator" w:id="0">
    <w:p w:rsidR="00DE5707" w:rsidRDefault="00335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F942D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335319">
    <w:pPr>
      <w:pStyle w:val="a3"/>
      <w:jc w:val="right"/>
      <w:rPr>
        <w:rFonts w:ascii="宋体" w:hAnsi="宋体"/>
      </w:rPr>
    </w:pPr>
    <w:r>
      <w:rPr>
        <w:rFonts w:ascii="宋体" w:hAnsi="宋体" w:hint="eastAsia"/>
      </w:rPr>
      <w:t>交银施罗德安享稳健养老目标一年持有期混合型基金中基金（FOF）招募说明书更新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F942D7">
    <w:pPr>
      <w:pStyle w:val="10"/>
      <w:jc w:val="right"/>
    </w:pPr>
  </w:p>
  <w:p w:rsidR="00F942D7" w:rsidRDefault="00F942D7">
    <w:pPr>
      <w:pStyle w:val="10"/>
      <w:jc w:val="right"/>
    </w:pPr>
  </w:p>
  <w:p w:rsidR="00F942D7" w:rsidRDefault="00F942D7">
    <w:pPr>
      <w:pStyle w:val="a3"/>
      <w:jc w:val="right"/>
    </w:pPr>
  </w:p>
  <w:p w:rsidR="00F942D7" w:rsidRDefault="00335319">
    <w:pPr>
      <w:pStyle w:val="a3"/>
      <w:jc w:val="right"/>
      <w:rPr>
        <w:rFonts w:ascii="宋体" w:hAnsi="宋体"/>
      </w:rPr>
    </w:pPr>
    <w:r>
      <w:rPr>
        <w:rFonts w:ascii="宋体" w:hAnsi="宋体" w:hint="eastAsia"/>
      </w:rPr>
      <w:t>交银施罗德安享稳健养老目标一年持有期混合型基金中基金（FOF）招募说明书更新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D7" w:rsidRDefault="00F942D7">
    <w:pPr>
      <w:pStyle w:val="a3"/>
      <w:jc w:val="right"/>
    </w:pPr>
  </w:p>
  <w:p w:rsidR="00F942D7" w:rsidRDefault="00F942D7">
    <w:pPr>
      <w:pStyle w:val="a3"/>
      <w:jc w:val="right"/>
    </w:pPr>
  </w:p>
  <w:p w:rsidR="00F942D7" w:rsidRDefault="00F942D7">
    <w:pPr>
      <w:pStyle w:val="a3"/>
      <w:jc w:val="right"/>
    </w:pPr>
  </w:p>
  <w:p w:rsidR="00F942D7" w:rsidRDefault="00335319">
    <w:pPr>
      <w:pStyle w:val="a3"/>
      <w:jc w:val="right"/>
      <w:rPr>
        <w:rFonts w:ascii="宋体" w:hAnsi="宋体"/>
      </w:rPr>
    </w:pPr>
    <w:r>
      <w:rPr>
        <w:rFonts w:ascii="宋体" w:hAnsi="宋体" w:hint="eastAsia"/>
      </w:rPr>
      <w:t>交银施罗德安享稳健养老目标一年持有期混合型基金中基金（FOF）招募说明书更新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3B3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5319"/>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5707"/>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2D7"/>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3FD44757-6E41-4605-80B1-F75A437B2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14885</Words>
  <Characters>84847</Characters>
  <Application>Microsoft Office Word</Application>
  <DocSecurity>0</DocSecurity>
  <Lines>707</Lines>
  <Paragraphs>199</Paragraphs>
  <ScaleCrop>false</ScaleCrop>
  <Company>Microsoft</Company>
  <LinksUpToDate>false</LinksUpToDate>
  <CharactersWithSpaces>99533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2026-04-24T01:23:00Z</dcterms:created>
  <dcterms:modified xsi:type="dcterms:W3CDTF">2026-04-24T01:23:00Z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