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交银施罗德安心收益债券型证券投资基金（C类份额）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交银安心收益债券C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024936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中国民生银行股份有限公司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2018-06-02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安心收益债券型证券投资基金由交银施罗德荣和保本混合型证券投资基金转型而来，上述基金转型于2018年6月2日正式实施，自基金转型实施日起，《交银施罗德荣和保本混合型证券投资基金基金合同》失效且《交银施罗德安心收益债券型证券投资基金基金合同》同时生效，交银施罗德荣和保本混合型证券投资基金正式变更为交银施罗德安心收益债券型证券投资基金。</w:t>
            </w:r>
          </w:p>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在严格控制投资风险和保持资产流动性的基础上，力争实现基金资产的长期稳定增值。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资产支持证券、债券回购、银行存款、货币市场工具等固定收益类品种，和股票(含中小板、创业板及其他经中国证监会核准上市的股票、存托凭证)、权证等权益类品种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含存托凭证）、权证等权益类资产的投资比例不高于基金资产净值的20%；现金或到期日在一年以内的政府债券的投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本基金为债券型证券投资基金，其长期平均的预期收益和风险高于货币市场基金，低于混合型基金和股票型基金。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详见《交银施罗德安心收益债券型证券投资基金招募说明书》第九部分“基金的投资”。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2、本基金自2025年7月17日起，开始销售C类份额，基金份额类别首次确认当年净值增长率按实际存续期计算。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（1）本基金是债券型基金，投资于债券的比例不低于基金资产的80%，因投资债券类资产而面临债券类资产市场的系统性风险和个券风险；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（3）本基金在主要投资于债券类资产的同时也积极关注股票、权证市场的投资机会，会因投资权益类资产而面临的权益类资产市场的系统性风险和个券风险；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●《交银施罗德安心收益债券型证券投资基金基金合同》、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《交银施罗德安心收益债券型证券投资基金托管协议》、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《交银施罗德安心收益债券型证券投资基金招募说明书》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C0C77"/>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750E6F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708</Words>
  <Characters>4037</Characters>
  <Lines>33</Lines>
  <Paragraphs>9</Paragraphs>
  <TotalTime>4</TotalTime>
  <ScaleCrop>false</ScaleCrop>
  <LinksUpToDate>false</LinksUpToDate>
  <CharactersWithSpaces>4736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Cc</dc:creator>
  <cp:lastModifiedBy>haotingting</cp:lastModifiedBy>
  <dcterms:modified xsi:type="dcterms:W3CDTF">2026-04-24T09:32:19Z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D12518716D074652A1595C14BEAAEE08</vt:lpwstr>
  </property>
</Properties>
</file>