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交银施罗德稳固收益债券型证券投资基金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基金托管人：中国农业银行股份有限公司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二〇二六年四月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227914932"/>
      <w:bookmarkStart w:id="1" w:name="_Toc496884613"/>
      <w:bookmarkStart w:id="2" w:name="_Toc324920538"/>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稳固收益债券型证券投资基金（以下简称“本基金”）为根据《交银施罗德荣祥保本混合型证券投资基金基金合同》的约定，由交银施罗德荣祥保本混合型证券投资基金第二个保本周期到期后转型而来。</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荣祥保本混合型证券投资基金经2013年2月16日中国证券监督管理委员会（以下简称“中国证监会”）证监许可【2013】151号文核准募集，自2013年3月25日至2013年4月19日进行公开募集，募集结束后基金管理人向中国证监会办理基金备案手续。经中国证监会书面确认，《交银施罗德荣祥保本混合型证券投资基金基金合同》于2013年4月24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荣祥保本混合型证券投资基金第二个保本周期于2019年5月27日到期。由于不符合保本基金存续条件，按照《交银施罗德荣祥保本混合型证券投资基金基金合同》的约定，该基金保本周期到期后转型为非保本的债券型基金，名称相应变更为“交银施罗德稳固收益债券型证券投资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经2023年2月24日中国证监会证监许可【2023】401号文准予变更注册。交银施罗德稳固收益债券型证券投资基金以通讯方式召开基金份额持有人大会，大会于2023年4月25日审议通过了《关于交银施罗德稳固收益债券型证券投资基金修改基金合同有关事项的议案》，同意调整交银施罗德稳固收益债券型证券投资基金的投资目标，在投资范围中增加港股通标的股票、存托凭证及相应调整投资范围、投资策略、投资限制、业绩比较基准、风险收益特征、估值对象、估值方法、收益分配原则等内容，并增加基金合同自动终止条款、增加摆动定价机制及修改基金合同其他部分条款等事项，上述基金份额持有人大会决议事项自表决通过之日起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根据本基金的基金合同编写，本基金的基金合同经中国证监会备案，但中国证监会对交银施罗德荣祥保本混合型证券投资基金募集的核准以及其保本周期到期转型为本基金的备案，并不表明其对本基金的价值和收益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市场风险、管理风险、流动性风险（包括实施侧袋机制时的特定风险）、交易对手违约风险；本基金投资策略所特有的风险；投资资产支持证券的特定风险；投资流通受限证券的特定风险；投资存托凭证的特定风险；连续50个工作日出现基金份额持有人数量不满200人或基金资产净值低于5000万元情形时基金合同终止的风险；投资科创板股票的特定风险；投资本基金的其他风险等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本基金是一只债券型基金，其预期风险与预期收益理论上高于货币市场基金，低于混合型基金和股票型基金。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本招募说明书所载内容截止日为2026年04月21日，有关财务数据和净值表现截止日为2026年03月31日。本招募说明书所载的财务数据未经审计。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"_Toc227914932"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_Toc227914932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"_Toc227914933"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_Toc227914933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"_Toc227914934"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_Toc227914934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"_Toc227914935"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_Toc227914935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"_Toc227914936"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_Toc227914936 \h </w:instrText>
      </w:r>
      <w:r>
        <w:rPr>
          <w:rFonts w:ascii="宋体" w:hAnsi="宋体"/>
          <w:sz w:val="24"/>
        </w:rPr>
        <w:fldChar w:fldCharType="separate"/>
      </w:r>
      <w:r>
        <w:rPr>
          <w:rFonts w:ascii="宋体" w:hAnsi="宋体"/>
          <w:sz w:val="24"/>
        </w:rPr>
        <w:t>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"_Toc227914937"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_Toc227914937 \h </w:instrText>
      </w:r>
      <w:r>
        <w:rPr>
          <w:rFonts w:ascii="宋体" w:hAnsi="宋体"/>
          <w:sz w:val="24"/>
        </w:rPr>
        <w:fldChar w:fldCharType="separate"/>
      </w:r>
      <w:r>
        <w:rPr>
          <w:rFonts w:ascii="宋体" w:hAnsi="宋体"/>
          <w:sz w:val="24"/>
        </w:rPr>
        <w:t>22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"_Toc227914938" </w:instrText>
      </w:r>
      <w:r>
        <w:fldChar w:fldCharType="separate"/>
      </w:r>
      <w:r>
        <w:rPr>
          <w:rStyle w:val="18"/>
          <w:rFonts w:hint="eastAsia" w:ascii="宋体" w:hAnsi="宋体"/>
          <w:sz w:val="24"/>
        </w:rPr>
        <w:t>六、基金的历史沿革</w:t>
      </w:r>
      <w:r>
        <w:rPr>
          <w:rFonts w:ascii="宋体" w:hAnsi="宋体"/>
          <w:sz w:val="24"/>
        </w:rPr>
        <w:tab/>
      </w:r>
      <w:r>
        <w:rPr>
          <w:rFonts w:ascii="宋体" w:hAnsi="宋体"/>
          <w:sz w:val="24"/>
        </w:rPr>
        <w:fldChar w:fldCharType="begin"/>
      </w:r>
      <w:r>
        <w:rPr>
          <w:rFonts w:ascii="宋体" w:hAnsi="宋体"/>
          <w:sz w:val="24"/>
        </w:rPr>
        <w:instrText xml:space="preserve"> PAGEREF _Toc227914938 \h </w:instrText>
      </w:r>
      <w:r>
        <w:rPr>
          <w:rFonts w:ascii="宋体" w:hAnsi="宋体"/>
          <w:sz w:val="24"/>
        </w:rPr>
        <w:fldChar w:fldCharType="separate"/>
      </w:r>
      <w:r>
        <w:rPr>
          <w:rFonts w:ascii="宋体" w:hAnsi="宋体"/>
          <w:sz w:val="24"/>
        </w:rPr>
        <w:t>53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"_Toc227914939" </w:instrText>
      </w:r>
      <w:r>
        <w:fldChar w:fldCharType="separate"/>
      </w:r>
      <w:r>
        <w:rPr>
          <w:rStyle w:val="18"/>
          <w:rFonts w:hint="eastAsia" w:ascii="宋体" w:hAnsi="宋体"/>
          <w:sz w:val="24"/>
        </w:rPr>
        <w:t>七、基金合同的存续</w:t>
      </w:r>
      <w:r>
        <w:rPr>
          <w:rFonts w:ascii="宋体" w:hAnsi="宋体"/>
          <w:sz w:val="24"/>
        </w:rPr>
        <w:tab/>
      </w:r>
      <w:r>
        <w:rPr>
          <w:rFonts w:ascii="宋体" w:hAnsi="宋体"/>
          <w:sz w:val="24"/>
        </w:rPr>
        <w:fldChar w:fldCharType="begin"/>
      </w:r>
      <w:r>
        <w:rPr>
          <w:rFonts w:ascii="宋体" w:hAnsi="宋体"/>
          <w:sz w:val="24"/>
        </w:rPr>
        <w:instrText xml:space="preserve"> PAGEREF _Toc227914939 \h </w:instrText>
      </w:r>
      <w:r>
        <w:rPr>
          <w:rFonts w:ascii="宋体" w:hAnsi="宋体"/>
          <w:sz w:val="24"/>
        </w:rPr>
        <w:fldChar w:fldCharType="separate"/>
      </w:r>
      <w:r>
        <w:rPr>
          <w:rFonts w:ascii="宋体" w:hAnsi="宋体"/>
          <w:sz w:val="24"/>
        </w:rPr>
        <w:t>54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"_Toc227914940"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_Toc227914940 \h </w:instrText>
      </w:r>
      <w:r>
        <w:rPr>
          <w:rFonts w:ascii="宋体" w:hAnsi="宋体"/>
          <w:sz w:val="24"/>
        </w:rPr>
        <w:fldChar w:fldCharType="separate"/>
      </w:r>
      <w:r>
        <w:rPr>
          <w:rFonts w:ascii="宋体" w:hAnsi="宋体"/>
          <w:sz w:val="24"/>
        </w:rPr>
        <w:t>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"_Toc227914941"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_Toc227914941 \h </w:instrText>
      </w:r>
      <w:r>
        <w:rPr>
          <w:rFonts w:ascii="宋体" w:hAnsi="宋体"/>
          <w:sz w:val="24"/>
        </w:rPr>
        <w:fldChar w:fldCharType="separate"/>
      </w:r>
      <w:r>
        <w:rPr>
          <w:rFonts w:ascii="宋体" w:hAnsi="宋体"/>
          <w:sz w:val="24"/>
        </w:rPr>
        <w:t>70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"_Toc227914942"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_Toc227914942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"_Toc227914943"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_Toc227914943 \h </w:instrText>
      </w:r>
      <w:r>
        <w:rPr>
          <w:rFonts w:ascii="宋体" w:hAnsi="宋体"/>
          <w:sz w:val="24"/>
        </w:rPr>
        <w:fldChar w:fldCharType="separate"/>
      </w:r>
      <w:r>
        <w:rPr>
          <w:rFonts w:ascii="宋体" w:hAnsi="宋体"/>
          <w:sz w:val="24"/>
        </w:rPr>
        <w:t>90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"_Toc227914944"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_Toc227914944 \h </w:instrText>
      </w:r>
      <w:r>
        <w:rPr>
          <w:rFonts w:ascii="宋体" w:hAnsi="宋体"/>
          <w:sz w:val="24"/>
        </w:rPr>
        <w:fldChar w:fldCharType="separate"/>
      </w:r>
      <w:r>
        <w:rPr>
          <w:rFonts w:ascii="宋体" w:hAnsi="宋体"/>
          <w:sz w:val="24"/>
        </w:rPr>
        <w:t>96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"_Toc227914945"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_Toc227914945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"_Toc227914946" </w:instrText>
      </w:r>
      <w:r>
        <w:fldChar w:fldCharType="separate"/>
      </w:r>
      <w:r>
        <w:rPr>
          <w:rStyle w:val="18"/>
          <w:rFonts w:hint="eastAsia" w:ascii="宋体" w:hAnsi="宋体"/>
          <w:sz w:val="24"/>
        </w:rPr>
        <w:t>十四、基金收益与分配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_Toc227914946 \h </w:instrText>
      </w:r>
      <w:r>
        <w:rPr>
          <w:rFonts w:ascii="宋体" w:hAnsi="宋体"/>
          <w:sz w:val="24"/>
        </w:rPr>
        <w:fldChar w:fldCharType="separate"/>
      </w:r>
      <w:r>
        <w:rPr>
          <w:rFonts w:ascii="宋体" w:hAnsi="宋体"/>
          <w:sz w:val="24"/>
        </w:rPr>
        <w:t>103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"_Toc227914947"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_Toc227914947 \h </w:instrText>
      </w:r>
      <w:r>
        <w:rPr>
          <w:rFonts w:ascii="宋体" w:hAnsi="宋体"/>
          <w:sz w:val="24"/>
        </w:rPr>
        <w:fldChar w:fldCharType="separate"/>
      </w:r>
      <w:r>
        <w:rPr>
          <w:rFonts w:ascii="宋体" w:hAnsi="宋体"/>
          <w:sz w:val="24"/>
        </w:rPr>
        <w:t>105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"_Toc227914948"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_Toc227914948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"_Toc227914949"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_Toc227914949 \h </w:instrText>
      </w:r>
      <w:r>
        <w:rPr>
          <w:rFonts w:ascii="宋体" w:hAnsi="宋体"/>
          <w:sz w:val="24"/>
        </w:rPr>
        <w:fldChar w:fldCharType="separate"/>
      </w:r>
      <w:r>
        <w:rPr>
          <w:rFonts w:ascii="宋体" w:hAnsi="宋体"/>
          <w:sz w:val="24"/>
        </w:rPr>
        <w:t>109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"_Toc227914950"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_Toc227914950 \h </w:instrText>
      </w:r>
      <w:r>
        <w:rPr>
          <w:rFonts w:ascii="宋体" w:hAnsi="宋体"/>
          <w:sz w:val="24"/>
        </w:rPr>
        <w:fldChar w:fldCharType="separate"/>
      </w:r>
      <w:r>
        <w:rPr>
          <w:rFonts w:ascii="宋体" w:hAnsi="宋体"/>
          <w:sz w:val="24"/>
        </w:rPr>
        <w:t>116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"_Toc227914951"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_Toc227914951 \h </w:instrText>
      </w:r>
      <w:r>
        <w:rPr>
          <w:rFonts w:ascii="宋体" w:hAnsi="宋体"/>
          <w:sz w:val="24"/>
        </w:rPr>
        <w:fldChar w:fldCharType="separate"/>
      </w:r>
      <w:r>
        <w:rPr>
          <w:rFonts w:ascii="宋体" w:hAnsi="宋体"/>
          <w:sz w:val="24"/>
        </w:rPr>
        <w:t>119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"_Toc227914952"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_Toc227914952 \h </w:instrText>
      </w:r>
      <w:r>
        <w:rPr>
          <w:rFonts w:ascii="宋体" w:hAnsi="宋体"/>
          <w:sz w:val="24"/>
        </w:rPr>
        <w:fldChar w:fldCharType="separate"/>
      </w:r>
      <w:r>
        <w:rPr>
          <w:rFonts w:ascii="宋体" w:hAnsi="宋体"/>
          <w:sz w:val="24"/>
        </w:rPr>
        <w:t>129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"_Toc227914953"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_Toc227914953 \h </w:instrText>
      </w:r>
      <w:r>
        <w:rPr>
          <w:rFonts w:ascii="宋体" w:hAnsi="宋体"/>
          <w:sz w:val="24"/>
        </w:rPr>
        <w:fldChar w:fldCharType="separate"/>
      </w:r>
      <w:r>
        <w:rPr>
          <w:rFonts w:ascii="宋体" w:hAnsi="宋体"/>
          <w:sz w:val="24"/>
        </w:rPr>
        <w:t>131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"_Toc227914954"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_Toc227914954 \h </w:instrText>
      </w:r>
      <w:r>
        <w:rPr>
          <w:rFonts w:ascii="宋体" w:hAnsi="宋体"/>
          <w:sz w:val="24"/>
        </w:rPr>
        <w:fldChar w:fldCharType="separate"/>
      </w:r>
      <w:r>
        <w:rPr>
          <w:rFonts w:ascii="宋体" w:hAnsi="宋体"/>
          <w:sz w:val="24"/>
        </w:rPr>
        <w:t>146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"_Toc227914955"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_Toc227914955 \h </w:instrText>
      </w:r>
      <w:r>
        <w:rPr>
          <w:rFonts w:ascii="宋体" w:hAnsi="宋体"/>
          <w:sz w:val="24"/>
        </w:rPr>
        <w:fldChar w:fldCharType="separate"/>
      </w:r>
      <w:r>
        <w:rPr>
          <w:rFonts w:ascii="宋体" w:hAnsi="宋体"/>
          <w:sz w:val="24"/>
        </w:rPr>
        <w:t>164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"_Toc227914956"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_Toc227914956 \h </w:instrText>
      </w:r>
      <w:r>
        <w:rPr>
          <w:rFonts w:ascii="宋体" w:hAnsi="宋体"/>
          <w:sz w:val="24"/>
        </w:rPr>
        <w:fldChar w:fldCharType="separate"/>
      </w:r>
      <w:r>
        <w:rPr>
          <w:rFonts w:ascii="宋体" w:hAnsi="宋体"/>
          <w:sz w:val="24"/>
        </w:rPr>
        <w:t>166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"_Toc227914957"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_Toc227914957 \h </w:instrText>
      </w:r>
      <w:r>
        <w:rPr>
          <w:rFonts w:ascii="宋体" w:hAnsi="宋体"/>
          <w:sz w:val="24"/>
        </w:rPr>
        <w:fldChar w:fldCharType="separate"/>
      </w:r>
      <w:r>
        <w:rPr>
          <w:rFonts w:ascii="宋体" w:hAnsi="宋体"/>
          <w:sz w:val="24"/>
        </w:rPr>
        <w:t>169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"_Toc227914958"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_Toc227914958 \h </w:instrText>
      </w:r>
      <w:r>
        <w:rPr>
          <w:rFonts w:ascii="宋体" w:hAnsi="宋体"/>
          <w:sz w:val="24"/>
        </w:rPr>
        <w:fldChar w:fldCharType="separate"/>
      </w:r>
      <w:r>
        <w:rPr>
          <w:rFonts w:ascii="宋体" w:hAnsi="宋体"/>
          <w:sz w:val="24"/>
        </w:rPr>
        <w:t>170</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27914933"/>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稳固收益债券型证券投资基金招募说明书》（以下简称“本招募说明书”）依据《中华人民共和国证券投资基金法》、《公开募集证券投资基金运作管理办法》、《公开募集证券投资基金销售机构监督管理办法》、《公开募集证券投资基金信息披露管理办法》、《公开募集开放式证券投资基金流动性风险管理规定》(以下简称“《流动性规定》”)和其他相关法律法规的规定以及《交银施罗德稳固收益债券型证券投资基金基金合同》（以下简称“基金合同”或“本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备案。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27914934"/>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1、基金或本基金：指交银施罗德稳固收益债券型证券投资基金，由交银施罗德荣祥保本混合型证券投资基金保本周期到期转型而来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4、基金合同或本基金合同：指《交银施罗德稳固收益债券型证券投资基金基金合同》及对本基金合同的任何有效修订和补充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5、托管协议：指基金管理人与基金托管人就本基金签订之《交银施罗德稳固收益债券型证券投资基金托管协议》及对该托管协议的任何有效修订和补充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6、招募说明书或本招募说明书：指《交银施罗德稳固收益债券型证券投资基金招募说明书》及其更新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7、基金产品资料概要：指《交银施罗德稳固收益债券型证券投资基金基金产品资料概要》及其更新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9、中国：指中华人民共和国（仅为基金合同之目的，不包括香港特别行政区、澳门特别行政区及台湾地区）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11、《销售办法》：指《公开募集证券投资基金销售机构监督管理办法》及颁布机关对其不时做出的修订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13、《运作办法》：指中国证监会2014年7月7日颁布、同年8月8日实施的《公开募集证券投资基金运作管理办法》及颁布机关对其不时做出的修订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21、投资人：指个人投资者、机构投资者和合格境外投资者以及法律法规或中国证监会允许购买证券投资基金的其他投资人的合称（以下或称“基金投资者”、“投资者”）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23、基金销售业务：指基金管理人或销售机构宣传推介基金，销售基金份额，办理基金份额的申购、赎回、转换、转托管及定期定额投资等业务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24、直销机构：指交银施罗德基金管理有限公司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25、代销机构：指符合《销售办法》和中国证监会规定的其他条件，取得基金销售业务资格并与基金管理人签订了基金销售服务代理协议，代为办理基金销售业务的机构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26、销售机构：直销机构和代销机构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生效日：指根据2023年3月22日至2023年4月24日基金份额持有人大会审议通过的《关于交银施罗德稳固收益债券型证券投资基金修改基金合同有关事项的议案》所修订的《交银施罗德稳固收益债券型证券投资基金基金合同》生效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39、《业务规则》：指《交银施罗德基金管理有限公司开放式基金业务规则》，是规范基金管理人所管理的开放式证券投资基金登记方面的业务规则，由基金管理人和投资人共同遵守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44、定期定额投资计划：指投资人通过有关销售机构提出申请，约定每期申购日、扣款金额及扣款方式，由销售机构在投资人指定银行账户内自动完成扣款并于每期约定的申购日提交基金申购申请的一种投资方式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48、基金资产总值：指基金拥有的各类有价证券、银行存款本息、基金应收款项及其他资产的价值总和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50、基金份额净值：指计算日基金资产净值除以计算日基金份额总数的数值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52、港股通：指内地投资者委托内地证券公司，经由内地证券交易所在香港设立的证券交易服务公司，向香港联合交易所进行申报，买卖规定范围内的香港联合交易所上市的股票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54、A类基金份额和D类基金份额：指在投资人申购时收取申购费用且不从本类别基金资产中计提销售服务费的基金份额，A类基金份额与D类基金份额设置不同的申购费、赎回费收取标准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55、C类基金份额：指在投资人申购时不收取申购费用，并从本类别基金资产中计提销售服务费的基金份额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61、不可抗力：指本基金基金合同当事人不能预见、不能避免且不能克服的客观事件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27914935"/>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沈楠先生:基金经理。复旦大学经济学硕士，17年证券投资行业从业经验。2009年至2011年在长江证券担任高级分析师。2011年加入交银施罗德基金管理有限公司，曾任行业分析师、基金经理助理，现任权益部基金经理。现任交银施罗德主题优选灵活配置混合型证券投资基金(2015年05月05日至今)、交银施罗德国企改革灵活配置混合型证券投资基金(2015年06月10日至今)、交银施罗德瑞思混合型证券投资基金（LOF）(2020年02月21日至今)、交银施罗德稳固收益债券型证券投资基金(2026年03月17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姜承操女士:基金经理，北京大学金融学硕士、复旦大学经济学学士。15年证券投资相关工作经验，2011年至2013年任中国人寿资产管理有限公司研究员，2013年至2017年任中债资信评估有限责任公司高级分析师。2017年加入交银施罗德基金管理有限公司，曾任固定收益部研究员，基金经理助理。曾任交银施罗德丰享收益债券型证券投资基金(2024年01月10日至2025年05月30日)、交银施罗德稳益短债债券型证券投资基金(2024年01月10日至2025年05月30日)、交银施罗德稳安30天滚动持有债券型证券投资基金(2024年01月10日至2025年05月30日)、交银施罗德丰盈收益债券型证券投资基金(2024年01月10日至2025年05月30日)、交银施罗德优择回报灵活配置混合型证券投资基金(2024年12月06日至2025年12月27日)的基金经理。现任交银施罗德稳进丰利六个月持有期混合型证券投资基金(2024年11月26日至今)、交银施罗德优选回报灵活配置混合型证券投资基金(2024年12月03日至今)、交银施罗德稳固收益债券型证券投资基金(2024年12月27日至今)、交银施罗德多策略回报灵活配置混合型证券投资基金(2025年01月09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婕衎女士:基金经理。浙江大学高分子材料与工程硕士、学士。15年证券投资行业从业经验。曾任鹏华基金管理有限公司高级研究员，华泰柏瑞基金管理有限公司基金经理助理，财通基金管理有限公司投资经理助理。2018年加入交银施罗德基金管理有限公司，曾任行业分析师、专户投资部投资经理，混合资产投资部投资经理，现任混合资产投资部基金经理。现任交银施罗德稳进丰利六个月持有期混合型证券投资基金(2024年09月10日至今)、交银施罗德优选回报灵活配置混合型证券投资基金(2024年12月03日至今)、交银施罗德稳固收益债券型证券投资基金(2024年12月31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项廷锋先生(2013年04月24日至2015年10月06日)；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孙超先生(2015年11月07日至2017年06月21日)；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章妍女士(2016年06月20日至2017年03月30日)；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于海颖女士(2017年06月10日至2019年03月15日)；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凌超先生(2019年02月28日至2020年07月22日)；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唐赟先生(2020年07月14日至2022年07月08日)；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周珊珊女士(2022年04月21日至2024年12月27日)。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1、依法募集基金，办理或者委托经中国证监会认定的其他机构代为办理基金份额的销售、申购、赎回和登记事宜；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（5）依照法律法规有关规定，由中国证监会规定禁止的其他行为。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27914936"/>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名称：中国农业银行股份有限公司（简称中国农业银行）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批准设立机关和批准设立文号：中国银监会银监复[2009]13号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截止到2026年3月31日，中国农业银行托管的封闭式证券投资基金和开放式证券投资基金共1027只。</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（二）基金托管人的内部风险控制制度说明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当基金出现异常交易行为时，基金托管人应当针对不同情况进行以下方式的处理：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1、电话提示。对媒体和舆论反映集中的问题，电话提示基金管理人；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2、书面警示。对本基金投资比例接近超标、资金头寸不足等问题，以书面方式对基金管理人进行提示；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27914937"/>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（2）名称：杭州银行股份有限公司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住所：杭州市庆春路46号杭州银行大厦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办公地址：杭州市庆春路46号杭州银行大厦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法定代表人：陈震山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电话：（0571）85108195、85120696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传真：（0571）86475527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联系人：严峻、夏帆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网址：www.hzbank.com.cn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（4）名称：江苏常熟农村商业银行股份有限公司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法定代表人：宋建明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联系电话：（0512）52909128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传真：（0512）52909122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客户服务电话：962000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（15）名称：中银国际证券股份有限公司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住所：上海市银城中路200号39层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办公地址：中国上海浦东银城中路200号中银大厦39-40层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客户服务电话：400-620-8888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网址：www.bocichina.com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（16）名称：华福证券股份有限公司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办公地址：福建省福州市鼓楼区鼓屏路27号1#楼3层、4层、5层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法定代表人：黄德良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（17）名称：东兴证券股份有限公司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住所：北京市西城区金融大街5号新盛大厦B座12-15层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法定代表人：徐勇力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电话：（010）66555316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传真：（010）66555246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联系人：汤漫川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400-8888-993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网址：www.dxzq.net</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（18）名称：长城国瑞证券有限公司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办公地址：厦门市思明区台北路1号海西金谷广场T2办公楼13-14层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电话：0592-2079658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传真：0592-5162590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联系人：陈月月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客户服务电话：400-0099-886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网址：www.gwgsc.com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（20）名称：粤开证券股份有限公司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法定代表人：郭川舟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网址：www.ykzq.com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（24）名称：瑞银证券有限责任公司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法定代表人：程宜荪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电话：（010）58328112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传真：（010）58328740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联系人：牟冲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客户服务电话：400-887-8827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网址：www.ubssecurities.com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（31）名称：德邦证券股份有限公司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（35）名称：大同证券有限责任公司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（37）名称：南京证券股份有限公司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办公地址：南京市江东中路389号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法定代表人：李剑锋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电话：（025）58519529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传真：（025）83369725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联系人：曹梦媛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网址：www.nizq.com.cn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（43）名称：中航证券有限公司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住所：南昌市红谷滩新区红谷中大道1619号国际金融大厦41楼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办公地址：南昌市红谷滩新区红谷中大道1619号国际金融大厦41楼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法定代表人：杜航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电话：（0791）86768681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传真：（0791）86770178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联系人：戴蕾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客户服务电话：400-8895-335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网址：www.avicsec.com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（92）名称：中信百信银行股份有限公司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住所：北京市朝阳区安定路5号院3号楼8层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办公地址：北京市朝阳区安定路5号院3号楼8-11层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法定代表人：寇冠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电话：010-86496277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传真：010-86496277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联系人：韩晓彤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网址：www.aibank.com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联系人：黎明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经办律师：吕红、黎明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27914938"/>
      <w:r>
        <w:rPr>
          <w:rFonts w:ascii="Times New Roman" w:hAnsi="Times New Roman"/>
          <w:sz w:val="30"/>
        </w:rPr>
        <w:t>六、基金的历史沿革</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本基金由交银施罗德荣祥保本混合型证券投资基金保本周期到期转型而来。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祥保本混合型证券投资基金经中国证监会《关于核准交银施罗德荣祥保本混合型证券投资基金募集的批复》（证监许可[2013]151号）核准，基金管理人为交银施罗德基金管理有限公司，基金托管人为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祥保本混合型证券投资基金自2013年3月25日至2013年4月19日进行公开募集，募集结束后基金管理人向中国证监会办理基金备案手续。经中国证监会书面确认，《交银施罗德荣祥保本混合型证券投资基金基金合同》于2013年4月24日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祥保本混合型证券投资基金于2019年5月27日第二个保本周期到期，由于不符合保本基金存续条件，按照《交银施罗德荣祥保本混合型证券投资基金基金合同》的约定，该基金保本周期到期后转型为非保本的债券型基金，名称相应变更为“交银施罗德稳固收益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祥保本混合型证券投资基金的第二个保本周期到期期间为保本周期到期日及之后3个工作日（含第3个工作日），即2019年5月27日至2019年5月30日。自2019年5月31日起交银施罗德荣祥保本混合型证券投资基金正式转型为交银施罗德稳固收益债券型证券投资基金，转型后的《交银施罗德稳固收益债券型证券投资基金基金合同》自该日起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自2023年3月22日至2023年4月24日交银施罗德稳固收益债券型证券投资基金以通讯方式召开基金份额持有人大会，大会于2023年4月25日审议通过了《关于交银施罗德稳固收益债券型证券投资基金修改基金合同有关事项的议案》，内容包括调整交银施罗德稳固收益债券型证券投资基金的投资目标，在投资范围中增加港股通标的股票、存托凭证及相应调整投资范围、投资策略、投资限制、业绩比较基准、风险收益特征、估值对象、估值方法、收益分配原则等内容，并增加基金合同自动终止条款、增加摆动定价机制及修改基金合同其他部分条款等事项，上述基金份额持有人大会决议事项自表决通过之日起生效。自2023年4月26日起，根据《关于交银施罗德稳固收益债券型证券投资基金修改基金合同有关事项的议案》修改而成的《交银施罗德稳固收益债券型证券投资基金基金合同》生效。</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27914939"/>
      <w:r>
        <w:rPr>
          <w:rFonts w:ascii="Times New Roman" w:hAnsi="Times New Roman"/>
          <w:sz w:val="30"/>
        </w:rPr>
        <w:t>七、基金合同的存续</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27914940"/>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本基金直销机构为本公司以及本公司的网上直销交易平台。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个人投资者可以通过本公司网上直销交易平台办理开户、本基金的申购、赎回、转换、定期定额投资等业务，具体交易细则请参阅本公司网站。网上直销交易平台网址：www.fund001.com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本基金的代销机构参见本招募说明书“五、相关服务机构”章节或拨打本公司客户服务电话进行咨询。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投资人可通过上述销售机构办理基金申购、赎回业务的营业场所或按上述销售机构提供的其他方式进行申购或赎回。本基金管理人可根据情况变更或增减基金代销机构，并在管理人网站公示。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本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本基金A类基金份额已于2019年6月4日起开放申购、赎回业务。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本基金C类基金份额已于2022年8月17日起开放申购、赎回业务。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本基金D类基金份额已于2025年7月30日起开放申购、赎回业务。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（三）申购和赎回的原则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对于由转型前基金转入变更后基金的基金份额，其持有期将从原份额取得之日起连续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本公司网上直销交易平台办理基金申购业务的不受直销机构单笔申购最低金额的限制，申购最低金额为单笔1元。本基金直销中心单笔申购最低金额可由基金管理人酌情调整。各代销机构接受申购申请的最低金额为单笔1元，如果代销机构业务规则规定的最低单笔申购金额高于1元，以代销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5、基金管理人可在法律法规允许的情况下，调整上述规定申购金额、赎回份额和最低基金份额保留余额的数量限制。基金管理人必须在调整前依照《信息披露办法》的有关规定在规定媒介上公告。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提出申购或赎回的申请。投资人在提交申购申请时须按销售机构规定的方式备足申购资金，投资人在提交赎回申请时须持有足够的基金份额余额，否则所提交的申购、赎回申请无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以交易时间结束前受理有效申购和赎回申请的当天作为申购或赎回申请日（T日），在正常情况下，本基金登记机构在T+1日内（包括该日）对该交易的有效性进行确认。T日提交的有效申请，投资人可在T+2日后（包括该日）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投资人申购基金份额时，必须全额交付申购款项，若申购资金在规定时间内未全额到账则申购不成功，若申购不成功或无效，申购款项将退回投资人账户。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投资人赎回申请成功后，基金管理人将在T＋7日内（包括该日）支付赎回款项。在发生巨额赎回以及基金合同载明的其他暂停赎回或延缓支付赎回款项的情形时，款项的支付办法参照基金合同有关条款处理。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（1）投资人T日申购基金成功后，正常情况下，登记机构在T＋1日为投资人增加权益并办理注册登记手续，投资人自T＋2日起（包括该日）有权赎回该部分基金份额。投资人应及时查询有关申请的确认情况。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（2）投资人T日赎回基金成功后，正常情况下，登记机构在T＋1日为投资人扣除权益并办理相应的注册登记手续。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（3）基金管理人可在法律法规允许的范围内，对上述注册登记办理时间进行调整，并于开始实施前按照《信息披露办法》的有关规定在规定媒介上公告。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本基金基金份额分为A类基金份额、C类基金份额和D类基金份额。投资人申购A类基金份额和D类基金份额在申购时支付申购费用；申购C类基金份额不支付申购费用，并从该类别基金资产中计提销售服务费。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本基金A类基金份额和D类基金份额的申购费用由申购该类基金份额的基金份额申购人承担，不列入基金财产，主要用于本基金的市场推广、销售、注册登记等各项费用。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投资人可以多次申购本基金，申购费率按每笔申购申请单独计算。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本基金对通过本公司直销柜台申购本基金A类基金份额或D类基金份额的养老金客户实施特定申购费率。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本公司将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通过本公司直销柜台申购本基金A类基金份额的养老金客户特定申购费率如下表：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A类基金份额的特定申购费率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通过基金管理人直销柜台申购本基金D类基金份额的养老金客户特定申购费率如下表：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D类基金份额的特定申购费率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各类基金份额收取赎回费用，该费用随基金份额的持有时间递减。本基金A类基金份额、C类基金份额和D类基金份额的赎回费用由赎回该类基金份额的基金份额持有人承担，在基金份额持有人赎回该类基金份额时收取。不低于赎回费总额的25%应归基金财产，其余用于支付登记费和其他必要的手续费。其中，对持续持有期少于7日的基金份额持有人收取的赎回费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C类基金份额或D类基金份额的有效份额为按实际确认的申购金额在扣除相应的费用（如有）后，以当日该类基金份额的基金份额净值为基准计算，申购份额计算结果保留到小数点后2位，小数点后两位以后的部分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C类基金份额或D类基金份额有效赎回份额乘以当日该类基金份额的基金份额净值并扣除相应的费用（如有），赎回金额计算结果保留到小数点后2位，小数点后两位以后的部分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例一：某投资者（非养老金客户）投资100,000元申购本基金A类基金份额，假设申购当日A类基金份额净值为1.0400元，申购费率为0.8%，则其可得到的申购份额为：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净申购金额=100,000/（1+0.8%）=99,206.35元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申购费用=100,000-99,206.35=793.65元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申购份额=（100,000-793.65）/1.0400=95,390.72份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即：某投资者（非养老金客户）投资100,000元申购本基金A类基金份额，假设申购当日A类基金份额净值为1.0400元，则其可得到95,390.72份A类基金份额。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例二：某养老金客户投资100,000元通过基金管理人的直销柜台申购本基金A类基金份额，假设申购当日A类基金份额净值为1.0400元，申购费率为0.32%，则其可得到的申购份额为：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净申购金额=100,000/（1+0.32%）=99,681.02元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申购费用=100,000-99,681.02=318.98元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申购份额=（100,000-318.98）/1.0400=95,847.13份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即：该养老金客户投资100,000元通过基金管理人的直销柜台申购本基金A类基基金份额，假设申购当日A类基金份额净值为1.0400元，则其可得到95,847.13份A类基金份额。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（3）D类基金份额的申购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申购份额=净申购金额/T日D类基金份额净值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例四：某投资者（非养老金客户）投资100,000元申购本基金的D类基金份额，假设申购当日D类基金份额净值为1.0400元，申购费率为0.9%，则其可得到的申购份额为：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净申购金额=100,000/（1+0.9%）=99,108.03元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申购费用=100,000-99,108.03=891.97元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申购份额=99,108.03/1.0400=95,296.18份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即：某投资者（非养老金客户）投资100,000元申购本基金D类基金份额，假设申购当日D类基金份额净值为1.0400元，则其可得到95,296.18份D类基金份额。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例五：某养老金客户投资1,000,000元通过基金管理人的直销柜台申购本基金的D类基金份额，假设申购当日D类基金份额净值为1.0400元，申购费率为0.12%，则其可得到的申购份额为：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净申购金额=1,000,000/（1+0.12%）=998,801.44元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申购费用=1,000,000-998,801.44=1,198.56元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申购份额=998,801.44/1.0400=960,386.00份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即：该养老金客户投资1,000,000元通过基金管理人的直销柜台申购本基金的D类基金份额，假设申购当日D类基金份额净值为1.0400元，则其可得到960,386.00份D类基金份额。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投资者赎回A类基金份额，赎回金额的计算方法如下：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例六：某投资者赎回100,000份A类基金份额，持有期限为半年，对应的赎回费率为0.1%，假设赎回当日A类基金份额净值是1.0160元，则其可得到的赎回金额为：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赎回金额=100,000×1.0160-101.60＝101,498.40元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即：投资者在持有期限为半年时赎回100,000份A类基金份额，对应的赎回费率为0.1%，假设赎回当日A类基金份额净值是1.0160元，则其可得到的赎回金额为101,498.40元。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例七：某投资者赎回10,000份C类基金份额，持有期限为20日，对应的赎回费率为0%，假设赎回当日C类基金份额净值是1.2500元，则其可得到的赎回金额为：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赎回费用=10,000×1.2500×0%＝0元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赎回金额=10,000×1.2500-0＝12,500.00元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即：投资者赎回10,000份C类基金份额，持有期限为20日，对应的赎回费率为0%，假设赎回当日C类基金份额净值是1.2500元，则其可得到的赎回金额为12,500.00元。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（3）D类基金份额的赎回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投资者赎回D类基金份额，赎回金额的计算方法如下：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赎回费用=赎回份额×T日D类基金份额净值×赎回费率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赎回金额=赎回份额×T日D类基金份额净值-赎回费用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例八：某投资者赎回100,000份D类基金份额，持有期限为10日，对应的赎回费率为0，假设赎回当日D类基金份额净值是1.0160元，则其可得到的赎回金额为：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赎回金额=100,000×1.0160-0.00＝101,600.00元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即：投资者赎回100,000份D类基金份额，持有期限为10日，对应的赎回费率为0，假设赎回当日D类基金份额净值是1.0160元，则其可得到的赎回金额为101,600.00元。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D类基金份额净值＝D类基金份额的基金资产净值总额/发行在外的D类基金份额总数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公告。遇特殊情况，经履行适当程序，可以适当延迟计算或公告。本基金A类基金份额、C类基金份额和D类基金份额的基金份额净值的计算，均保留到小数点后4位，小数点后第5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且基金管理人决定暂停申购时，基金管理人应当根据有关规定在规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（九）暂停赎回或者延缓支付赎回款项的情形及处理方式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且基金管理人决定暂停接受投资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并以后续开放日的该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当发生上述延期赎回并延期办理时，基金管理人应当通过邮寄、传真、刊登公告或者通知代销机构代为告知等方式在3个交易日内通知基金份额持有人，说明有关处理方法，并在2日内在规定媒介上刊登公告。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1、发生上述暂停申购或赎回情况的，基金管理人应在规定期限内在规定媒介上刊登暂停公告。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2、暂停结束，基金重新开放申购或赎回时，基金管理人应依照《信息披露办法》的有关规定，在规定媒介上刊登基金重新开放申购或赎回公告，并公告最近1个开放日各类基金份额的基金份额净值。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少于2周，基金管理人可根据实际情况在暂停公告中明确重新开放申购或赎回的时间，届时不再另行发布重新开放的公告；或者最迟于重新开放日在规定媒介上刊登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4、如发生暂停的时间超过2周，基金管理人最迟于重新开放日在规定媒介上刊登重新开放申购或赎回的公告。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如果基金管理人、登记机构、办理转托管的销售机构出现技术系统性能限制或出于其它合理原因，可以暂停该业务或者拒绝基金份额持有人的转托管申请。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2019年5月31日刊登公告自2019年6月4日起开通A类基金份额的定期定额投资计划业务，本基金2022年8月12日刊登公告自2022年8月17日起增设C类基金份额并开通C类基金份额的定期定额投资计划业务，本基金2025年7月29日刊登公告自2025年7月30日起增设D类基金份额并开通D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基金份额被冻结的，被冻结部分所产生的权益按照法律法规、监管规章以及国家有权机关的要求来决定是否冻结。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当基金份额处于冻结状态时，登记机构或其他相关机构有权拒绝该部分基金份额的赎回、转换出、非交易过户以及基金的转托管。</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27914941"/>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2022年7月21日刊登公告自2022年7月26日起开放A类基金份额的日常转换业务。本基金2022年8月12日刊登公告自2022年8月17日起增设C类基金份额并开通C类基金份额的日常转换业务，本基金2025年7月29日刊登公告自2025年7月30日起增设D类基金份额并开通D类基金份额的日常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27914942"/>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在合理控制风险并保持基金资产良好流动性的前提下，追求超越业绩比较基准的投资回报，控制波动率，力争实现基金资产的长期稳健增值。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本基金投资于债券资产的比例不低于基金资产的80%；投资于股票资产（含存托凭证）、可转换债券、可交换公司债券的比例合计不高于基金资产净值的20%（其中投资于港股通标的股票的比例占股票资产的0%-50%）；本基金持有的现金或者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灵活的久期管理策略自上而下的控制利率风险。在全球经济的框架下，基金管理人密切关注货币信贷、利率、汇率、采购经理人指数等宏观经济运行关键指标，运用数量化工具对宏观经济运行及货币财政政策变化跟踪与分析，对未来市场利率趋势进行分析预测，据此确定合理的债券组合目标久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基金管理人通过以下方面的分析来确定债券组合的目标久期：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宏观经济环境分析。通过跟踪分析货币信贷、采购经理人指数等宏观经济先行性经济指标，拉动经济增长的三大引擎进出口、消费以及投资等指标，判断当前经济运行在经济周期中所处的阶段，预期中央政府的货币与财政政策取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②利率变动趋势分析。在宏观经济环境分析的基础上，密切关注月度CPI、PPI等物价指数，货币信贷、汇率等金融运行数据，预测未来利率的变动趋势。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目标久期分析。根据宏观经济环境分析与市场利率变动趋势分析，结合当期债券收益率估值水平，确定投资组合的目标久期。原则上，在利率上行通道中，通过缩短目标久期规避利率风险；在利率下行通道中，通过延长目标久期分享债券价格上涨的收益。在利率持平阶段，采用骑乘策略与持有策略，以期获得稳定的当前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④动态调整目标久期。通过对国内外宏观经济数据、金融市场运行、货币政策以及国内债券市场运行跟踪分析，评估未来利率水平变化趋势，结合债券市场收益率变动与计划投资目标，动态调整组合目标久期。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4）骑乘策略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5）杠杆放大策略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6）信用债券（含资产支持证券，下同）投资策略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本基金通过交银施罗德的信用债券信用评级指标体系，对信用债券进行信用评级，并在信用评级的基础上，建立本基金的信用债券池。基金经理从信用债券池中精选债券构建信用债券投资组合。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动投资的信用债为信用评级在AA+级（含）以上的信用债，对信用评级的认定参照基金管理人选定的评级机构出具的信用评级，其中，信用债的信用评级依照评级机构出具的债项信用评级，若无债项信用评级的或债项信用评级为A-1的，依照其主体信用评级。本基金投资于评级AA+的信用债比例不高于信用债资产的50%，投资于评级AAA的信用债比例不低于信用债资产的50%。因信用评级下降、证券市场波动、基金规模变动等基金管理人之外的因素致使基金投资比例不符合上述规定的，基金管理人应当在评级报告发布之日或不符合上述规定之日起3个月内调整至符合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7）可转换债券与可交换公司债券投资策略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股票资产（含存托凭证）、可转换债券、可交换公司债券的比例合计不超过基金资产净值的20%，本基金对于可转换债券与可交换公司债券股性的研究将完全依托于公司投研团队对标的股票的研究，在此基础上利用可转换债券与可交换公司债券定价模型，充分考虑转债发行后目标转债标的股票股价波动率可能出现的变化，对目标转债的股性进行合理定价。通过对标的转债股性与债性的合理定价，力求寻找出被市场低估的品种，构建本基金可转换债券与可交换公司债券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①行业配置策略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综合考虑各种宏观因素，以宏观经济走势、经济周期特征和阶段性市场投资主题的研究为基础，综合考量可转债市场的供给和需求情况，追求最优行业配置。同时，结合经济和市场阶段性特征，动态调整不同行业的可转换债券与可交换公司债券进行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②个券精选策略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借鉴信用债的基本面研究，从行业基本面、公司的信用资质、行业地位、财务状况等方面进行定性分析，精选财务稳健、信用违约风险小的个券；对于可转换为正股的转股价值，将通过盈利能力指标（如市盈率、市现率、股价与每股息税前利润比率等）、经营效率指标（如净资产收益率、资产收益率、经营资产回报率等）、财务状况指标（如资产负债率、流动比率等）等进行定量分析，选择基本面优质且估值合理的正股。综上所述，本基金将结合可转换债券与可交换公司债券自身的信用评估和其正股的价值分析来进行个券的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投资于股票资产（含存托凭证）、可转换债券、可交换公司债券的比例合计不高于基金资产净值的20%（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14）本基金与私募类证券资管产品及中国证监会认定的其他主体为交易对手开展逆回购交易的，可接受质押品的资质要求应当与本基金合同约定的投资范围保持一致；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前述投资组合限制第2）、9）、13）、14）条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监管部门对本基金合同约定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4）买卖其他基金份额，但是法律法规或国务院另有规定的除外；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7）依照法律、行政法规有关规定，由中国证监会规定禁止的其他活动。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法律法规或监管部门取消上述限制，如适用于本基金，则履行适当程序后本基金投资不再受相关限制。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沪深300指数收益率×10%+恒生指数收益率×5%+中证综合债券指数收益率×85%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本基金是一只债券型基金，其预期风险与预期收益理论上高于货币市场基金，低于混合型基金和股票型基金。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45,303,974.15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15.61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45,303,974.15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15.61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229,565,620.48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79.12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229,565,620.48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79.12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14,796,305.79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497,581.53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290,163,481.95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注：本基金本报告期末通过港股通机制投资香港股票的公允价值为7,562,619.71元，占基金资产净值比例为2.86%。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551,034.00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26,787,946.12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10.14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762,730.00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1,020,083.00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795,036.00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918,954.00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3,567,067.32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767,788.00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1,712,694.00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724,702.00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133,320.00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37,741,354.44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14.29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3,286,289.78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1,592,188.43</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994,425.97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820,059.86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463,018.98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401,247.80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公用事业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5,388.89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7,562,619.71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00175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吉利汽车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121,297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2,240,514.97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悍高集团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1,678,250.00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宇通客车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1,545,566.00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1,124,760.00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圣邦股份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1,048,265.00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06862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海底捞</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1,045,774.81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1,039,020.40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中电港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1,020,083.00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02648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安井食品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272,036.90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603345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安井食品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746,080.00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01519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极兔速递-W</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111,400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994,425.97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3,827,052.25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143,974,068.50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54.52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10,220,394.52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30,859,333.15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11.69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50,905,166.58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229,565,620.48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86.94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232380026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23厦门国际二级资本债01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10,723,558.90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242380008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23中行永续债01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10,592,129.86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24宁波银行二级资本债01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10,426,890.41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127686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G17扬城1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10,400,400.00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242400008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24江苏银行永续债01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10,390,479.45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2025年11月27日,国家外汇管理局广东省分局公示粤汇处[2025]16号行政处罚决定书,给予广发银行股份有限公司罚没共计1537.83万元人民币的行政处罚。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2025年11月25日,央行宁波市分行公示甬银罚决字[2025]18号行政处罚决定书,给予宁波银行股份有限公司98.8万元人民币的行政处罚。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2025年10月31日,国家金融监督管理总局公示行政处罚决定书,给予中国银行股份有限公司9790万元人民币的行政处罚。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2025年09月12日,国家金融监督管理总局公示行政处罚决定书,给予恒丰银行股份有限公司6150万元人民币的行政处罚。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2025年09月12日,国家金融监督管理总局公示行政处罚决定书,给予广发银行股份有限公司6670万元人民币的行政处罚。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80,233.63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417,347.90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497,581.53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27914943"/>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（1）交银稳固收益债券A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2019年度（自基金转型日起至至2019年12月31日）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（2）交银稳固收益债券C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2022年度（自基金份额类别首次确认起至2022年12月31日）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（3）交银稳固收益债券D</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2025年度（自基金份额类别首次确认起至2025年12月31日）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交银施罗德荣祥保本混合型证券投资基金从2019年5月31日起正式转型为交银施罗德稳固收益债券型证券投资基金，本表列示的是本报告期基金转型后的基金净值表现，转型后基金的业绩比较基准为三年期银行定期存款税后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2、本基金的业绩比较基准自2023年4月26日起，由“三年期银行定期存款税后收益率”变更为“沪深300指数收益率×10%+恒生指数收益率×5%+中证综合债券指数收益率×85%”。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交银施罗德荣祥保本混合型证券投资基金</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2019年4月1日至2019年5月30日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2019年1月1日至2019年5月30日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2018年7月1日至2019年5月30日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2016年7月1日至2019年5月30日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自基金合同生效起至2019年5月30日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51.11%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w:t>
      </w:r>
      <w:r>
        <w:rPr>
          <w:rFonts w:hint="eastAsia" w:ascii="宋体" w:hAnsi="宋体"/>
          <w:sz w:val="24"/>
        </w:rPr>
        <w:t>交银施罗德荣祥保本混合型证券投资基金从2019年5月31日起正式转型为交银施罗德稳固收益债券型证券投资基金，本表列示的是本报告期基金转型前的基金净值表现，转型前基金的业绩比较基准为三年期银行定期存款税后收益率。</w:t>
      </w:r>
      <w:bookmarkStart w:id="29" w:name="_GoBack"/>
      <w:bookmarkEnd w:id="2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（1）自基金转型以来基金份额累计净值增长率变动及其与同期业绩比较基准收益率变动的比较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交银施罗德稳固收益债券型证券投资基金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(2019年5月31日至2026年03月31日)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交银稳固收益债券A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交银稳固收益债券C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交银稳固收益债券D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268.5pt;width:439.5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由交银施罗德荣祥保本混合型证券投资基金转型而来。基金转型日为2019年5月31日。本基金的投资转型期为交银施罗德荣祥保本混合型证券投资基金保本周期到期选择期截止日次日（即2019年5月31日）起的3个月。截至投资转型期结束，本基金各项资产配置比例符合基金合同及招募说明书有关投资比例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2、本基金自2022年8月17日起，开始销售C类份额，投资者提交的申购申请于2022年8月18日被确认并将有效份额登记在册。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3、本基金自2025年7月30日起，开始销售D类份额，投资者提交的申购申请于2025年7月31日被确认并将有效份额登记在册。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交银施罗德荣祥保本混合型证券投资基金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(2013年4月24日至2019年5月30日)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315pt;width:439.5pt;" filled="f" o:preferrelative="t" stroked="f" coordsize="21600,21600">
            <v:path/>
            <v:fill on="f" focussize="0,0"/>
            <v:stroke on="f" joinstyle="miter"/>
            <v:imagedata r:id="rId15"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27914944"/>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基金资产总值是指基金拥有的各类有价证券、银行存款本息、基金应收款项及其他资产的价值总和。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27914945"/>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4、同一证券同时在两个或两个以上市场交易的，按证券所处的市场分别估值。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5、估值计算中涉及港币对人民币汇率的，将依据下列信息提供机构所提供的汇率为基准：当日中国人民银行或其授权机构当日公布的人民币与港币的中间价。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本基金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对于因技术原因引起的估值错误，若系同行业现有技术水平无法预见、无法避免、无法抗拒，则属不可抗力，按照下述规定执行。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1、基金投资所涉及的证券交易市场遇法定节假日或因其他原因暂停交易时；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2、因不可抗力或其他情形致使基金管理人、基金托管人无法准确评估基金资产价值时；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（九）特殊情况的处理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27914946"/>
      <w:r>
        <w:rPr>
          <w:rFonts w:ascii="Times New Roman" w:hAnsi="Times New Roman"/>
          <w:sz w:val="30"/>
        </w:rPr>
        <w:t>十四、基金收益与分配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1、在符合有关基金分红条件的前提下，本基金管理人可以根据实际情况进行收益分配，具体分配方案以公告为准；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收益分配方式分为现金分红与红利再投资，投资人可选择现金红利或将现金红利按除权日的单位净值自动转为相应类别的基金份额进行再投资；若投资人不选择，本基金默认的收益分配方式是现金分红；基金份额持有人可对其持有的各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4、由于本基金A类基金份额和D类基金份额不收取销售服务费，C类基金份额收取销售服务费，各基金份额类别对应的可供分配利润将有所不同；本基金同一基金份额类别的每一基金份额享有同等的收益分配权；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本基金收益分配方案由基金管理人拟定，并由基金托管人复核，依照《信息披露办法》的有关规定在规定媒介公告。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人的现金红利小于一定金额，不足以支付银行转账或其他手续费用时，登记机构可将投资人的现金红利按除权后的基金份额净值自动转为相应类别的基金份额，红利再投资的计算方法，依照登记机构的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投资人同一日多次申报分红方式变更的，按照《业务规则》执行，最终确认的分红方式以登记机构记录为准。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27914947"/>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本基金的管理费按前一日基金资产净值的0.7%年费率计提。管理费的计算方法如下：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H＝E×0.7%÷当年天数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向基金托管人发送基金管理费划款指令，基金托管人复核后于次月前3个工作日内从基金财产中一次性支付给基金管理人。若遇不可抗力致使无法按时支付的，支付日期顺延至最近可支付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向基金托管人发送基金托管费划款指令，基金托管人复核后于次月前3个工作日内从基金财产中一次性支取。若遇不可抗力致使无法按时支付的，支付日期顺延至最近可支付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本基金A类基金份额和D类基金份额不收取销售服务费，C类基金份额的销售服务费按前一日C类基金资产净值的0.4%年费率计提。计算方法如下：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H＝E×0.4%÷当年天数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管理人向基金托管人发送销售服务费划付指令，基金托管人复核后于次月前5个工作日内从基金资产中一次性支付给基金管理人，由基金管理人代付给销售机构。若遇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3、上述“（一）基金费用的种类中第3－9项、第11项费用”，根据有关法律法规及相应协议规定，按费用实际支出金额列入当期费用，由基金托管人从基金财产中支付。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3、《交银施罗德荣祥保本混合型证券投资基金基金合同》生效前的相关费用；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（四）《交银施罗德稳固收益债券型证券投资基金基金合同》生效前的相关费用按当时有效的《交银施罗德荣祥保本混合型证券投资基金基金合同》的约定支付。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27914948"/>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3、基金管理人认为有充足理由更换会计师事务所，须通报基金托管人。更换会计师事务所需按照《信息披露办法》的有关规定在规定媒介公告。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27914949"/>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中国证监会准予变更注册后，基金管理人按照《信息披露办法》的规定，将基金招募说明书、基金产品资料概要、《基金合同》和基金托管协议登载在规定媒介上；基金管理人、基金托管人应当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在开始办理基金份额申购或者赎回后，基金管理人应当在不晚于每个开放日的次日，通过规定网站、基金销售机构网站或者营业网点分别披露开放日各类基金份额所对应的基金份额净值和基金份额累计净值。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基金管理人应当在不晚于半年度和年度最后一日的次日，在规定网站披露半年度和年度最后一日各类基金份额所对应的基金份额净值和基金份额累计净值。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运作期间，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本基金发生重大事件，有关信息披露义务人应当在2日内编制临时报告书，并登载在规定报刊和规定网站上。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10、基金投资港股通标的股票情况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11、基金投资非公开发行股票情况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27914950"/>
      <w:r>
        <w:rPr>
          <w:rFonts w:ascii="Times New Roman" w:hAnsi="Times New Roman"/>
          <w:sz w:val="30"/>
        </w:rPr>
        <w:t>十八、侧袋机制</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1、本基金实施侧袋机制的，管理费和托管费等按主袋账户基金资产净值作为基数计提。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27914951"/>
      <w:r>
        <w:rPr>
          <w:rFonts w:ascii="Times New Roman" w:hAnsi="Times New Roman"/>
          <w:sz w:val="30"/>
        </w:rPr>
        <w:t>十九、风险揭示</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实施摆动定价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1、本基金是债券型基金，投资于债券的比例不低于基金资产的80%，因投资债券类资产而面临债券类资产市场的系统性风险和个券风险；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3、本基金在主要投资于债券类资产的同时也积极关注股票市场的投资机会，会因投资权益类资产而面临的权益类资产市场的系统性风险和个券风险；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6、基金合同提前终止风险。连续50个工作日出现基金份额持有人数量不满200人或者基金资产净值低于5000万元情形的，基金合同终止，不需召开基金份额持有人大会。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27914952"/>
      <w:r>
        <w:rPr>
          <w:rFonts w:ascii="Times New Roman" w:hAnsi="Times New Roman"/>
          <w:sz w:val="30"/>
        </w:rPr>
        <w:t>二十、基金合同的变更、终止与基金财产的清算</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2、关于《基金合同》变更的基金份额持有人大会决议自生效后方可执行，自决议生效后两日内依照《信息披露办法》的规定在规定媒介公告。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5、基金财产清算的期限为6个月，若遇基金持有的股票或其他有价证券出现长期休市、停牌或其他流通受限的情形除外。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基金财产清算账册及有关文件由基金托管人保存不低于法律法规规定的最低期限。</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27914953"/>
      <w:r>
        <w:rPr>
          <w:rFonts w:ascii="Times New Roman" w:hAnsi="Times New Roman"/>
          <w:sz w:val="30"/>
        </w:rPr>
        <w:t>二十一、基金合同内容摘要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（一）基金合同当事人及权利义务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16）在符合有关法律、法规的前提下，制定和调整有关基金申购、赎回、转换和非交易过户等业务的业务规则；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1）依法募集基金，办理或者委托经中国证监会认定的其他机构代为办理基金份额的销售、申购、赎回和登记事宜；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4）根据相关市场规则，为基金开设证券账户、为基金办理证券交易资金清算；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15）依据《基金法》、基金合同及其他有关规定，召集基金份额持有人大会或配合基金份额持有人、基金管理人依法召集基金份额持有人大会；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同一类别的每份基金份额具有同等的合法权益，基金合同另有约定的除外。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8）对基金管理人、基金托管人、基金销售机构损害其合法权益的行为依法提起诉讼或仲裁；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4）缴纳基金申购、赎回款项及法律法规和基金合同所规定的费用；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5）提高基金管理人、基金托管人的报酬标准或提高销售服务费率，但法律法规要求提高该等报酬标准的除外；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8）变更基金投资目标、范围或策略，法律法规和中国证监会另有规定的除外；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1）调低基金管理费、基金托管费和其他应由本基金或基金份额持有人承担的费用；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3）在法律法规和基金合同规定的范围内调整本基金的申购费率、调低赎回费率及销售服务费率、变更或增加收费方式；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4）在符合法律法规及本基金合同规定、并且对基金份额持有人利益无实质不利影响的前提下，调整基金份额类别设置、对基金份额分类办法及规则进行调整；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5）因相应的法律法规发生变动而应当对基金合同进行修改；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7）按照法律法规和基金合同规定不需召开基金份额持有人大会的以外的其他情形。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书面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5）会议通知公布前报中国证监会备案。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（3）在法律法规或监管机构允许的情况下，本基金亦可采用网络、电话等其他非书面方式由基金份额持有人向其授权代表进行授权。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2/3以上（含2/3）通过方可做出。除基金合同另有约定外，转换基金运作方式、更换基金管理人或者基金托管人、终止基金合同、与其他基金合并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基金份额持有人大会决议自生效之日起2日内在规定媒介上公告。如果采用通讯方式进行表决，在公告基金份额持有人大会决议时，必须将公证书全文、公证机构、公证员姓名等一同公告。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10、法律法规或监管部门对基金份额持有人大会另有规定的，从其规定。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（2）关于《基金合同》变更的基金份额持有人大会决议自生效后方可执行，自决议生效后两日内依照《信息披露办法》的规定在规定媒介公告。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（四）争议的处理和适用的法律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（五）基金合同存放及投资者取得基金合同的方式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27914954"/>
      <w:r>
        <w:rPr>
          <w:rFonts w:ascii="Times New Roman" w:hAnsi="Times New Roman"/>
          <w:sz w:val="30"/>
        </w:rPr>
        <w:t>二十二、托管协议的内容摘要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办公地址：北京市西城区复兴门内大街28号凯晨世贸中心东座九层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法定代表人：谷澎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成立时间：2009年1月15日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基金托管资格批准文号：中国证监会证监基字[1998]23号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注册资本：34,998,303.4万元人民币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本基金投资于债券资产的比例不低于基金资产的80%；投资于股票资产（含存托凭证）、可转换债券、可交换公司债券的比例合计不高于基金资产净值的20%（其中投资于港股通标的股票的比例占股票资产的0%-50%）；本基金持有的现金或者到期日在一年以内的政府债券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债券资产的比例不低于基金资产的80%，投资于股票资产（含存托凭证）、可转换债券、可交换公司债券的比例合计不高于基金资产净值的20%（其中投资于港股通标的股票的比例占股票资产的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2）本基金持有一家公司发行的证券（同一家公司在内地和香港同时上市的A+H 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7）本基金持有的现金或者到期日在一年以内的政府债券的比例合计不低于基金资产净值的5%，其中现金不包括结算备付金、存出保证金、应收申购款等；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8）本基金不得违反基金合同中有关投资范围、投资策略、投资比例的规定；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9）本基金应投资于信用级别评级为AA+以上(含AA+)的资产支持证券。基金持有资产支持证券期间，如果其信用等级下降、不再符合投资标准，应在评级报告发布之日起3个月内予以全部卖出；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7）、9）、11）、12）项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如果法律法规或监管部门对上述投资组合比例限制进行变更的，以变更后的规定为准。法律法规或监管部门取消上述限制，如适用于本基金，基金管理人在履行适当程序后，则本基金投资不再受相关限制。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基金托管人对基金投资的监督和检查自基金合同生效之日起开始。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3、基金托管人根据有关法律法规的规定及基金合同的约定，对本协议第十五条第（九）项基金投资禁止行为进行监督。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5、基金托管人根据有关法律法规的规定及基金合同的约定，对基金管理人选择存款银行进行监督。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稳固收益债券型证券投资基金由交银施罗德荣祥保本混合型证券投资基金保本周期到期转型而来。交银施罗德荣祥保本混合型证券投资基金已按照法律法规及监管机构要求完成募集，募集资金经普华永道中天会计师事务所（特殊普通合伙）验资，募集所有资金已全额划入该基金基金托管账户。《交银施罗德荣祥保本混合型证券投资基金基金合同》已于2013年4月24日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（1）基金托管人应负责本基金的资金账户的开设和管理。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（4）基金托管资金账户的开立和管理应符合相关法律法规的有关规定。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1、基金资产净值的计算及复核程序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指计算日该类基金份额的基金资产净值除以计算日该类基金份额总数后得到的数值。各类基金份额的基金份额净值的计算，均精确到0.0001元，小数点后第五位四舍五入，由此产生的误差计入基金财产。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基金管理人于每工作日计算各类基金份额的基金资产净值及基金份额净值，并按规定公告。如遇特殊情况，经履行适当程序，可以适当延迟计算或公告。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工作日对基金资产进行估值后，将各类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2、基金资产估值方法和特殊情形的处理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基金所拥有的股票、债券、资产支持证券、衍生工具和其他投资等持续以公允价值计量的金融资产及负债。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d、同一证券同时在两个或两个以上市场交易的，按证券所处的市场分别估值。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e、估值计算中涉及港币对人民币汇率的，将依据下列信息提供机构所提供的汇率为基准：当日中国人民银行或其授权机构当日公布的人民币与港币的中间价。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f、对于因税收规定调整或其他原因导致产品实际交纳税金与估算的应交税金有差异的，产品将在相关税金调整日或实际支付日进行相应的会计处理。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g、本基金投资存托凭证的估值核算依照境内上市交易的股票执行。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i、当发生大额申购或赎回情形时，基金管理人可以采用摆动定价机制，以确保基金估值的公平性。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j、相关法律法规以及监管部门有强制规定的，从其规定。如有新增事项，按国家最新规定估值。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a、基金管理人、基金托管人按估值方法的第h项进行估值时，所造成的误差不作为基金份额净值错误处理。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3、基金估值错误的处理方式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估值错误时，视为基金份额净值错误；基金份额净值出现错误时，基金管理人应当立即予以纠正，通报基金托管人，并采取合理的措施防止损失进一步扩大；错误偏差达到或超过基金份额净值的0.25%时，基金管理人应当及时通知基金托管人并报中国证监会；错误偏差达到基金份额净值的0.50%时，基金管理人应当公告、通报基金托管人并报中国证监会备案；当发生基金份额净值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基金管理人与基金托管人按照过错程度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由于基金管理人提供的信息错误（包括但不限于基金申购或赎回金额等），基金托管人在履行正常复核程序后仍不能发现该错误，进而导致基金份额净值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4、暂停估值与公告基金份额净值的情形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（1）基金投资所涉及的证券交易市场遇法定节假日或因其他原因暂停交易时；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（2）因不可抗力或其他情形致使基金管理人、基金托管人无法准确评估基金资产价值时；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本协议适用中华人民共和国法律（不含港澳台地区法律）并从其解释。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27914955"/>
      <w:r>
        <w:rPr>
          <w:rFonts w:ascii="Times New Roman" w:hAnsi="Times New Roman"/>
          <w:sz w:val="30"/>
        </w:rPr>
        <w:t>二十三、对基金份额持有人的服务</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各类基金份额的申购、赎回、转换、定期定额投资等业务。通过网上直销交易平台办理本基金A类基金份额和D类基金份额申购和定期定额投资业务的个人投资者将享受前端申购费率的优惠，其他费率标准不变。具体优惠费率请参见公司网站列示的网上直销申购、定期定额投资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基金份额持有人持有的基金份额可选择现金红利或选择红利再投将现金红利自动转为相应类别的基金份额进行再投资，若投资人不选择，本基金默认的收益分配方式是现金分红。基金份额持有人可对其持有的各类基金份额分别选择不同的收益分配方式。再投资红利按红利再投日（即除息日）除息后各类基金份额净值自动转为相应类别的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27914956"/>
      <w:r>
        <w:rPr>
          <w:rFonts w:ascii="Times New Roman" w:hAnsi="Times New Roman"/>
          <w:sz w:val="30"/>
        </w:rPr>
        <w:t>二十四、其他应披露事项</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交银施罗德基金管理有限公司关于增加中国农业银行股份有限公司为旗下基金的销售机构的公告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交银施罗德基金管理有限公司关于交银施罗德稳固收益债券型证券投资基金增加D类基金份额并修改基金合同和托管协议的公告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交银施罗德基金管理有限公司关于增加上海基煜基金销售有限公司为旗下基金的销售机构的公告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交银施罗德基金管理有限公司关于增加北京汇成基金销售有限公司为旗下基金的销售机构的公告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交银施罗德基金管理有限公司关于交银施罗德稳固收益债券型证券投资基金基金经理变更公告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交银施罗德稳固收益债券型证券投资基金2026年第1季度报告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27914957"/>
      <w:r>
        <w:rPr>
          <w:rFonts w:ascii="Times New Roman" w:hAnsi="Times New Roman"/>
          <w:sz w:val="30"/>
        </w:rPr>
        <w:t>二十五、招募说明书的存放及查阅方式</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27914958"/>
      <w:r>
        <w:rPr>
          <w:rFonts w:ascii="Times New Roman" w:hAnsi="Times New Roman"/>
          <w:sz w:val="30"/>
        </w:rPr>
        <w:t>二十六、备查文件</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（一）中国证监会批准交银施罗德荣祥保本混合型证券投资基金募集的文件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（二）中国证监会准予交银施罗德稳固收益债券型证券投资基金变更注册的文件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（三）《交银施罗德稳固收益债券型证券投资基金基金合同》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（四）《交银施罗德稳固收益债券型证券投资基金托管协议》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（七）关于申请募集交银施罗德荣祥保本混合型证券投资基金之法律意见书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（八）关于交银施罗德荣祥保本混合型证券投资基金保本周期到期转型及基金合同修改的法律意见书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（九）关于申请变更注册交银施罗德稳固收益债券型证券投资基金的法律意见书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170</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交银施罗德稳固收益债券型证券投资基金招募说明书更新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交银施罗德稳固收益债券型证券投资基金招募说明书更新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交银施罗德稳固收益债券型证券投资基金招募说明书更新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77B13"/>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918"/>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05E0"/>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00E7"/>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3C6272B2"/>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171</Pages>
  <Words>17979</Words>
  <Characters>102482</Characters>
  <Lines>854</Lines>
  <Paragraphs>240</Paragraphs>
  <TotalTime>7</TotalTime>
  <ScaleCrop>false</ScaleCrop>
  <LinksUpToDate>false</LinksUpToDate>
  <CharactersWithSpaces>120221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2026-04-24T01:21:00Z</dcterms:created>
  <dc:creator>系统用户</dc:creator>
  <cp:lastModifiedBy>haotingting</cp:lastModifiedBy>
  <cp:lastPrinted>2013-02-18T03:10:00Z</cp:lastPrinted>
  <dcterms:modified xsi:type="dcterms:W3CDTF">2026-04-30T08:14:47Z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7DDF213141D245DBA0E88E601FCE3917</vt:lpwstr>
  </property>
</Properties>
</file>